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2C7D51C3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255DA7">
        <w:rPr>
          <w:sz w:val="20"/>
        </w:rPr>
        <w:t>2</w:t>
      </w:r>
      <w:r w:rsidR="0018416C">
        <w:rPr>
          <w:sz w:val="20"/>
        </w:rPr>
        <w:t>9</w:t>
      </w:r>
      <w:r w:rsidR="008B69E2" w:rsidRPr="00B2745D">
        <w:rPr>
          <w:sz w:val="20"/>
        </w:rPr>
        <w:t xml:space="preserve">. </w:t>
      </w:r>
      <w:r w:rsidR="00255DA7">
        <w:rPr>
          <w:sz w:val="20"/>
        </w:rPr>
        <w:t>Novem</w:t>
      </w:r>
      <w:r w:rsidR="001934AC">
        <w:rPr>
          <w:sz w:val="20"/>
        </w:rPr>
        <w:t>ber</w:t>
      </w:r>
      <w:r w:rsidRPr="00B2745D">
        <w:rPr>
          <w:sz w:val="20"/>
        </w:rPr>
        <w:t xml:space="preserve"> 201</w:t>
      </w:r>
      <w:r w:rsidR="008165E8">
        <w:rPr>
          <w:sz w:val="20"/>
        </w:rPr>
        <w:t>7</w:t>
      </w:r>
    </w:p>
    <w:p w14:paraId="254FED34" w14:textId="2E074943" w:rsidR="00C340EF" w:rsidRDefault="00DD59B6" w:rsidP="00C340EF">
      <w:pPr>
        <w:ind w:right="-1843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 xml:space="preserve">ENER:GY </w:t>
      </w:r>
      <w:r w:rsidR="00255DA7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>-</w:t>
      </w:r>
      <w:proofErr w:type="spellStart"/>
      <w:r>
        <w:rPr>
          <w:b/>
          <w:bCs/>
          <w:sz w:val="28"/>
          <w:szCs w:val="28"/>
        </w:rPr>
        <w:t>m</w:t>
      </w:r>
      <w:r w:rsidR="00255DA7">
        <w:rPr>
          <w:b/>
          <w:bCs/>
          <w:sz w:val="28"/>
          <w:szCs w:val="28"/>
        </w:rPr>
        <w:t>obility</w:t>
      </w:r>
      <w:proofErr w:type="spellEnd"/>
      <w:r w:rsidR="00255DA7">
        <w:rPr>
          <w:b/>
          <w:bCs/>
          <w:sz w:val="28"/>
          <w:szCs w:val="28"/>
        </w:rPr>
        <w:t xml:space="preserve"> </w:t>
      </w:r>
      <w:proofErr w:type="spellStart"/>
      <w:r w:rsidR="00255DA7">
        <w:rPr>
          <w:b/>
          <w:bCs/>
          <w:sz w:val="28"/>
          <w:szCs w:val="28"/>
        </w:rPr>
        <w:t>advanced</w:t>
      </w:r>
      <w:proofErr w:type="spellEnd"/>
      <w:r w:rsidR="00255DA7">
        <w:rPr>
          <w:b/>
          <w:bCs/>
          <w:sz w:val="28"/>
          <w:szCs w:val="28"/>
        </w:rPr>
        <w:t xml:space="preserve">: </w:t>
      </w:r>
      <w:r w:rsidR="003E33CC">
        <w:rPr>
          <w:b/>
          <w:bCs/>
          <w:sz w:val="28"/>
          <w:szCs w:val="28"/>
        </w:rPr>
        <w:br/>
        <w:t xml:space="preserve">Die </w:t>
      </w:r>
      <w:r w:rsidR="00255DA7">
        <w:rPr>
          <w:b/>
          <w:bCs/>
          <w:sz w:val="28"/>
          <w:szCs w:val="28"/>
        </w:rPr>
        <w:t>Basis für neue Geschäftsmodelle</w:t>
      </w:r>
      <w:r w:rsidR="00C340EF">
        <w:rPr>
          <w:b/>
          <w:bCs/>
          <w:sz w:val="28"/>
          <w:szCs w:val="28"/>
        </w:rPr>
        <w:br/>
      </w:r>
      <w:r w:rsidR="009950DB">
        <w:rPr>
          <w:rFonts w:cs="Arial"/>
          <w:b/>
          <w:bCs/>
          <w:szCs w:val="22"/>
        </w:rPr>
        <w:t>Integrierte Prozesse von der Ladesäule bis zur Abrechnung</w:t>
      </w:r>
    </w:p>
    <w:p w14:paraId="6472D45D" w14:textId="5C0CC0E8" w:rsidR="00AA1540" w:rsidRDefault="00DD59B6" w:rsidP="00676FF5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Die Zahl der Ladesäulen </w:t>
      </w:r>
      <w:r w:rsidR="00727A6D">
        <w:rPr>
          <w:rFonts w:cs="Helvetica"/>
          <w:b/>
          <w:bCs/>
          <w:sz w:val="20"/>
        </w:rPr>
        <w:t xml:space="preserve">in Deutschland </w:t>
      </w:r>
      <w:r>
        <w:rPr>
          <w:rFonts w:cs="Helvetica"/>
          <w:b/>
          <w:bCs/>
          <w:sz w:val="20"/>
        </w:rPr>
        <w:t xml:space="preserve">nimmt stetig zu und auch das Interesse an elektrisch angetriebenen Fahrzeugen hat sich zuletzt deutlich verstärkt. Dennoch sind viele Versorgungsunternehmen von der Umsetzung neuer Geschäftsmodelle im Bereich der </w:t>
      </w:r>
      <w:proofErr w:type="spellStart"/>
      <w:r>
        <w:rPr>
          <w:rFonts w:cs="Helvetica"/>
          <w:b/>
          <w:bCs/>
          <w:sz w:val="20"/>
        </w:rPr>
        <w:t>eMobility</w:t>
      </w:r>
      <w:proofErr w:type="spellEnd"/>
      <w:r>
        <w:rPr>
          <w:rFonts w:cs="Helvetica"/>
          <w:b/>
          <w:bCs/>
          <w:sz w:val="20"/>
        </w:rPr>
        <w:t xml:space="preserve"> weit entfernt. Mit dem Paket ENER:GY e-</w:t>
      </w:r>
      <w:proofErr w:type="spellStart"/>
      <w:r>
        <w:rPr>
          <w:rFonts w:cs="Helvetica"/>
          <w:b/>
          <w:bCs/>
          <w:sz w:val="20"/>
        </w:rPr>
        <w:t>mobility</w:t>
      </w:r>
      <w:proofErr w:type="spellEnd"/>
      <w:r>
        <w:rPr>
          <w:rFonts w:cs="Helvetica"/>
          <w:b/>
          <w:bCs/>
          <w:sz w:val="20"/>
        </w:rPr>
        <w:t xml:space="preserve"> </w:t>
      </w:r>
      <w:proofErr w:type="spellStart"/>
      <w:r>
        <w:rPr>
          <w:rFonts w:cs="Helvetica"/>
          <w:b/>
          <w:bCs/>
          <w:sz w:val="20"/>
        </w:rPr>
        <w:t>advanced</w:t>
      </w:r>
      <w:proofErr w:type="spellEnd"/>
      <w:r>
        <w:rPr>
          <w:rFonts w:cs="Helvetica"/>
          <w:b/>
          <w:bCs/>
          <w:sz w:val="20"/>
        </w:rPr>
        <w:t xml:space="preserve"> bietet die Wilken Software Group jetzt die Möglichkeit, entsprechende Angebote schnell und einfach </w:t>
      </w:r>
      <w:r w:rsidR="003551F7">
        <w:rPr>
          <w:rFonts w:cs="Helvetica"/>
          <w:b/>
          <w:bCs/>
          <w:sz w:val="20"/>
        </w:rPr>
        <w:t>aufzusetzen</w:t>
      </w:r>
      <w:r>
        <w:rPr>
          <w:rFonts w:cs="Helvetica"/>
          <w:b/>
          <w:bCs/>
          <w:sz w:val="20"/>
        </w:rPr>
        <w:t xml:space="preserve"> und so die </w:t>
      </w:r>
      <w:proofErr w:type="spellStart"/>
      <w:r w:rsidRPr="00DD59B6">
        <w:rPr>
          <w:rFonts w:cs="Helvetica"/>
          <w:b/>
          <w:bCs/>
          <w:sz w:val="20"/>
        </w:rPr>
        <w:t>eMobility</w:t>
      </w:r>
      <w:proofErr w:type="spellEnd"/>
      <w:r w:rsidRPr="00DD59B6">
        <w:rPr>
          <w:rFonts w:cs="Helvetica"/>
          <w:b/>
          <w:bCs/>
          <w:sz w:val="20"/>
        </w:rPr>
        <w:t xml:space="preserve"> </w:t>
      </w:r>
      <w:r w:rsidR="003551F7">
        <w:rPr>
          <w:rFonts w:cs="Helvetica"/>
          <w:b/>
          <w:bCs/>
          <w:sz w:val="20"/>
        </w:rPr>
        <w:t xml:space="preserve">sowohl </w:t>
      </w:r>
      <w:r w:rsidRPr="00DD59B6">
        <w:rPr>
          <w:rFonts w:cs="Helvetica"/>
          <w:b/>
          <w:bCs/>
          <w:sz w:val="20"/>
        </w:rPr>
        <w:t>als Kundenbindungs- wie auch Kundengewinnungsinstrument</w:t>
      </w:r>
      <w:r>
        <w:rPr>
          <w:rFonts w:cs="Helvetica"/>
          <w:b/>
          <w:bCs/>
          <w:sz w:val="20"/>
        </w:rPr>
        <w:t xml:space="preserve"> zu nutzen. Grundlage dafür ist die </w:t>
      </w:r>
      <w:r w:rsidR="003E33CC">
        <w:rPr>
          <w:rFonts w:cs="Helvetica"/>
          <w:b/>
          <w:bCs/>
          <w:sz w:val="20"/>
        </w:rPr>
        <w:t>durchgängige</w:t>
      </w:r>
      <w:r>
        <w:rPr>
          <w:rFonts w:cs="Helvetica"/>
          <w:b/>
          <w:bCs/>
          <w:sz w:val="20"/>
        </w:rPr>
        <w:t xml:space="preserve"> Abbildung des Gesamtprozesses von der </w:t>
      </w:r>
      <w:r w:rsidR="003551F7">
        <w:rPr>
          <w:rFonts w:cs="Helvetica"/>
          <w:b/>
          <w:bCs/>
          <w:sz w:val="20"/>
        </w:rPr>
        <w:t xml:space="preserve">Anmeldung an der Ladestation bis hin zur Abrechnung. Über die Anbindung des Wilken </w:t>
      </w:r>
      <w:proofErr w:type="spellStart"/>
      <w:r w:rsidR="003551F7">
        <w:rPr>
          <w:rFonts w:cs="Helvetica"/>
          <w:b/>
          <w:bCs/>
          <w:sz w:val="20"/>
        </w:rPr>
        <w:t>Self</w:t>
      </w:r>
      <w:proofErr w:type="spellEnd"/>
      <w:r w:rsidR="003551F7">
        <w:rPr>
          <w:rFonts w:cs="Helvetica"/>
          <w:b/>
          <w:bCs/>
          <w:sz w:val="20"/>
        </w:rPr>
        <w:t>-Service-Portals können dem</w:t>
      </w:r>
      <w:r w:rsidR="00727A6D">
        <w:rPr>
          <w:rFonts w:cs="Helvetica"/>
          <w:b/>
          <w:bCs/>
          <w:sz w:val="20"/>
        </w:rPr>
        <w:t xml:space="preserve"> Kunden zudem seine Ladevorgänge und -</w:t>
      </w:r>
      <w:r w:rsidR="003551F7">
        <w:rPr>
          <w:rFonts w:cs="Helvetica"/>
          <w:b/>
          <w:bCs/>
          <w:sz w:val="20"/>
        </w:rPr>
        <w:t>kosten angezeigt werden – parallel zu allen anderen Verbrauchs- und Abrechnungsinformationen in den Sparten Strom, Gas oder Wasser.</w:t>
      </w:r>
      <w:r w:rsidR="00AA1540">
        <w:rPr>
          <w:rFonts w:cs="Helvetica"/>
          <w:b/>
          <w:bCs/>
          <w:sz w:val="20"/>
        </w:rPr>
        <w:t xml:space="preserve"> Aber auch der direkt</w:t>
      </w:r>
      <w:r w:rsidR="003D4335">
        <w:rPr>
          <w:rFonts w:cs="Helvetica"/>
          <w:b/>
          <w:bCs/>
          <w:sz w:val="20"/>
        </w:rPr>
        <w:t>e</w:t>
      </w:r>
      <w:r w:rsidR="00AA1540">
        <w:rPr>
          <w:rFonts w:cs="Helvetica"/>
          <w:b/>
          <w:bCs/>
          <w:sz w:val="20"/>
        </w:rPr>
        <w:t xml:space="preserve"> Abschluss eine</w:t>
      </w:r>
      <w:r w:rsidR="00CA0E22">
        <w:rPr>
          <w:rFonts w:cs="Helvetica"/>
          <w:b/>
          <w:bCs/>
          <w:sz w:val="20"/>
        </w:rPr>
        <w:t>s</w:t>
      </w:r>
      <w:r w:rsidR="00AA1540">
        <w:rPr>
          <w:rFonts w:cs="Helvetica"/>
          <w:b/>
          <w:bCs/>
          <w:sz w:val="20"/>
        </w:rPr>
        <w:t xml:space="preserve"> </w:t>
      </w:r>
      <w:proofErr w:type="spellStart"/>
      <w:r w:rsidR="00AA1540">
        <w:rPr>
          <w:rFonts w:cs="Helvetica"/>
          <w:b/>
          <w:bCs/>
          <w:sz w:val="20"/>
        </w:rPr>
        <w:t>eMobility</w:t>
      </w:r>
      <w:proofErr w:type="spellEnd"/>
      <w:r w:rsidR="00AA1540">
        <w:rPr>
          <w:rFonts w:cs="Helvetica"/>
          <w:b/>
          <w:bCs/>
          <w:sz w:val="20"/>
        </w:rPr>
        <w:t>-Vertrags ist online möglich.</w:t>
      </w:r>
    </w:p>
    <w:p w14:paraId="2D4C4313" w14:textId="4CD82002" w:rsidR="00D065C6" w:rsidRDefault="00727A6D" w:rsidP="00676FF5">
      <w:pPr>
        <w:rPr>
          <w:rFonts w:cs="Helvetica"/>
          <w:sz w:val="20"/>
        </w:rPr>
      </w:pPr>
      <w:r>
        <w:rPr>
          <w:rFonts w:cs="Helvetica"/>
          <w:sz w:val="20"/>
        </w:rPr>
        <w:t>Mithilfe von</w:t>
      </w:r>
      <w:r w:rsidR="00D065C6">
        <w:rPr>
          <w:rFonts w:cs="Helvetica"/>
          <w:sz w:val="20"/>
        </w:rPr>
        <w:t xml:space="preserve"> </w:t>
      </w:r>
      <w:r w:rsidR="00D065C6" w:rsidRPr="00D065C6">
        <w:rPr>
          <w:rFonts w:cs="Helvetica"/>
          <w:sz w:val="20"/>
        </w:rPr>
        <w:t>ENER:GY e-</w:t>
      </w:r>
      <w:proofErr w:type="spellStart"/>
      <w:r w:rsidR="00D065C6" w:rsidRPr="00D065C6">
        <w:rPr>
          <w:rFonts w:cs="Helvetica"/>
          <w:sz w:val="20"/>
        </w:rPr>
        <w:t>mobility</w:t>
      </w:r>
      <w:proofErr w:type="spellEnd"/>
      <w:r w:rsidR="00D065C6" w:rsidRPr="00D065C6">
        <w:rPr>
          <w:rFonts w:cs="Helvetica"/>
          <w:sz w:val="20"/>
        </w:rPr>
        <w:t xml:space="preserve"> </w:t>
      </w:r>
      <w:r w:rsidR="00D065C6">
        <w:rPr>
          <w:rFonts w:cs="Helvetica"/>
          <w:sz w:val="20"/>
        </w:rPr>
        <w:t>können für die</w:t>
      </w:r>
      <w:r w:rsidR="00D065C6" w:rsidRPr="00D065C6">
        <w:rPr>
          <w:rFonts w:cs="Helvetica"/>
          <w:sz w:val="20"/>
        </w:rPr>
        <w:t xml:space="preserve"> Preisermittlung </w:t>
      </w:r>
      <w:r w:rsidR="00D065C6">
        <w:rPr>
          <w:rFonts w:cs="Helvetica"/>
          <w:sz w:val="20"/>
        </w:rPr>
        <w:t xml:space="preserve">auch </w:t>
      </w:r>
      <w:r w:rsidR="00D065C6" w:rsidRPr="00D065C6">
        <w:rPr>
          <w:rFonts w:cs="Helvetica"/>
          <w:sz w:val="20"/>
        </w:rPr>
        <w:t>minutengenaue Zeitintervalle hinterleg</w:t>
      </w:r>
      <w:r w:rsidR="00D065C6">
        <w:rPr>
          <w:rFonts w:cs="Helvetica"/>
          <w:sz w:val="20"/>
        </w:rPr>
        <w:t xml:space="preserve">t und jeweils </w:t>
      </w:r>
      <w:r w:rsidR="00D065C6" w:rsidRPr="00D065C6">
        <w:rPr>
          <w:rFonts w:cs="Helvetica"/>
          <w:sz w:val="20"/>
        </w:rPr>
        <w:t>aktuell im Display der Ladesäule</w:t>
      </w:r>
      <w:r w:rsidR="00D065C6">
        <w:rPr>
          <w:rFonts w:cs="Helvetica"/>
          <w:sz w:val="20"/>
        </w:rPr>
        <w:t xml:space="preserve"> angezeigt werden</w:t>
      </w:r>
      <w:r w:rsidR="00D065C6" w:rsidRPr="00D065C6">
        <w:rPr>
          <w:rFonts w:cs="Helvetica"/>
          <w:sz w:val="20"/>
        </w:rPr>
        <w:t>.</w:t>
      </w:r>
      <w:r w:rsidR="00D065C6">
        <w:rPr>
          <w:rFonts w:cs="Helvetica"/>
          <w:sz w:val="20"/>
        </w:rPr>
        <w:t xml:space="preserve"> So sind auch v</w:t>
      </w:r>
      <w:r w:rsidR="00D065C6" w:rsidRPr="00D065C6">
        <w:rPr>
          <w:rFonts w:cs="Helvetica"/>
          <w:sz w:val="20"/>
        </w:rPr>
        <w:t>ariable Tar</w:t>
      </w:r>
      <w:r w:rsidR="00D065C6">
        <w:rPr>
          <w:rFonts w:cs="Helvetica"/>
          <w:sz w:val="20"/>
        </w:rPr>
        <w:t>ife problemlos abbildbar, wie etwa eine</w:t>
      </w:r>
      <w:r w:rsidR="00D065C6" w:rsidRPr="00D065C6">
        <w:rPr>
          <w:rFonts w:cs="Helvetica"/>
          <w:sz w:val="20"/>
        </w:rPr>
        <w:t xml:space="preserve"> „Happy Hour“ in Zeiten, in denen die Ladeinfrastruktur wenig ausgelastet ist</w:t>
      </w:r>
      <w:r w:rsidR="00D065C6">
        <w:rPr>
          <w:rFonts w:cs="Helvetica"/>
          <w:sz w:val="20"/>
        </w:rPr>
        <w:t xml:space="preserve">. </w:t>
      </w:r>
      <w:r w:rsidR="00D065C6" w:rsidRPr="00D065C6">
        <w:rPr>
          <w:rFonts w:cs="Helvetica"/>
          <w:sz w:val="20"/>
        </w:rPr>
        <w:t xml:space="preserve"> </w:t>
      </w:r>
      <w:r w:rsidR="00D065C6">
        <w:rPr>
          <w:rFonts w:cs="Helvetica"/>
          <w:sz w:val="20"/>
        </w:rPr>
        <w:t>Zudem ist die</w:t>
      </w:r>
      <w:r w:rsidR="00D065C6" w:rsidRPr="00D065C6">
        <w:rPr>
          <w:rFonts w:cs="Helvetica"/>
          <w:sz w:val="20"/>
        </w:rPr>
        <w:t xml:space="preserve"> Integration virtueller Kraftwerke</w:t>
      </w:r>
      <w:r w:rsidR="00D065C6">
        <w:rPr>
          <w:rFonts w:cs="Helvetica"/>
          <w:sz w:val="20"/>
        </w:rPr>
        <w:t xml:space="preserve"> möglich</w:t>
      </w:r>
      <w:r w:rsidR="00D065C6" w:rsidRPr="00D065C6">
        <w:rPr>
          <w:rFonts w:cs="Helvetica"/>
          <w:sz w:val="20"/>
        </w:rPr>
        <w:t>, über die der Strom zu Zeiten, in denen Wind und Sonne viel liefern, deutlich günstiger abgegeben werden</w:t>
      </w:r>
      <w:r>
        <w:rPr>
          <w:rFonts w:cs="Helvetica"/>
          <w:sz w:val="20"/>
        </w:rPr>
        <w:t xml:space="preserve"> kann</w:t>
      </w:r>
      <w:r w:rsidR="00D065C6" w:rsidRPr="00D065C6">
        <w:rPr>
          <w:rFonts w:cs="Helvetica"/>
          <w:sz w:val="20"/>
        </w:rPr>
        <w:t xml:space="preserve">, als </w:t>
      </w:r>
      <w:r w:rsidR="00D065C6">
        <w:rPr>
          <w:rFonts w:cs="Helvetica"/>
          <w:sz w:val="20"/>
        </w:rPr>
        <w:t xml:space="preserve">etwa </w:t>
      </w:r>
      <w:r w:rsidR="00D065C6" w:rsidRPr="00D065C6">
        <w:rPr>
          <w:rFonts w:cs="Helvetica"/>
          <w:sz w:val="20"/>
        </w:rPr>
        <w:t>während einer „Dunkelflaute“.</w:t>
      </w:r>
    </w:p>
    <w:p w14:paraId="4D54C572" w14:textId="2861AADA" w:rsidR="008158C2" w:rsidRDefault="003551F7" w:rsidP="00676FF5">
      <w:pPr>
        <w:rPr>
          <w:rFonts w:cs="Helvetica"/>
          <w:sz w:val="20"/>
        </w:rPr>
      </w:pPr>
      <w:r w:rsidRPr="003551F7">
        <w:rPr>
          <w:rFonts w:cs="Helvetica"/>
          <w:sz w:val="20"/>
        </w:rPr>
        <w:t>Neben der Abrechn</w:t>
      </w:r>
      <w:r>
        <w:rPr>
          <w:rFonts w:cs="Helvetica"/>
          <w:sz w:val="20"/>
        </w:rPr>
        <w:t>u</w:t>
      </w:r>
      <w:r w:rsidRPr="003551F7">
        <w:rPr>
          <w:rFonts w:cs="Helvetica"/>
          <w:sz w:val="20"/>
        </w:rPr>
        <w:t>ng</w:t>
      </w:r>
      <w:r>
        <w:rPr>
          <w:rFonts w:cs="Helvetica"/>
          <w:sz w:val="20"/>
        </w:rPr>
        <w:t xml:space="preserve"> und der Preisermittlung sind in den Prozess auch das</w:t>
      </w:r>
      <w:r w:rsidR="00DD59B6" w:rsidRPr="003551F7">
        <w:rPr>
          <w:rFonts w:cs="Helvetica"/>
          <w:sz w:val="20"/>
        </w:rPr>
        <w:t xml:space="preserve"> </w:t>
      </w:r>
      <w:r w:rsidR="003E33CC" w:rsidRPr="003551F7">
        <w:rPr>
          <w:rFonts w:cs="Helvetica"/>
          <w:sz w:val="20"/>
        </w:rPr>
        <w:t xml:space="preserve">CRM, das Karten- </w:t>
      </w:r>
      <w:r w:rsidR="00DD59B6" w:rsidRPr="003551F7">
        <w:rPr>
          <w:rFonts w:cs="Helvetica"/>
          <w:sz w:val="20"/>
        </w:rPr>
        <w:t>und Vertragsmanagement</w:t>
      </w:r>
      <w:r w:rsidR="003E33CC" w:rsidRPr="003551F7">
        <w:rPr>
          <w:rFonts w:cs="Helvetica"/>
          <w:sz w:val="20"/>
        </w:rPr>
        <w:t xml:space="preserve"> sowie die </w:t>
      </w:r>
      <w:r w:rsidR="00DD59B6" w:rsidRPr="003551F7">
        <w:rPr>
          <w:rFonts w:cs="Helvetica"/>
          <w:sz w:val="20"/>
        </w:rPr>
        <w:t>Finanzbuchhaltung  </w:t>
      </w:r>
      <w:r w:rsidR="003E33CC" w:rsidRPr="003551F7">
        <w:rPr>
          <w:rFonts w:cs="Helvetica"/>
          <w:sz w:val="20"/>
        </w:rPr>
        <w:t>und de</w:t>
      </w:r>
      <w:r w:rsidR="00EC1DDA">
        <w:rPr>
          <w:rFonts w:cs="Helvetica"/>
          <w:sz w:val="20"/>
        </w:rPr>
        <w:t>r</w:t>
      </w:r>
      <w:r w:rsidR="003E33CC" w:rsidRPr="003551F7">
        <w:rPr>
          <w:rFonts w:cs="Helvetica"/>
          <w:sz w:val="20"/>
        </w:rPr>
        <w:t xml:space="preserve"> Zahlungsverkehr</w:t>
      </w:r>
      <w:r w:rsidR="00EC1DDA">
        <w:rPr>
          <w:rFonts w:cs="Helvetica"/>
          <w:sz w:val="20"/>
        </w:rPr>
        <w:t xml:space="preserve"> einbezogen</w:t>
      </w:r>
      <w:r w:rsidR="003E33CC" w:rsidRPr="003551F7">
        <w:rPr>
          <w:rFonts w:cs="Helvetica"/>
          <w:sz w:val="20"/>
        </w:rPr>
        <w:t>.</w:t>
      </w:r>
      <w:r w:rsidR="00EC1DDA">
        <w:rPr>
          <w:rFonts w:cs="Helvetica"/>
          <w:sz w:val="20"/>
        </w:rPr>
        <w:t xml:space="preserve"> Damit bleibt das Prinzip „</w:t>
      </w:r>
      <w:proofErr w:type="spellStart"/>
      <w:r w:rsidR="00EC1DDA">
        <w:rPr>
          <w:rFonts w:cs="Helvetica"/>
          <w:sz w:val="20"/>
        </w:rPr>
        <w:t>One</w:t>
      </w:r>
      <w:proofErr w:type="spellEnd"/>
      <w:r w:rsidR="00EC1DDA">
        <w:rPr>
          <w:rFonts w:cs="Helvetica"/>
          <w:sz w:val="20"/>
        </w:rPr>
        <w:t xml:space="preserve"> </w:t>
      </w:r>
      <w:proofErr w:type="spellStart"/>
      <w:r w:rsidR="00EC1DDA">
        <w:rPr>
          <w:rFonts w:cs="Helvetica"/>
          <w:sz w:val="20"/>
        </w:rPr>
        <w:t>face</w:t>
      </w:r>
      <w:proofErr w:type="spellEnd"/>
      <w:r w:rsidR="00EC1DDA">
        <w:rPr>
          <w:rFonts w:cs="Helvetica"/>
          <w:sz w:val="20"/>
        </w:rPr>
        <w:t xml:space="preserve"> </w:t>
      </w:r>
      <w:proofErr w:type="spellStart"/>
      <w:r w:rsidR="00EC1DDA">
        <w:rPr>
          <w:rFonts w:cs="Helvetica"/>
          <w:sz w:val="20"/>
        </w:rPr>
        <w:t>to</w:t>
      </w:r>
      <w:proofErr w:type="spellEnd"/>
      <w:r w:rsidR="00EC1DDA">
        <w:rPr>
          <w:rFonts w:cs="Helvetica"/>
          <w:sz w:val="20"/>
        </w:rPr>
        <w:t xml:space="preserve"> </w:t>
      </w:r>
      <w:proofErr w:type="spellStart"/>
      <w:r w:rsidR="00EC1DDA">
        <w:rPr>
          <w:rFonts w:cs="Helvetica"/>
          <w:sz w:val="20"/>
        </w:rPr>
        <w:t>the</w:t>
      </w:r>
      <w:proofErr w:type="spellEnd"/>
      <w:r w:rsidR="00EC1DDA">
        <w:rPr>
          <w:rFonts w:cs="Helvetica"/>
          <w:sz w:val="20"/>
        </w:rPr>
        <w:t xml:space="preserve"> </w:t>
      </w:r>
      <w:proofErr w:type="spellStart"/>
      <w:r w:rsidR="00EC1DDA">
        <w:rPr>
          <w:rFonts w:cs="Helvetica"/>
          <w:sz w:val="20"/>
        </w:rPr>
        <w:lastRenderedPageBreak/>
        <w:t>customer</w:t>
      </w:r>
      <w:proofErr w:type="spellEnd"/>
      <w:r w:rsidR="00EC1DDA">
        <w:rPr>
          <w:rFonts w:cs="Helvetica"/>
          <w:sz w:val="20"/>
        </w:rPr>
        <w:t xml:space="preserve">“ gewahrt und die </w:t>
      </w:r>
      <w:proofErr w:type="spellStart"/>
      <w:r w:rsidR="00EC1DDA">
        <w:rPr>
          <w:rFonts w:cs="Helvetica"/>
          <w:sz w:val="20"/>
        </w:rPr>
        <w:t>eMobility</w:t>
      </w:r>
      <w:proofErr w:type="spellEnd"/>
      <w:r w:rsidR="00EC1DDA">
        <w:rPr>
          <w:rFonts w:cs="Helvetica"/>
          <w:sz w:val="20"/>
        </w:rPr>
        <w:t xml:space="preserve"> </w:t>
      </w:r>
      <w:r w:rsidR="00AA1540">
        <w:rPr>
          <w:rFonts w:cs="Helvetica"/>
          <w:sz w:val="20"/>
        </w:rPr>
        <w:t xml:space="preserve">wird </w:t>
      </w:r>
      <w:r w:rsidR="00EC1DDA">
        <w:rPr>
          <w:rFonts w:cs="Helvetica"/>
          <w:sz w:val="20"/>
        </w:rPr>
        <w:t xml:space="preserve">zum integralen </w:t>
      </w:r>
      <w:r w:rsidR="00AA1540">
        <w:rPr>
          <w:rFonts w:cs="Helvetica"/>
          <w:sz w:val="20"/>
        </w:rPr>
        <w:t>Bestandteil des Leistungs</w:t>
      </w:r>
      <w:r w:rsidR="00EC1DDA">
        <w:rPr>
          <w:rFonts w:cs="Helvetica"/>
          <w:sz w:val="20"/>
        </w:rPr>
        <w:t>a</w:t>
      </w:r>
      <w:r w:rsidR="00AA1540">
        <w:rPr>
          <w:rFonts w:cs="Helvetica"/>
          <w:sz w:val="20"/>
        </w:rPr>
        <w:t>n</w:t>
      </w:r>
      <w:r w:rsidR="00EC1DDA">
        <w:rPr>
          <w:rFonts w:cs="Helvetica"/>
          <w:sz w:val="20"/>
        </w:rPr>
        <w:t>gebots eines Versorgungsunternehmens.</w:t>
      </w:r>
      <w:r w:rsidR="003E33CC" w:rsidRPr="003551F7">
        <w:rPr>
          <w:rFonts w:cs="Helvetica"/>
          <w:sz w:val="20"/>
        </w:rPr>
        <w:t xml:space="preserve"> </w:t>
      </w:r>
      <w:r w:rsidR="00EC1DDA">
        <w:rPr>
          <w:rFonts w:cs="Helvetica"/>
          <w:sz w:val="20"/>
        </w:rPr>
        <w:t xml:space="preserve">Die einzelnen Produkte können auf Basis schlüsselfertiger Produktbausteine einfach und schnell gestaltet werden, die Abrechnung erfolgt transaktionsbezogen auf Basis aller </w:t>
      </w:r>
      <w:r w:rsidR="00EC1DDA" w:rsidRPr="00EC1DDA">
        <w:rPr>
          <w:rFonts w:cs="Helvetica"/>
          <w:sz w:val="20"/>
        </w:rPr>
        <w:t>im Abrechnungszeitraum angefallene</w:t>
      </w:r>
      <w:r w:rsidR="00EC1DDA">
        <w:rPr>
          <w:rFonts w:cs="Helvetica"/>
          <w:sz w:val="20"/>
        </w:rPr>
        <w:t>n</w:t>
      </w:r>
      <w:r w:rsidR="00EC1DDA" w:rsidRPr="00EC1DDA">
        <w:rPr>
          <w:rFonts w:cs="Helvetica"/>
          <w:sz w:val="20"/>
        </w:rPr>
        <w:t xml:space="preserve"> </w:t>
      </w:r>
      <w:proofErr w:type="spellStart"/>
      <w:r w:rsidR="00EC1DDA" w:rsidRPr="00EC1DDA">
        <w:rPr>
          <w:rFonts w:cs="Helvetica"/>
          <w:sz w:val="20"/>
        </w:rPr>
        <w:t>Beladungsvorgänge</w:t>
      </w:r>
      <w:proofErr w:type="spellEnd"/>
      <w:r w:rsidR="00EC1DDA">
        <w:rPr>
          <w:rFonts w:cs="Helvetica"/>
          <w:sz w:val="20"/>
        </w:rPr>
        <w:t xml:space="preserve">. </w:t>
      </w:r>
      <w:r w:rsidR="003D4335">
        <w:rPr>
          <w:rFonts w:cs="Helvetica"/>
          <w:sz w:val="20"/>
        </w:rPr>
        <w:t>Über die Anbindung des Kampagnenmanagements können die Daten zudem auch für Kundenbindungsmaßnahmen oder die Neukundengewinnung genutzt werden.</w:t>
      </w:r>
    </w:p>
    <w:p w14:paraId="046507F9" w14:textId="34870142" w:rsidR="003D4335" w:rsidRPr="003D4335" w:rsidRDefault="003D4335" w:rsidP="003D4335">
      <w:pPr>
        <w:rPr>
          <w:rFonts w:cs="Helvetica"/>
          <w:sz w:val="20"/>
        </w:rPr>
      </w:pPr>
      <w:r>
        <w:rPr>
          <w:rFonts w:cs="Helvetica"/>
          <w:sz w:val="20"/>
        </w:rPr>
        <w:t>Mit ENER:GY e-</w:t>
      </w:r>
      <w:proofErr w:type="spellStart"/>
      <w:r>
        <w:rPr>
          <w:rFonts w:cs="Helvetica"/>
          <w:sz w:val="20"/>
        </w:rPr>
        <w:t>mobilty</w:t>
      </w:r>
      <w:proofErr w:type="spellEnd"/>
      <w:r>
        <w:rPr>
          <w:rFonts w:cs="Helvetica"/>
          <w:sz w:val="20"/>
        </w:rPr>
        <w:t xml:space="preserve"> </w:t>
      </w:r>
      <w:proofErr w:type="spellStart"/>
      <w:r>
        <w:rPr>
          <w:rFonts w:cs="Helvetica"/>
          <w:sz w:val="20"/>
        </w:rPr>
        <w:t>advanced</w:t>
      </w:r>
      <w:proofErr w:type="spellEnd"/>
      <w:r>
        <w:rPr>
          <w:rFonts w:cs="Helvetica"/>
          <w:sz w:val="20"/>
        </w:rPr>
        <w:t xml:space="preserve"> lassen sich auch weitergehende regionale Modelle umsetzen, etwa die Ausgabe von Tankkarten über Tourismusbüros oder die Kooperation mit Car-Sharing-</w:t>
      </w:r>
      <w:r w:rsidRPr="003D4335">
        <w:rPr>
          <w:rFonts w:ascii="Helvetica Neue" w:eastAsiaTheme="minorHAnsi" w:hAnsi="Helvetica Neue"/>
          <w:color w:val="000000"/>
          <w:sz w:val="39"/>
          <w:szCs w:val="39"/>
          <w:lang w:eastAsia="de-DE"/>
        </w:rPr>
        <w:t xml:space="preserve"> </w:t>
      </w:r>
      <w:r w:rsidRPr="003D4335">
        <w:rPr>
          <w:rFonts w:cs="Helvetica"/>
          <w:sz w:val="20"/>
        </w:rPr>
        <w:t>oder</w:t>
      </w:r>
      <w:r>
        <w:rPr>
          <w:rFonts w:cs="Helvetica"/>
          <w:sz w:val="20"/>
        </w:rPr>
        <w:t xml:space="preserve"> anderen Mobili</w:t>
      </w:r>
      <w:r w:rsidRPr="003D4335">
        <w:rPr>
          <w:rFonts w:cs="Helvetica"/>
          <w:sz w:val="20"/>
        </w:rPr>
        <w:t>tätsanbieter</w:t>
      </w:r>
      <w:r>
        <w:rPr>
          <w:rFonts w:cs="Helvetica"/>
          <w:sz w:val="20"/>
        </w:rPr>
        <w:t xml:space="preserve">n. Die Kommunikation </w:t>
      </w:r>
      <w:r w:rsidRPr="003D4335">
        <w:rPr>
          <w:rFonts w:cs="Helvetica"/>
          <w:sz w:val="20"/>
        </w:rPr>
        <w:t xml:space="preserve">mit </w:t>
      </w:r>
      <w:r>
        <w:rPr>
          <w:rFonts w:cs="Helvetica"/>
          <w:sz w:val="20"/>
        </w:rPr>
        <w:t xml:space="preserve">den </w:t>
      </w:r>
      <w:r w:rsidRPr="003D4335">
        <w:rPr>
          <w:rFonts w:cs="Helvetica"/>
          <w:sz w:val="20"/>
        </w:rPr>
        <w:t>Ladesäulen</w:t>
      </w:r>
      <w:r>
        <w:rPr>
          <w:rFonts w:cs="Helvetica"/>
          <w:sz w:val="20"/>
        </w:rPr>
        <w:t xml:space="preserve"> erfolgt verschlüsselt über die gängigen </w:t>
      </w:r>
      <w:r w:rsidRPr="003D4335">
        <w:rPr>
          <w:rFonts w:cs="Helvetica"/>
          <w:sz w:val="20"/>
        </w:rPr>
        <w:t>Standardprotokoll</w:t>
      </w:r>
      <w:r>
        <w:rPr>
          <w:rFonts w:cs="Helvetica"/>
          <w:sz w:val="20"/>
        </w:rPr>
        <w:t>e</w:t>
      </w:r>
      <w:r w:rsidRPr="003D4335">
        <w:rPr>
          <w:rFonts w:cs="Helvetica"/>
          <w:sz w:val="20"/>
        </w:rPr>
        <w:t xml:space="preserve"> </w:t>
      </w:r>
      <w:r w:rsidR="00CA0E22">
        <w:rPr>
          <w:rFonts w:cs="Helvetica"/>
          <w:sz w:val="20"/>
        </w:rPr>
        <w:t>mit</w:t>
      </w:r>
      <w:r w:rsidRPr="003D4335">
        <w:rPr>
          <w:rFonts w:cs="Helvetica"/>
          <w:sz w:val="20"/>
        </w:rPr>
        <w:t xml:space="preserve"> Webservices</w:t>
      </w:r>
      <w:r>
        <w:rPr>
          <w:rFonts w:cs="Helvetica"/>
          <w:sz w:val="20"/>
        </w:rPr>
        <w:t xml:space="preserve">. Damit können alle unterschiedlichen </w:t>
      </w:r>
      <w:r w:rsidRPr="003D4335">
        <w:rPr>
          <w:rFonts w:cs="Helvetica"/>
          <w:sz w:val="20"/>
        </w:rPr>
        <w:t>Ladesäulen</w:t>
      </w:r>
      <w:r>
        <w:rPr>
          <w:rFonts w:cs="Helvetica"/>
          <w:sz w:val="20"/>
        </w:rPr>
        <w:t xml:space="preserve"> und deren B</w:t>
      </w:r>
      <w:r w:rsidRPr="003D4335">
        <w:rPr>
          <w:rFonts w:cs="Helvetica"/>
          <w:sz w:val="20"/>
        </w:rPr>
        <w:t>ackend</w:t>
      </w:r>
      <w:r>
        <w:rPr>
          <w:rFonts w:cs="Helvetica"/>
          <w:sz w:val="20"/>
        </w:rPr>
        <w:t>-S</w:t>
      </w:r>
      <w:r w:rsidRPr="003D4335">
        <w:rPr>
          <w:rFonts w:cs="Helvetica"/>
          <w:sz w:val="20"/>
        </w:rPr>
        <w:t>ysteme</w:t>
      </w:r>
      <w:r>
        <w:rPr>
          <w:rFonts w:cs="Helvetica"/>
          <w:sz w:val="20"/>
        </w:rPr>
        <w:t xml:space="preserve"> verwendet werden.</w:t>
      </w:r>
      <w:r w:rsidRPr="003D4335">
        <w:rPr>
          <w:rFonts w:cs="Helvetica"/>
          <w:sz w:val="20"/>
        </w:rPr>
        <w:t xml:space="preserve"> </w:t>
      </w:r>
    </w:p>
    <w:p w14:paraId="5F1AD192" w14:textId="69BB26EF" w:rsidR="003D4335" w:rsidRPr="003551F7" w:rsidRDefault="003D4335" w:rsidP="00676FF5">
      <w:pPr>
        <w:rPr>
          <w:rFonts w:cs="Helvetica"/>
          <w:sz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6418B">
        <w:tc>
          <w:tcPr>
            <w:tcW w:w="4361" w:type="dxa"/>
            <w:shd w:val="clear" w:color="auto" w:fill="auto"/>
          </w:tcPr>
          <w:p w14:paraId="5A8CA3F3" w14:textId="429A601A" w:rsidR="00535049" w:rsidRPr="00B2745D" w:rsidRDefault="00535049" w:rsidP="00C340EF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C340EF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Eberhard </w:t>
            </w:r>
            <w:proofErr w:type="spellStart"/>
            <w:r w:rsidR="00C340EF">
              <w:rPr>
                <w:rFonts w:ascii="Arial" w:hAnsi="Arial" w:cs="Calibri"/>
                <w:sz w:val="16"/>
                <w:szCs w:val="26"/>
                <w:lang w:eastAsia="de-DE"/>
              </w:rPr>
              <w:t>Macziol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15863D1" w14:textId="07E08825" w:rsidR="00FE48A6" w:rsidRPr="00A8158F" w:rsidRDefault="00560751" w:rsidP="00A8158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</w:t>
      </w:r>
      <w:r w:rsidR="00255DA7">
        <w:rPr>
          <w:rFonts w:ascii="Arial" w:hAnsi="Arial" w:cs="Calibri"/>
          <w:bCs/>
          <w:sz w:val="16"/>
          <w:szCs w:val="26"/>
          <w:lang w:eastAsia="de-DE"/>
        </w:rPr>
        <w:t>,</w:t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 xml:space="preserve"> der Schweiz</w:t>
      </w:r>
      <w:r w:rsidR="00255DA7">
        <w:rPr>
          <w:rFonts w:ascii="Arial" w:hAnsi="Arial" w:cs="Calibri"/>
          <w:bCs/>
          <w:sz w:val="16"/>
          <w:szCs w:val="26"/>
          <w:lang w:eastAsia="de-DE"/>
        </w:rPr>
        <w:t xml:space="preserve"> und </w:t>
      </w:r>
      <w:r w:rsidR="006C2D46">
        <w:rPr>
          <w:rFonts w:ascii="Arial" w:hAnsi="Arial" w:cs="Calibri"/>
          <w:bCs/>
          <w:sz w:val="16"/>
          <w:szCs w:val="26"/>
          <w:lang w:eastAsia="de-DE"/>
        </w:rPr>
        <w:t xml:space="preserve">in </w:t>
      </w:r>
      <w:bookmarkStart w:id="0" w:name="_GoBack"/>
      <w:bookmarkEnd w:id="0"/>
      <w:r w:rsidR="00255DA7">
        <w:rPr>
          <w:rFonts w:ascii="Arial" w:hAnsi="Arial" w:cs="Calibri"/>
          <w:bCs/>
          <w:sz w:val="16"/>
          <w:szCs w:val="26"/>
          <w:lang w:eastAsia="de-DE"/>
        </w:rPr>
        <w:t>Spanien</w:t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 xml:space="preserve">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 w:rsidR="00A8158F">
        <w:rPr>
          <w:rFonts w:ascii="Arial" w:hAnsi="Arial" w:cs="Calibri"/>
          <w:bCs/>
          <w:sz w:val="16"/>
          <w:szCs w:val="26"/>
          <w:lang w:eastAsia="de-DE"/>
        </w:rPr>
        <w:t>P.</w:t>
      </w:r>
    </w:p>
    <w:sectPr w:rsidR="00FE48A6" w:rsidRPr="00A8158F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D69FAF" w14:textId="77777777" w:rsidR="00854A58" w:rsidRDefault="00854A58">
      <w:r>
        <w:separator/>
      </w:r>
    </w:p>
  </w:endnote>
  <w:endnote w:type="continuationSeparator" w:id="0">
    <w:p w14:paraId="2B286E40" w14:textId="77777777" w:rsidR="00854A58" w:rsidRDefault="00854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 Neue">
    <w:altName w:val="Corbel"/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03DD0" w14:textId="77777777" w:rsidR="00854A58" w:rsidRDefault="00854A58">
      <w:r>
        <w:separator/>
      </w:r>
    </w:p>
  </w:footnote>
  <w:footnote w:type="continuationSeparator" w:id="0">
    <w:p w14:paraId="2E1D8A4A" w14:textId="77777777" w:rsidR="00854A58" w:rsidRDefault="00854A5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3DA4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3F08"/>
    <w:rsid w:val="000E5D79"/>
    <w:rsid w:val="000F6D38"/>
    <w:rsid w:val="00102BB9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5DEE"/>
    <w:rsid w:val="00152D07"/>
    <w:rsid w:val="00161C14"/>
    <w:rsid w:val="00165471"/>
    <w:rsid w:val="001708FB"/>
    <w:rsid w:val="00172559"/>
    <w:rsid w:val="00175745"/>
    <w:rsid w:val="0018416C"/>
    <w:rsid w:val="001858F8"/>
    <w:rsid w:val="001934AC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1F0C02"/>
    <w:rsid w:val="00201445"/>
    <w:rsid w:val="00233A0E"/>
    <w:rsid w:val="002556E7"/>
    <w:rsid w:val="00255DA7"/>
    <w:rsid w:val="00272362"/>
    <w:rsid w:val="00275197"/>
    <w:rsid w:val="002A28CE"/>
    <w:rsid w:val="002A2F6F"/>
    <w:rsid w:val="002A325F"/>
    <w:rsid w:val="002A560E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31677D"/>
    <w:rsid w:val="003179A3"/>
    <w:rsid w:val="00324F5C"/>
    <w:rsid w:val="00333E51"/>
    <w:rsid w:val="003365AB"/>
    <w:rsid w:val="003467EA"/>
    <w:rsid w:val="003551F7"/>
    <w:rsid w:val="00357CD4"/>
    <w:rsid w:val="00363C56"/>
    <w:rsid w:val="00366E84"/>
    <w:rsid w:val="0037633E"/>
    <w:rsid w:val="00376B33"/>
    <w:rsid w:val="00381970"/>
    <w:rsid w:val="0038387B"/>
    <w:rsid w:val="003A1A5E"/>
    <w:rsid w:val="003A1B6D"/>
    <w:rsid w:val="003A43A2"/>
    <w:rsid w:val="003A775C"/>
    <w:rsid w:val="003B3C72"/>
    <w:rsid w:val="003C2165"/>
    <w:rsid w:val="003D008D"/>
    <w:rsid w:val="003D4335"/>
    <w:rsid w:val="003D55A3"/>
    <w:rsid w:val="003D7800"/>
    <w:rsid w:val="003E10C2"/>
    <w:rsid w:val="003E189B"/>
    <w:rsid w:val="003E1CF6"/>
    <w:rsid w:val="003E33CC"/>
    <w:rsid w:val="003E6D9C"/>
    <w:rsid w:val="003F3403"/>
    <w:rsid w:val="003F5021"/>
    <w:rsid w:val="003F55EF"/>
    <w:rsid w:val="004043AF"/>
    <w:rsid w:val="004054D6"/>
    <w:rsid w:val="00406728"/>
    <w:rsid w:val="00406D81"/>
    <w:rsid w:val="004106F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C3D16"/>
    <w:rsid w:val="004D08E4"/>
    <w:rsid w:val="004D42F9"/>
    <w:rsid w:val="004E2379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7659"/>
    <w:rsid w:val="00560751"/>
    <w:rsid w:val="005639AD"/>
    <w:rsid w:val="00565FD4"/>
    <w:rsid w:val="00574C52"/>
    <w:rsid w:val="00575F36"/>
    <w:rsid w:val="00576B32"/>
    <w:rsid w:val="00583BF7"/>
    <w:rsid w:val="0058795D"/>
    <w:rsid w:val="00590B04"/>
    <w:rsid w:val="005937FF"/>
    <w:rsid w:val="005954F6"/>
    <w:rsid w:val="00595CF3"/>
    <w:rsid w:val="0059648C"/>
    <w:rsid w:val="005C2A65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7CBE"/>
    <w:rsid w:val="00672B20"/>
    <w:rsid w:val="00675809"/>
    <w:rsid w:val="0067633A"/>
    <w:rsid w:val="00676FF5"/>
    <w:rsid w:val="00686574"/>
    <w:rsid w:val="00693603"/>
    <w:rsid w:val="006963F7"/>
    <w:rsid w:val="006A0673"/>
    <w:rsid w:val="006B0312"/>
    <w:rsid w:val="006B4311"/>
    <w:rsid w:val="006B72FA"/>
    <w:rsid w:val="006C2D46"/>
    <w:rsid w:val="006D435A"/>
    <w:rsid w:val="006E468B"/>
    <w:rsid w:val="006E5937"/>
    <w:rsid w:val="006F6C95"/>
    <w:rsid w:val="00727A6D"/>
    <w:rsid w:val="00731FA2"/>
    <w:rsid w:val="00733F48"/>
    <w:rsid w:val="0073656F"/>
    <w:rsid w:val="007367F7"/>
    <w:rsid w:val="00737E3A"/>
    <w:rsid w:val="00741F98"/>
    <w:rsid w:val="00742609"/>
    <w:rsid w:val="00746812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7D4C"/>
    <w:rsid w:val="008331D8"/>
    <w:rsid w:val="0083770B"/>
    <w:rsid w:val="00841F5A"/>
    <w:rsid w:val="0084392B"/>
    <w:rsid w:val="008474DE"/>
    <w:rsid w:val="00853823"/>
    <w:rsid w:val="00854A58"/>
    <w:rsid w:val="00863D68"/>
    <w:rsid w:val="00876EA4"/>
    <w:rsid w:val="00877DFE"/>
    <w:rsid w:val="0088157B"/>
    <w:rsid w:val="008825F3"/>
    <w:rsid w:val="0088514D"/>
    <w:rsid w:val="008852F2"/>
    <w:rsid w:val="00887F56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21B7A"/>
    <w:rsid w:val="009231B2"/>
    <w:rsid w:val="0093086E"/>
    <w:rsid w:val="009333FD"/>
    <w:rsid w:val="0093375E"/>
    <w:rsid w:val="009378C5"/>
    <w:rsid w:val="0094366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EB5"/>
    <w:rsid w:val="00980D69"/>
    <w:rsid w:val="00984451"/>
    <w:rsid w:val="00984EEC"/>
    <w:rsid w:val="009873C5"/>
    <w:rsid w:val="009950DB"/>
    <w:rsid w:val="009A30BF"/>
    <w:rsid w:val="009A5237"/>
    <w:rsid w:val="009A7A52"/>
    <w:rsid w:val="009B0EFC"/>
    <w:rsid w:val="009B1B65"/>
    <w:rsid w:val="009C2F1C"/>
    <w:rsid w:val="009C35DE"/>
    <w:rsid w:val="009C6A33"/>
    <w:rsid w:val="009C7BF7"/>
    <w:rsid w:val="009D13B6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2B64"/>
    <w:rsid w:val="00A941BA"/>
    <w:rsid w:val="00AA1540"/>
    <w:rsid w:val="00AA2FE1"/>
    <w:rsid w:val="00AA7575"/>
    <w:rsid w:val="00AB63C5"/>
    <w:rsid w:val="00AB7591"/>
    <w:rsid w:val="00AF1D9E"/>
    <w:rsid w:val="00B12792"/>
    <w:rsid w:val="00B15DE7"/>
    <w:rsid w:val="00B1628C"/>
    <w:rsid w:val="00B2745D"/>
    <w:rsid w:val="00B33354"/>
    <w:rsid w:val="00B4126D"/>
    <w:rsid w:val="00B441DE"/>
    <w:rsid w:val="00B54F30"/>
    <w:rsid w:val="00B62065"/>
    <w:rsid w:val="00B63171"/>
    <w:rsid w:val="00B67855"/>
    <w:rsid w:val="00B81E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368EB"/>
    <w:rsid w:val="00C51C55"/>
    <w:rsid w:val="00C6146F"/>
    <w:rsid w:val="00C6183F"/>
    <w:rsid w:val="00C62E40"/>
    <w:rsid w:val="00C73CA9"/>
    <w:rsid w:val="00C7604D"/>
    <w:rsid w:val="00C83E25"/>
    <w:rsid w:val="00C96BC2"/>
    <w:rsid w:val="00CA0E22"/>
    <w:rsid w:val="00CA2704"/>
    <w:rsid w:val="00CB64A2"/>
    <w:rsid w:val="00CD1E40"/>
    <w:rsid w:val="00CD395A"/>
    <w:rsid w:val="00CE4B1C"/>
    <w:rsid w:val="00CF4E1F"/>
    <w:rsid w:val="00D0021E"/>
    <w:rsid w:val="00D065C6"/>
    <w:rsid w:val="00D13CB5"/>
    <w:rsid w:val="00D165F1"/>
    <w:rsid w:val="00D20DFE"/>
    <w:rsid w:val="00D21A51"/>
    <w:rsid w:val="00D245C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805A3"/>
    <w:rsid w:val="00D923CC"/>
    <w:rsid w:val="00D95B01"/>
    <w:rsid w:val="00DA2579"/>
    <w:rsid w:val="00DA3F70"/>
    <w:rsid w:val="00DA4F82"/>
    <w:rsid w:val="00DB0CE5"/>
    <w:rsid w:val="00DB2C74"/>
    <w:rsid w:val="00DB4016"/>
    <w:rsid w:val="00DC7643"/>
    <w:rsid w:val="00DD02CF"/>
    <w:rsid w:val="00DD59B6"/>
    <w:rsid w:val="00DE1531"/>
    <w:rsid w:val="00DE2EB6"/>
    <w:rsid w:val="00DF68C5"/>
    <w:rsid w:val="00E00BE3"/>
    <w:rsid w:val="00E02730"/>
    <w:rsid w:val="00E0302D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62AC"/>
    <w:rsid w:val="00E708E0"/>
    <w:rsid w:val="00E75DE6"/>
    <w:rsid w:val="00E83A83"/>
    <w:rsid w:val="00E915CC"/>
    <w:rsid w:val="00EA0E6E"/>
    <w:rsid w:val="00EA755D"/>
    <w:rsid w:val="00EB026E"/>
    <w:rsid w:val="00EB220A"/>
    <w:rsid w:val="00EB77F7"/>
    <w:rsid w:val="00EC14F0"/>
    <w:rsid w:val="00EC1DDA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646AC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7D61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1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556</Words>
  <Characters>3508</Characters>
  <Application>Microsoft Macintosh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27. November 2017</vt:lpstr>
    </vt:vector>
  </TitlesOfParts>
  <Company>Press'n'Relations </Company>
  <LinksUpToDate>false</LinksUpToDate>
  <CharactersWithSpaces>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2017-08-16T08:22:00Z</cp:lastPrinted>
  <dcterms:created xsi:type="dcterms:W3CDTF">2017-11-24T07:15:00Z</dcterms:created>
  <dcterms:modified xsi:type="dcterms:W3CDTF">2017-11-24T10:12:00Z</dcterms:modified>
</cp:coreProperties>
</file>