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0A552DCA" w:rsidR="00970937" w:rsidRDefault="00C51C55" w:rsidP="00064DC6">
      <w:pPr>
        <w:ind w:right="-709"/>
        <w:outlineLvl w:val="0"/>
        <w:rPr>
          <w:sz w:val="20"/>
        </w:rPr>
      </w:pPr>
      <w:r w:rsidRPr="00B2745D">
        <w:rPr>
          <w:sz w:val="20"/>
        </w:rPr>
        <w:t>Ulm</w:t>
      </w:r>
      <w:r w:rsidR="008D34C4">
        <w:rPr>
          <w:sz w:val="20"/>
        </w:rPr>
        <w:t>/Hamburg</w:t>
      </w:r>
      <w:r w:rsidRPr="00B2745D">
        <w:rPr>
          <w:sz w:val="20"/>
        </w:rPr>
        <w:t xml:space="preserve">, </w:t>
      </w:r>
      <w:r w:rsidR="0011185F">
        <w:rPr>
          <w:sz w:val="20"/>
        </w:rPr>
        <w:t>2</w:t>
      </w:r>
      <w:r w:rsidR="008B69E2" w:rsidRPr="00B2745D">
        <w:rPr>
          <w:sz w:val="20"/>
        </w:rPr>
        <w:t xml:space="preserve">. </w:t>
      </w:r>
      <w:r w:rsidR="0011185F">
        <w:rPr>
          <w:sz w:val="20"/>
        </w:rPr>
        <w:t>Novem</w:t>
      </w:r>
      <w:r w:rsidR="001934AC">
        <w:rPr>
          <w:sz w:val="20"/>
        </w:rPr>
        <w:t>ber</w:t>
      </w:r>
      <w:r w:rsidRPr="00B2745D">
        <w:rPr>
          <w:sz w:val="20"/>
        </w:rPr>
        <w:t xml:space="preserve"> 201</w:t>
      </w:r>
      <w:r w:rsidR="008165E8">
        <w:rPr>
          <w:sz w:val="20"/>
        </w:rPr>
        <w:t>7</w:t>
      </w:r>
    </w:p>
    <w:p w14:paraId="254FED34" w14:textId="0D3562AC" w:rsidR="00C340EF" w:rsidRDefault="00245D07" w:rsidP="00C340EF">
      <w:pPr>
        <w:ind w:right="-1843"/>
        <w:rPr>
          <w:rFonts w:cs="Arial"/>
          <w:b/>
          <w:bCs/>
          <w:szCs w:val="22"/>
        </w:rPr>
      </w:pPr>
      <w:r>
        <w:rPr>
          <w:b/>
          <w:bCs/>
          <w:sz w:val="28"/>
          <w:szCs w:val="28"/>
        </w:rPr>
        <w:t xml:space="preserve">Die Lücke auf der letzten Meile bis zur Bank </w:t>
      </w:r>
      <w:r w:rsidR="00F04495">
        <w:rPr>
          <w:b/>
          <w:bCs/>
          <w:sz w:val="28"/>
          <w:szCs w:val="28"/>
        </w:rPr>
        <w:t>wird geschlossen</w:t>
      </w:r>
      <w:r w:rsidR="00C340EF">
        <w:rPr>
          <w:b/>
          <w:bCs/>
          <w:sz w:val="28"/>
          <w:szCs w:val="28"/>
        </w:rPr>
        <w:br/>
      </w:r>
      <w:r>
        <w:rPr>
          <w:rFonts w:cs="Arial"/>
          <w:b/>
          <w:bCs/>
          <w:szCs w:val="22"/>
        </w:rPr>
        <w:t>Wilken und PPI a</w:t>
      </w:r>
      <w:r w:rsidR="00D55853">
        <w:rPr>
          <w:rFonts w:cs="Arial"/>
          <w:b/>
          <w:bCs/>
          <w:szCs w:val="22"/>
        </w:rPr>
        <w:t>utomatisier</w:t>
      </w:r>
      <w:r w:rsidR="0011185F">
        <w:rPr>
          <w:rFonts w:cs="Arial"/>
          <w:b/>
          <w:bCs/>
          <w:szCs w:val="22"/>
        </w:rPr>
        <w:t>e</w:t>
      </w:r>
      <w:r>
        <w:rPr>
          <w:rFonts w:cs="Arial"/>
          <w:b/>
          <w:bCs/>
          <w:szCs w:val="22"/>
        </w:rPr>
        <w:t>n</w:t>
      </w:r>
      <w:r w:rsidR="0011185F">
        <w:rPr>
          <w:rFonts w:cs="Arial"/>
          <w:b/>
          <w:bCs/>
          <w:szCs w:val="22"/>
        </w:rPr>
        <w:t xml:space="preserve"> Forderungsmanagement für Versicherungen</w:t>
      </w:r>
    </w:p>
    <w:p w14:paraId="6D86EBBC" w14:textId="00887A9C" w:rsidR="00AA7575" w:rsidRPr="00AA7575" w:rsidRDefault="00875D1D" w:rsidP="00AA7575">
      <w:pPr>
        <w:rPr>
          <w:rFonts w:cs="Helvetica"/>
          <w:b/>
          <w:bCs/>
          <w:sz w:val="20"/>
        </w:rPr>
      </w:pPr>
      <w:r>
        <w:rPr>
          <w:rFonts w:cs="Helvetica"/>
          <w:b/>
          <w:bCs/>
          <w:sz w:val="20"/>
        </w:rPr>
        <w:t>Bislang besteht zwischen de</w:t>
      </w:r>
      <w:r w:rsidR="005842EC">
        <w:rPr>
          <w:rFonts w:cs="Helvetica"/>
          <w:b/>
          <w:bCs/>
          <w:sz w:val="20"/>
        </w:rPr>
        <w:t>m Datenausgang der</w:t>
      </w:r>
      <w:r>
        <w:rPr>
          <w:rFonts w:cs="Helvetica"/>
          <w:b/>
          <w:bCs/>
          <w:sz w:val="20"/>
        </w:rPr>
        <w:t xml:space="preserve"> In-/</w:t>
      </w:r>
      <w:proofErr w:type="spellStart"/>
      <w:r>
        <w:rPr>
          <w:rFonts w:cs="Helvetica"/>
          <w:b/>
          <w:bCs/>
          <w:sz w:val="20"/>
        </w:rPr>
        <w:t>Exkasso</w:t>
      </w:r>
      <w:proofErr w:type="spellEnd"/>
      <w:r>
        <w:rPr>
          <w:rFonts w:cs="Helvetica"/>
          <w:b/>
          <w:bCs/>
          <w:sz w:val="20"/>
        </w:rPr>
        <w:t>-Systeme von Versicherungen und de</w:t>
      </w:r>
      <w:r w:rsidR="009F1401">
        <w:rPr>
          <w:rFonts w:cs="Helvetica"/>
          <w:b/>
          <w:bCs/>
          <w:sz w:val="20"/>
        </w:rPr>
        <w:t>r</w:t>
      </w:r>
      <w:r w:rsidR="005842EC">
        <w:rPr>
          <w:rFonts w:cs="Helvetica"/>
          <w:b/>
          <w:bCs/>
          <w:sz w:val="20"/>
        </w:rPr>
        <w:t xml:space="preserve"> </w:t>
      </w:r>
      <w:r w:rsidR="009F1401">
        <w:rPr>
          <w:rFonts w:cs="Helvetica"/>
          <w:b/>
          <w:bCs/>
          <w:sz w:val="20"/>
        </w:rPr>
        <w:t>Übermittlung</w:t>
      </w:r>
      <w:r w:rsidR="005842EC">
        <w:rPr>
          <w:rFonts w:cs="Helvetica"/>
          <w:b/>
          <w:bCs/>
          <w:sz w:val="20"/>
        </w:rPr>
        <w:t xml:space="preserve"> </w:t>
      </w:r>
      <w:r w:rsidR="009F1401">
        <w:rPr>
          <w:rFonts w:cs="Helvetica"/>
          <w:b/>
          <w:bCs/>
          <w:sz w:val="20"/>
        </w:rPr>
        <w:t>an die</w:t>
      </w:r>
      <w:r>
        <w:rPr>
          <w:rFonts w:cs="Helvetica"/>
          <w:b/>
          <w:bCs/>
          <w:sz w:val="20"/>
        </w:rPr>
        <w:t xml:space="preserve"> Bank</w:t>
      </w:r>
      <w:r w:rsidR="009546BB">
        <w:rPr>
          <w:rFonts w:cs="Helvetica"/>
          <w:b/>
          <w:bCs/>
          <w:sz w:val="20"/>
        </w:rPr>
        <w:t>en</w:t>
      </w:r>
      <w:r>
        <w:rPr>
          <w:rFonts w:cs="Helvetica"/>
          <w:b/>
          <w:bCs/>
          <w:sz w:val="20"/>
        </w:rPr>
        <w:t xml:space="preserve"> </w:t>
      </w:r>
      <w:r w:rsidR="005842EC">
        <w:rPr>
          <w:rFonts w:cs="Helvetica"/>
          <w:b/>
          <w:bCs/>
          <w:sz w:val="20"/>
        </w:rPr>
        <w:t xml:space="preserve">oftmals </w:t>
      </w:r>
      <w:r>
        <w:rPr>
          <w:rFonts w:cs="Helvetica"/>
          <w:b/>
          <w:bCs/>
          <w:sz w:val="20"/>
        </w:rPr>
        <w:t>noch eine Lücke</w:t>
      </w:r>
      <w:r w:rsidR="009546BB">
        <w:rPr>
          <w:rFonts w:cs="Helvetica"/>
          <w:b/>
          <w:bCs/>
          <w:sz w:val="20"/>
        </w:rPr>
        <w:t>. Denn</w:t>
      </w:r>
      <w:r w:rsidR="009F1401">
        <w:rPr>
          <w:rFonts w:cs="Helvetica"/>
          <w:b/>
          <w:bCs/>
          <w:sz w:val="20"/>
        </w:rPr>
        <w:t xml:space="preserve"> die </w:t>
      </w:r>
      <w:r w:rsidR="009546BB">
        <w:rPr>
          <w:rFonts w:cs="Helvetica"/>
          <w:b/>
          <w:bCs/>
          <w:sz w:val="20"/>
        </w:rPr>
        <w:t>Daten</w:t>
      </w:r>
      <w:r w:rsidR="005842EC">
        <w:rPr>
          <w:rFonts w:cs="Helvetica"/>
          <w:b/>
          <w:bCs/>
          <w:sz w:val="20"/>
        </w:rPr>
        <w:t>sätze</w:t>
      </w:r>
      <w:r w:rsidR="009F1401">
        <w:rPr>
          <w:rFonts w:cs="Helvetica"/>
          <w:b/>
          <w:bCs/>
          <w:sz w:val="20"/>
        </w:rPr>
        <w:t>,</w:t>
      </w:r>
      <w:r w:rsidR="003654F1">
        <w:rPr>
          <w:rFonts w:cs="Helvetica"/>
          <w:b/>
          <w:bCs/>
          <w:sz w:val="20"/>
        </w:rPr>
        <w:t xml:space="preserve"> </w:t>
      </w:r>
      <w:r w:rsidR="009546BB">
        <w:rPr>
          <w:rFonts w:cs="Helvetica"/>
          <w:b/>
          <w:bCs/>
          <w:sz w:val="20"/>
        </w:rPr>
        <w:t>etwa zu den Lastschrifteinzügen, werden in der Regel nicht automatisiert übergeben. Diese Lücke auf der letzten Meile zur Bank wollen die Wilken Software Group und die PPI AG</w:t>
      </w:r>
      <w:r w:rsidR="008D34C4">
        <w:rPr>
          <w:rFonts w:cs="Helvetica"/>
          <w:b/>
          <w:bCs/>
          <w:sz w:val="20"/>
        </w:rPr>
        <w:t>, Hamburg,</w:t>
      </w:r>
      <w:r w:rsidR="009546BB">
        <w:rPr>
          <w:rFonts w:cs="Helvetica"/>
          <w:b/>
          <w:bCs/>
          <w:sz w:val="20"/>
        </w:rPr>
        <w:t xml:space="preserve"> jetzt schließen. Im Fokus der neuen Kooperation</w:t>
      </w:r>
      <w:r w:rsidR="00EB61BA">
        <w:rPr>
          <w:rFonts w:cs="Helvetica"/>
          <w:b/>
          <w:bCs/>
          <w:sz w:val="20"/>
        </w:rPr>
        <w:t xml:space="preserve"> steht die Anbindung</w:t>
      </w:r>
      <w:r w:rsidR="009546BB">
        <w:rPr>
          <w:rFonts w:cs="Helvetica"/>
          <w:b/>
          <w:bCs/>
          <w:sz w:val="20"/>
        </w:rPr>
        <w:t xml:space="preserve"> </w:t>
      </w:r>
      <w:r w:rsidR="00EB61BA">
        <w:rPr>
          <w:rFonts w:cs="Helvetica"/>
          <w:b/>
          <w:bCs/>
          <w:sz w:val="20"/>
        </w:rPr>
        <w:t>de</w:t>
      </w:r>
      <w:r w:rsidR="006D6677">
        <w:rPr>
          <w:rFonts w:cs="Helvetica"/>
          <w:b/>
          <w:bCs/>
          <w:sz w:val="20"/>
        </w:rPr>
        <w:t>r</w:t>
      </w:r>
      <w:r w:rsidR="00EB61BA">
        <w:rPr>
          <w:rFonts w:cs="Helvetica"/>
          <w:b/>
          <w:bCs/>
          <w:sz w:val="20"/>
        </w:rPr>
        <w:t xml:space="preserve"> In-/</w:t>
      </w:r>
      <w:proofErr w:type="spellStart"/>
      <w:r w:rsidR="00EB61BA">
        <w:rPr>
          <w:rFonts w:cs="Helvetica"/>
          <w:b/>
          <w:bCs/>
          <w:sz w:val="20"/>
        </w:rPr>
        <w:t>Exkasso</w:t>
      </w:r>
      <w:proofErr w:type="spellEnd"/>
      <w:r w:rsidR="00EB61BA">
        <w:rPr>
          <w:rFonts w:cs="Helvetica"/>
          <w:b/>
          <w:bCs/>
          <w:sz w:val="20"/>
        </w:rPr>
        <w:t>-</w:t>
      </w:r>
      <w:r w:rsidR="006D6677">
        <w:rPr>
          <w:rFonts w:cs="Helvetica"/>
          <w:b/>
          <w:bCs/>
          <w:sz w:val="20"/>
        </w:rPr>
        <w:t>Lösung</w:t>
      </w:r>
      <w:r w:rsidR="009F1401">
        <w:rPr>
          <w:rFonts w:cs="Helvetica"/>
          <w:b/>
          <w:bCs/>
          <w:sz w:val="20"/>
        </w:rPr>
        <w:t xml:space="preserve"> </w:t>
      </w:r>
      <w:proofErr w:type="spellStart"/>
      <w:r w:rsidR="009F1401">
        <w:rPr>
          <w:rFonts w:cs="Helvetica"/>
          <w:b/>
          <w:bCs/>
          <w:sz w:val="20"/>
        </w:rPr>
        <w:t>WI</w:t>
      </w:r>
      <w:r w:rsidR="00EB61BA">
        <w:rPr>
          <w:rFonts w:cs="Helvetica"/>
          <w:b/>
          <w:bCs/>
          <w:sz w:val="20"/>
        </w:rPr>
        <w:t>nEx</w:t>
      </w:r>
      <w:proofErr w:type="spellEnd"/>
      <w:r w:rsidR="00EB61BA">
        <w:rPr>
          <w:rFonts w:cs="Helvetica"/>
          <w:b/>
          <w:bCs/>
          <w:sz w:val="20"/>
        </w:rPr>
        <w:t xml:space="preserve"> von Wilken an</w:t>
      </w:r>
      <w:r w:rsidR="00D55853">
        <w:rPr>
          <w:rFonts w:cs="Helvetica"/>
          <w:b/>
          <w:bCs/>
          <w:sz w:val="20"/>
        </w:rPr>
        <w:t xml:space="preserve"> </w:t>
      </w:r>
      <w:r w:rsidR="00F9566C">
        <w:rPr>
          <w:rFonts w:cs="Helvetica"/>
          <w:b/>
          <w:bCs/>
          <w:sz w:val="20"/>
        </w:rPr>
        <w:t xml:space="preserve">das </w:t>
      </w:r>
      <w:r w:rsidR="00F9566C" w:rsidRPr="00F9566C">
        <w:rPr>
          <w:rFonts w:cs="Helvetica"/>
          <w:b/>
          <w:bCs/>
          <w:sz w:val="20"/>
        </w:rPr>
        <w:t>Firmenkundenportal TRAVIC-Port</w:t>
      </w:r>
      <w:r w:rsidR="009F1401">
        <w:rPr>
          <w:rFonts w:cs="Helvetica"/>
          <w:b/>
          <w:bCs/>
          <w:sz w:val="20"/>
        </w:rPr>
        <w:t xml:space="preserve"> </w:t>
      </w:r>
      <w:r w:rsidR="006D6677">
        <w:rPr>
          <w:rFonts w:cs="Helvetica"/>
          <w:b/>
          <w:bCs/>
          <w:sz w:val="20"/>
        </w:rPr>
        <w:t xml:space="preserve">von </w:t>
      </w:r>
      <w:r w:rsidR="00D1337C">
        <w:rPr>
          <w:rFonts w:cs="Helvetica"/>
          <w:b/>
          <w:bCs/>
          <w:sz w:val="20"/>
        </w:rPr>
        <w:t xml:space="preserve">PPI. Damit lassen sich künftig sämtliche </w:t>
      </w:r>
      <w:r w:rsidR="00F9566C">
        <w:rPr>
          <w:rFonts w:cs="Helvetica"/>
          <w:b/>
          <w:bCs/>
          <w:sz w:val="20"/>
        </w:rPr>
        <w:t>Zahlun</w:t>
      </w:r>
      <w:r w:rsidR="009F1401">
        <w:rPr>
          <w:rFonts w:cs="Helvetica"/>
          <w:b/>
          <w:bCs/>
          <w:sz w:val="20"/>
        </w:rPr>
        <w:t>gsi</w:t>
      </w:r>
      <w:r w:rsidR="00F9566C">
        <w:rPr>
          <w:rFonts w:cs="Helvetica"/>
          <w:b/>
          <w:bCs/>
          <w:sz w:val="20"/>
        </w:rPr>
        <w:t>nformationen</w:t>
      </w:r>
      <w:r w:rsidR="00D1337C">
        <w:rPr>
          <w:rFonts w:cs="Helvetica"/>
          <w:b/>
          <w:bCs/>
          <w:sz w:val="20"/>
        </w:rPr>
        <w:t xml:space="preserve"> vollautomatisiert und vor allem </w:t>
      </w:r>
      <w:r w:rsidR="006D6677">
        <w:rPr>
          <w:rFonts w:cs="Helvetica"/>
          <w:b/>
          <w:bCs/>
          <w:sz w:val="20"/>
        </w:rPr>
        <w:t xml:space="preserve">auch </w:t>
      </w:r>
      <w:r w:rsidR="00D1337C">
        <w:rPr>
          <w:rFonts w:cs="Helvetica"/>
          <w:b/>
          <w:bCs/>
          <w:sz w:val="20"/>
        </w:rPr>
        <w:t>revisionssicher an die Banken übermitteln</w:t>
      </w:r>
      <w:r w:rsidR="006D6677">
        <w:rPr>
          <w:rFonts w:cs="Helvetica"/>
          <w:b/>
          <w:bCs/>
          <w:sz w:val="20"/>
        </w:rPr>
        <w:t>. Da keine manuellen Eingriffe mehr nötig bzw. möglich sind, können manipulative Eingriffe ausgeschlossen und alle Com</w:t>
      </w:r>
      <w:r w:rsidR="00F9566C">
        <w:rPr>
          <w:rFonts w:cs="Helvetica"/>
          <w:b/>
          <w:bCs/>
          <w:sz w:val="20"/>
        </w:rPr>
        <w:t>p</w:t>
      </w:r>
      <w:r w:rsidR="006D6677">
        <w:rPr>
          <w:rFonts w:cs="Helvetica"/>
          <w:b/>
          <w:bCs/>
          <w:sz w:val="20"/>
        </w:rPr>
        <w:t>liance-Vorgaben erfüllt werden.</w:t>
      </w:r>
      <w:r w:rsidR="00F9566C">
        <w:rPr>
          <w:rFonts w:cs="Helvetica"/>
          <w:b/>
          <w:bCs/>
          <w:sz w:val="20"/>
        </w:rPr>
        <w:t xml:space="preserve"> </w:t>
      </w:r>
      <w:r w:rsidR="007F6BA6" w:rsidRPr="007F6BA6">
        <w:rPr>
          <w:rFonts w:cs="Helvetica"/>
          <w:b/>
          <w:bCs/>
          <w:sz w:val="20"/>
        </w:rPr>
        <w:t xml:space="preserve">Mit </w:t>
      </w:r>
      <w:r w:rsidR="007F6BA6">
        <w:rPr>
          <w:rFonts w:cs="Helvetica"/>
          <w:b/>
          <w:bCs/>
          <w:sz w:val="20"/>
        </w:rPr>
        <w:t>dieser</w:t>
      </w:r>
      <w:r w:rsidR="007F6BA6" w:rsidRPr="007F6BA6">
        <w:rPr>
          <w:rFonts w:cs="Helvetica"/>
          <w:b/>
          <w:bCs/>
          <w:sz w:val="20"/>
        </w:rPr>
        <w:t xml:space="preserve"> Lösung </w:t>
      </w:r>
      <w:r w:rsidR="007F6BA6">
        <w:rPr>
          <w:rFonts w:cs="Helvetica"/>
          <w:b/>
          <w:bCs/>
          <w:sz w:val="20"/>
        </w:rPr>
        <w:t>können</w:t>
      </w:r>
      <w:r w:rsidR="007F6BA6" w:rsidRPr="007F6BA6">
        <w:rPr>
          <w:rFonts w:cs="Helvetica"/>
          <w:b/>
          <w:bCs/>
          <w:sz w:val="20"/>
        </w:rPr>
        <w:t xml:space="preserve"> Versicherung</w:t>
      </w:r>
      <w:r w:rsidR="007F6BA6">
        <w:rPr>
          <w:rFonts w:cs="Helvetica"/>
          <w:b/>
          <w:bCs/>
          <w:sz w:val="20"/>
        </w:rPr>
        <w:t>en</w:t>
      </w:r>
      <w:r w:rsidR="007F6BA6" w:rsidRPr="007F6BA6">
        <w:rPr>
          <w:rFonts w:cs="Helvetica"/>
          <w:b/>
          <w:bCs/>
          <w:sz w:val="20"/>
        </w:rPr>
        <w:t xml:space="preserve"> </w:t>
      </w:r>
      <w:r w:rsidR="007F6BA6">
        <w:rPr>
          <w:rFonts w:cs="Helvetica"/>
          <w:b/>
          <w:bCs/>
          <w:sz w:val="20"/>
        </w:rPr>
        <w:t>eine zentrale Payment-</w:t>
      </w:r>
      <w:r w:rsidR="007F6BA6" w:rsidRPr="007F6BA6">
        <w:rPr>
          <w:rFonts w:cs="Helvetica"/>
          <w:b/>
          <w:bCs/>
          <w:sz w:val="20"/>
        </w:rPr>
        <w:t xml:space="preserve">Plattform </w:t>
      </w:r>
      <w:r w:rsidR="007F6BA6">
        <w:rPr>
          <w:rFonts w:cs="Helvetica"/>
          <w:b/>
          <w:bCs/>
          <w:sz w:val="20"/>
        </w:rPr>
        <w:t>aufbauen</w:t>
      </w:r>
      <w:r w:rsidR="007F6BA6" w:rsidRPr="007F6BA6">
        <w:rPr>
          <w:rFonts w:cs="Helvetica"/>
          <w:b/>
          <w:bCs/>
          <w:sz w:val="20"/>
        </w:rPr>
        <w:t xml:space="preserve">, </w:t>
      </w:r>
      <w:r w:rsidR="007F6BA6">
        <w:rPr>
          <w:rFonts w:cs="Helvetica"/>
          <w:b/>
          <w:bCs/>
          <w:sz w:val="20"/>
        </w:rPr>
        <w:t>über die auch weitere Herausforderungen wie etwa das Thema</w:t>
      </w:r>
      <w:r w:rsidR="007F6BA6" w:rsidRPr="007F6BA6">
        <w:rPr>
          <w:rFonts w:cs="Helvetica"/>
          <w:b/>
          <w:bCs/>
          <w:sz w:val="20"/>
        </w:rPr>
        <w:t xml:space="preserve"> </w:t>
      </w:r>
      <w:r w:rsidR="007F6BA6">
        <w:rPr>
          <w:rFonts w:cs="Helvetica"/>
          <w:b/>
          <w:bCs/>
          <w:sz w:val="20"/>
        </w:rPr>
        <w:t>„</w:t>
      </w:r>
      <w:r w:rsidR="007F6BA6" w:rsidRPr="007F6BA6">
        <w:rPr>
          <w:rFonts w:cs="Helvetica"/>
          <w:b/>
          <w:bCs/>
          <w:sz w:val="20"/>
        </w:rPr>
        <w:t xml:space="preserve">Instant </w:t>
      </w:r>
      <w:proofErr w:type="spellStart"/>
      <w:r w:rsidR="007F6BA6" w:rsidRPr="007F6BA6">
        <w:rPr>
          <w:rFonts w:cs="Helvetica"/>
          <w:b/>
          <w:bCs/>
          <w:sz w:val="20"/>
        </w:rPr>
        <w:t>Payments</w:t>
      </w:r>
      <w:proofErr w:type="spellEnd"/>
      <w:r w:rsidR="007F6BA6">
        <w:rPr>
          <w:rFonts w:cs="Helvetica"/>
          <w:b/>
          <w:bCs/>
          <w:sz w:val="20"/>
        </w:rPr>
        <w:t>“</w:t>
      </w:r>
      <w:r w:rsidR="007F6BA6" w:rsidRPr="007F6BA6">
        <w:rPr>
          <w:rFonts w:cs="Helvetica"/>
          <w:b/>
          <w:bCs/>
          <w:sz w:val="20"/>
        </w:rPr>
        <w:t xml:space="preserve"> </w:t>
      </w:r>
      <w:proofErr w:type="spellStart"/>
      <w:r w:rsidR="007F6BA6">
        <w:rPr>
          <w:rFonts w:cs="Helvetica"/>
          <w:b/>
          <w:bCs/>
          <w:sz w:val="20"/>
        </w:rPr>
        <w:t>angebildet</w:t>
      </w:r>
      <w:proofErr w:type="spellEnd"/>
      <w:r w:rsidR="007F6BA6">
        <w:rPr>
          <w:rFonts w:cs="Helvetica"/>
          <w:b/>
          <w:bCs/>
          <w:sz w:val="20"/>
        </w:rPr>
        <w:t xml:space="preserve"> werden können</w:t>
      </w:r>
      <w:r w:rsidR="007F6BA6" w:rsidRPr="007F6BA6">
        <w:rPr>
          <w:rFonts w:cs="Helvetica"/>
          <w:b/>
          <w:bCs/>
          <w:sz w:val="20"/>
        </w:rPr>
        <w:t>.</w:t>
      </w:r>
      <w:r w:rsidR="007F6BA6">
        <w:rPr>
          <w:rFonts w:cs="Helvetica"/>
          <w:b/>
          <w:bCs/>
          <w:sz w:val="20"/>
        </w:rPr>
        <w:t xml:space="preserve"> </w:t>
      </w:r>
      <w:r w:rsidR="001461CA">
        <w:rPr>
          <w:rFonts w:cs="Helvetica"/>
          <w:b/>
          <w:bCs/>
          <w:sz w:val="20"/>
        </w:rPr>
        <w:t>Auf dem Messekongress „IT für Versicherungen“ am 2</w:t>
      </w:r>
      <w:r w:rsidR="001461CA" w:rsidRPr="001461CA">
        <w:rPr>
          <w:rFonts w:cs="Helvetica"/>
          <w:b/>
          <w:bCs/>
          <w:sz w:val="20"/>
        </w:rPr>
        <w:t>8.</w:t>
      </w:r>
      <w:r w:rsidR="001461CA">
        <w:rPr>
          <w:rFonts w:cs="Helvetica"/>
          <w:b/>
          <w:bCs/>
          <w:sz w:val="20"/>
        </w:rPr>
        <w:t xml:space="preserve"> und </w:t>
      </w:r>
      <w:r w:rsidR="001461CA" w:rsidRPr="001461CA">
        <w:rPr>
          <w:rFonts w:cs="Helvetica"/>
          <w:b/>
          <w:bCs/>
          <w:sz w:val="20"/>
        </w:rPr>
        <w:t>29. November 2017 in Leipzig</w:t>
      </w:r>
      <w:r w:rsidR="001461CA">
        <w:rPr>
          <w:rFonts w:cs="Helvetica"/>
          <w:b/>
          <w:bCs/>
          <w:sz w:val="20"/>
        </w:rPr>
        <w:t xml:space="preserve"> treten die beiden Partner erstmals gemeinsam auf</w:t>
      </w:r>
      <w:r w:rsidR="009F1401">
        <w:rPr>
          <w:rFonts w:cs="Helvetica"/>
          <w:b/>
          <w:bCs/>
          <w:sz w:val="20"/>
        </w:rPr>
        <w:t xml:space="preserve">, unter anderem im Rahmen des Fachforums Branchentrends mit dem Vortrag </w:t>
      </w:r>
      <w:r w:rsidR="009F1401" w:rsidRPr="009F1401">
        <w:rPr>
          <w:rFonts w:cs="Helvetica"/>
          <w:b/>
          <w:bCs/>
          <w:sz w:val="20"/>
        </w:rPr>
        <w:t>"Bezahlverfahren in der Versicherungswirtschaft – Wie sich</w:t>
      </w:r>
      <w:r w:rsidR="009F1401">
        <w:rPr>
          <w:rFonts w:cs="Helvetica"/>
          <w:b/>
          <w:bCs/>
          <w:sz w:val="20"/>
        </w:rPr>
        <w:t xml:space="preserve"> das In-/</w:t>
      </w:r>
      <w:proofErr w:type="spellStart"/>
      <w:r w:rsidR="009F1401">
        <w:rPr>
          <w:rFonts w:cs="Helvetica"/>
          <w:b/>
          <w:bCs/>
          <w:sz w:val="20"/>
        </w:rPr>
        <w:t>Exkasso</w:t>
      </w:r>
      <w:proofErr w:type="spellEnd"/>
      <w:r w:rsidR="009F1401">
        <w:rPr>
          <w:rFonts w:cs="Helvetica"/>
          <w:b/>
          <w:bCs/>
          <w:sz w:val="20"/>
        </w:rPr>
        <w:t xml:space="preserve"> verändern wird</w:t>
      </w:r>
      <w:r w:rsidR="009F1401" w:rsidRPr="009F1401">
        <w:rPr>
          <w:rFonts w:cs="Helvetica"/>
          <w:b/>
          <w:bCs/>
          <w:sz w:val="20"/>
        </w:rPr>
        <w:t>"</w:t>
      </w:r>
      <w:r w:rsidR="009F1401">
        <w:rPr>
          <w:rFonts w:cs="Helvetica"/>
          <w:b/>
          <w:bCs/>
          <w:sz w:val="20"/>
        </w:rPr>
        <w:t>.</w:t>
      </w:r>
    </w:p>
    <w:p w14:paraId="4D54C572" w14:textId="5D4684CE" w:rsidR="008158C2" w:rsidRPr="009F76FF" w:rsidRDefault="00F9566C" w:rsidP="009F76FF">
      <w:pPr>
        <w:rPr>
          <w:rFonts w:cs="Helvetica"/>
          <w:bCs/>
          <w:sz w:val="20"/>
        </w:rPr>
      </w:pPr>
      <w:r>
        <w:rPr>
          <w:rFonts w:cs="Helvetica"/>
          <w:sz w:val="20"/>
        </w:rPr>
        <w:t xml:space="preserve">Die Sicherheit bei der Datenübermittlung </w:t>
      </w:r>
      <w:r w:rsidR="00D942A6">
        <w:rPr>
          <w:rFonts w:cs="Helvetica"/>
          <w:sz w:val="20"/>
        </w:rPr>
        <w:t xml:space="preserve">zwischen </w:t>
      </w:r>
      <w:proofErr w:type="spellStart"/>
      <w:r w:rsidR="00D942A6">
        <w:rPr>
          <w:rFonts w:cs="Helvetica"/>
          <w:sz w:val="20"/>
        </w:rPr>
        <w:t>WI</w:t>
      </w:r>
      <w:r w:rsidR="009F1401">
        <w:rPr>
          <w:rFonts w:cs="Helvetica"/>
          <w:sz w:val="20"/>
        </w:rPr>
        <w:t>nEx</w:t>
      </w:r>
      <w:proofErr w:type="spellEnd"/>
      <w:r w:rsidR="009F1401">
        <w:rPr>
          <w:rFonts w:cs="Helvetica"/>
          <w:sz w:val="20"/>
        </w:rPr>
        <w:t xml:space="preserve"> und </w:t>
      </w:r>
      <w:r w:rsidR="00F6326C">
        <w:rPr>
          <w:rFonts w:cs="Helvetica"/>
          <w:sz w:val="20"/>
        </w:rPr>
        <w:t>TRAVIC-</w:t>
      </w:r>
      <w:r w:rsidR="009F1401">
        <w:rPr>
          <w:rFonts w:cs="Helvetica"/>
          <w:sz w:val="20"/>
        </w:rPr>
        <w:t xml:space="preserve">Port </w:t>
      </w:r>
      <w:r>
        <w:rPr>
          <w:rFonts w:cs="Helvetica"/>
          <w:sz w:val="20"/>
        </w:rPr>
        <w:t>wird</w:t>
      </w:r>
      <w:r w:rsidRPr="00F9566C">
        <w:rPr>
          <w:rFonts w:cs="Helvetica"/>
          <w:sz w:val="20"/>
        </w:rPr>
        <w:t xml:space="preserve"> durch elektronische Unterschriften und kryptografische Verschlüsselung</w:t>
      </w:r>
      <w:r>
        <w:rPr>
          <w:rFonts w:cs="Helvetica"/>
          <w:sz w:val="20"/>
        </w:rPr>
        <w:t xml:space="preserve"> sichergestellt.</w:t>
      </w:r>
      <w:r w:rsidR="009F1401">
        <w:rPr>
          <w:rFonts w:cs="Helvetica"/>
          <w:sz w:val="20"/>
        </w:rPr>
        <w:t xml:space="preserve"> </w:t>
      </w:r>
      <w:r w:rsidR="009F1401" w:rsidRPr="008D34C4">
        <w:rPr>
          <w:rFonts w:cs="Helvetica"/>
          <w:b/>
          <w:bCs/>
          <w:sz w:val="20"/>
        </w:rPr>
        <w:t>T</w:t>
      </w:r>
      <w:r w:rsidR="00F6326C">
        <w:rPr>
          <w:rFonts w:cs="Helvetica"/>
          <w:b/>
          <w:bCs/>
          <w:sz w:val="20"/>
        </w:rPr>
        <w:t>RAVIC-</w:t>
      </w:r>
      <w:bookmarkStart w:id="0" w:name="_GoBack"/>
      <w:bookmarkEnd w:id="0"/>
      <w:r w:rsidR="009F1401" w:rsidRPr="008D34C4">
        <w:rPr>
          <w:rFonts w:cs="Helvetica"/>
          <w:b/>
          <w:bCs/>
          <w:sz w:val="20"/>
        </w:rPr>
        <w:t>Port</w:t>
      </w:r>
      <w:r w:rsidR="009F1401">
        <w:rPr>
          <w:rFonts w:cs="Helvetica"/>
          <w:sz w:val="20"/>
        </w:rPr>
        <w:t xml:space="preserve"> wird dabei über </w:t>
      </w:r>
      <w:r w:rsidR="009F1401" w:rsidRPr="009F1401">
        <w:rPr>
          <w:rFonts w:cs="Helvetica"/>
          <w:sz w:val="20"/>
        </w:rPr>
        <w:t xml:space="preserve">Web-Services </w:t>
      </w:r>
      <w:r w:rsidR="009F1401">
        <w:rPr>
          <w:rFonts w:cs="Helvetica"/>
          <w:sz w:val="20"/>
        </w:rPr>
        <w:t xml:space="preserve">integriert. Das </w:t>
      </w:r>
      <w:r w:rsidR="009F1401" w:rsidRPr="009F1401">
        <w:rPr>
          <w:rFonts w:cs="Helvetica"/>
          <w:sz w:val="20"/>
        </w:rPr>
        <w:t>mandantenfähig</w:t>
      </w:r>
      <w:r w:rsidR="009F1401">
        <w:rPr>
          <w:rFonts w:cs="Helvetica"/>
          <w:sz w:val="20"/>
        </w:rPr>
        <w:t xml:space="preserve">e System ist </w:t>
      </w:r>
      <w:r w:rsidR="009F1401" w:rsidRPr="009F1401">
        <w:rPr>
          <w:rFonts w:cs="Helvetica"/>
          <w:sz w:val="20"/>
        </w:rPr>
        <w:t>hochverfügbar</w:t>
      </w:r>
      <w:r w:rsidR="009F76FF">
        <w:rPr>
          <w:rFonts w:cs="Helvetica"/>
          <w:sz w:val="20"/>
        </w:rPr>
        <w:t>,</w:t>
      </w:r>
      <w:r w:rsidR="009F1401" w:rsidRPr="009F1401">
        <w:rPr>
          <w:rFonts w:cs="Helvetica"/>
          <w:sz w:val="20"/>
        </w:rPr>
        <w:t xml:space="preserve"> auf einen 24×7-Betrieb ausgerichtet</w:t>
      </w:r>
      <w:r w:rsidR="009F1401">
        <w:rPr>
          <w:rFonts w:cs="Helvetica"/>
          <w:sz w:val="20"/>
        </w:rPr>
        <w:t xml:space="preserve"> und </w:t>
      </w:r>
      <w:r w:rsidR="009F1401" w:rsidRPr="009F1401">
        <w:rPr>
          <w:rFonts w:cs="Helvetica"/>
          <w:sz w:val="20"/>
        </w:rPr>
        <w:t>multi</w:t>
      </w:r>
      <w:r w:rsidR="008E5B34">
        <w:rPr>
          <w:rFonts w:cs="Helvetica"/>
          <w:sz w:val="20"/>
        </w:rPr>
        <w:t>-</w:t>
      </w:r>
      <w:r w:rsidR="009F1401" w:rsidRPr="009F1401">
        <w:rPr>
          <w:rFonts w:cs="Helvetica"/>
          <w:sz w:val="20"/>
        </w:rPr>
        <w:t xml:space="preserve">bankfähig </w:t>
      </w:r>
      <w:r w:rsidR="009F1401">
        <w:rPr>
          <w:rFonts w:cs="Helvetica"/>
          <w:sz w:val="20"/>
        </w:rPr>
        <w:t>(</w:t>
      </w:r>
      <w:r w:rsidR="009F1401" w:rsidRPr="009F1401">
        <w:rPr>
          <w:rFonts w:cs="Helvetica"/>
          <w:sz w:val="20"/>
        </w:rPr>
        <w:t>EBICS-</w:t>
      </w:r>
      <w:r w:rsidR="005305E7">
        <w:rPr>
          <w:rFonts w:cs="Helvetica"/>
          <w:sz w:val="20"/>
        </w:rPr>
        <w:t xml:space="preserve"> und </w:t>
      </w:r>
      <w:proofErr w:type="spellStart"/>
      <w:r w:rsidR="005305E7" w:rsidRPr="005305E7">
        <w:rPr>
          <w:rFonts w:cs="Helvetica"/>
          <w:sz w:val="20"/>
        </w:rPr>
        <w:t>FinTS</w:t>
      </w:r>
      <w:proofErr w:type="spellEnd"/>
      <w:r w:rsidR="005305E7">
        <w:rPr>
          <w:rFonts w:cs="Helvetica"/>
          <w:sz w:val="20"/>
        </w:rPr>
        <w:t>-</w:t>
      </w:r>
      <w:r w:rsidR="009F1401" w:rsidRPr="009F1401">
        <w:rPr>
          <w:rFonts w:cs="Helvetica"/>
          <w:sz w:val="20"/>
        </w:rPr>
        <w:t>Standard</w:t>
      </w:r>
      <w:r w:rsidR="009F1401">
        <w:rPr>
          <w:rFonts w:cs="Helvetica"/>
          <w:sz w:val="20"/>
        </w:rPr>
        <w:t>).</w:t>
      </w:r>
      <w:r w:rsidR="00D942A6">
        <w:rPr>
          <w:rFonts w:cs="Helvetica"/>
          <w:sz w:val="20"/>
        </w:rPr>
        <w:t xml:space="preserve"> </w:t>
      </w:r>
      <w:proofErr w:type="spellStart"/>
      <w:r w:rsidR="009F76FF" w:rsidRPr="008D34C4">
        <w:rPr>
          <w:rFonts w:cs="Helvetica"/>
          <w:b/>
          <w:sz w:val="20"/>
        </w:rPr>
        <w:t>WInEx</w:t>
      </w:r>
      <w:proofErr w:type="spellEnd"/>
      <w:r w:rsidR="009F76FF" w:rsidRPr="009F76FF">
        <w:rPr>
          <w:rFonts w:cs="Helvetica"/>
          <w:bCs/>
          <w:sz w:val="20"/>
        </w:rPr>
        <w:t xml:space="preserve"> bildet die gesamte In-/</w:t>
      </w:r>
      <w:proofErr w:type="spellStart"/>
      <w:r w:rsidR="009F76FF" w:rsidRPr="009F76FF">
        <w:rPr>
          <w:rFonts w:cs="Helvetica"/>
          <w:bCs/>
          <w:sz w:val="20"/>
        </w:rPr>
        <w:t>Exkasso</w:t>
      </w:r>
      <w:proofErr w:type="spellEnd"/>
      <w:r w:rsidR="009F76FF" w:rsidRPr="009F76FF">
        <w:rPr>
          <w:rFonts w:cs="Helvetica"/>
          <w:bCs/>
          <w:sz w:val="20"/>
        </w:rPr>
        <w:t>-Buchhaltung eines Unternehmens ab. Das System übernimmt die Verwaltung der Forderungsbestände sowie der Abwicklung sämtlicher Zahlun</w:t>
      </w:r>
      <w:r w:rsidR="009F76FF" w:rsidRPr="009F76FF">
        <w:rPr>
          <w:rFonts w:cs="Helvetica"/>
          <w:bCs/>
          <w:sz w:val="20"/>
        </w:rPr>
        <w:lastRenderedPageBreak/>
        <w:t xml:space="preserve">gen und Leistungen gegenüber dem Kunden. Zahlungseingänge werden maschinell mit hoher Trefferquote den Personenkonten sowie den offenen Posten zugeordnet. Dazu wird im System ein auf die Besonderheiten des jeweiligen Unternehmens abgestimmtes Regelwerk hinterlegt, mit dem der Kontenausgleich weitestgehend automatisiert durchgeführt wird. Auch das Mahnverfahren kann automatisiert und an einen externen Inkassodienstleister angeschlossen werden. Die Effizienz des Systems basiert auf eben diesen regelbasierten </w:t>
      </w:r>
      <w:proofErr w:type="spellStart"/>
      <w:r w:rsidR="009F76FF" w:rsidRPr="009F76FF">
        <w:rPr>
          <w:rFonts w:cs="Helvetica"/>
          <w:bCs/>
          <w:sz w:val="20"/>
        </w:rPr>
        <w:t>Logiken</w:t>
      </w:r>
      <w:proofErr w:type="spellEnd"/>
      <w:r w:rsidR="009F76FF" w:rsidRPr="009F76FF">
        <w:rPr>
          <w:rFonts w:cs="Helvetica"/>
          <w:bCs/>
          <w:sz w:val="20"/>
        </w:rPr>
        <w:t xml:space="preserve">, die eine Automatisierung vieler Prozess-Schritte erlauben. </w:t>
      </w:r>
      <w:r w:rsidR="004F6C96">
        <w:rPr>
          <w:rFonts w:cs="Helvetica"/>
          <w:bCs/>
          <w:sz w:val="20"/>
        </w:rPr>
        <w:t xml:space="preserve">Die </w:t>
      </w:r>
      <w:r w:rsidR="009F76FF" w:rsidRPr="009F76FF">
        <w:rPr>
          <w:rFonts w:cs="Helvetica"/>
          <w:bCs/>
          <w:sz w:val="20"/>
        </w:rPr>
        <w:t xml:space="preserve">Integration in </w:t>
      </w:r>
      <w:r w:rsidR="004F6C96">
        <w:rPr>
          <w:rFonts w:cs="Helvetica"/>
          <w:bCs/>
          <w:sz w:val="20"/>
        </w:rPr>
        <w:t>ein</w:t>
      </w:r>
      <w:r w:rsidR="009F76FF" w:rsidRPr="009F76FF">
        <w:rPr>
          <w:rFonts w:cs="Helvetica"/>
          <w:bCs/>
          <w:sz w:val="20"/>
        </w:rPr>
        <w:t xml:space="preserve"> bestehende</w:t>
      </w:r>
      <w:r w:rsidR="004F6C96">
        <w:rPr>
          <w:rFonts w:cs="Helvetica"/>
          <w:bCs/>
          <w:sz w:val="20"/>
        </w:rPr>
        <w:t>s</w:t>
      </w:r>
      <w:r w:rsidR="009F76FF" w:rsidRPr="009F76FF">
        <w:rPr>
          <w:rFonts w:cs="Helvetica"/>
          <w:bCs/>
          <w:sz w:val="20"/>
        </w:rPr>
        <w:t xml:space="preserve"> Rechnungswesen </w:t>
      </w:r>
      <w:r w:rsidR="004F6C96">
        <w:rPr>
          <w:rFonts w:cs="Helvetica"/>
          <w:bCs/>
          <w:sz w:val="20"/>
        </w:rPr>
        <w:t>erfolgt</w:t>
      </w:r>
      <w:r w:rsidR="000C5F40">
        <w:rPr>
          <w:rFonts w:cs="Helvetica"/>
          <w:bCs/>
          <w:sz w:val="20"/>
        </w:rPr>
        <w:t xml:space="preserve"> als Nebenbuch, das </w:t>
      </w:r>
      <w:r w:rsidR="009F76FF" w:rsidRPr="009F76FF">
        <w:rPr>
          <w:rFonts w:cs="Helvetica"/>
          <w:bCs/>
          <w:sz w:val="20"/>
        </w:rPr>
        <w:t>mit dem jeweils bestehenden Hauptbuch verbunden werden kann.</w:t>
      </w:r>
    </w:p>
    <w:p w14:paraId="7B93957A" w14:textId="77777777" w:rsidR="009F1401" w:rsidRPr="008852F2" w:rsidRDefault="009F1401" w:rsidP="009F1401">
      <w:pPr>
        <w:rPr>
          <w:rFonts w:cs="Helvetica"/>
          <w:sz w:val="20"/>
        </w:rPr>
      </w:pP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6322C2D5" w14:textId="77777777" w:rsidR="00535049" w:rsidRDefault="00535049" w:rsidP="00C340EF">
            <w:pPr>
              <w:widowControl w:val="0"/>
              <w:tabs>
                <w:tab w:val="left" w:pos="3969"/>
              </w:tabs>
              <w:autoSpaceDE w:val="0"/>
              <w:autoSpaceDN w:val="0"/>
              <w:adjustRightInd w:val="0"/>
              <w:spacing w:line="240" w:lineRule="auto"/>
              <w:ind w:right="176"/>
              <w:rPr>
                <w:rStyle w:val="Link"/>
                <w:rFonts w:ascii="Arial" w:hAnsi="Arial" w:cs="Calibri"/>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 xml:space="preserve">Eberhard </w:t>
            </w:r>
            <w:proofErr w:type="spellStart"/>
            <w:r w:rsidR="00C340EF">
              <w:rPr>
                <w:rFonts w:ascii="Arial" w:hAnsi="Arial" w:cs="Calibri"/>
                <w:sz w:val="16"/>
                <w:szCs w:val="26"/>
                <w:lang w:eastAsia="de-DE"/>
              </w:rPr>
              <w:t>Macziol</w:t>
            </w:r>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p w14:paraId="5A8CA3F3" w14:textId="75B1E5D7" w:rsidR="00664D2A" w:rsidRPr="00664D2A" w:rsidRDefault="00664D2A" w:rsidP="00664D2A">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664D2A">
              <w:rPr>
                <w:rFonts w:ascii="Arial" w:hAnsi="Arial" w:cs="Calibri"/>
                <w:bCs/>
                <w:sz w:val="16"/>
                <w:szCs w:val="26"/>
                <w:lang w:eastAsia="de-DE"/>
              </w:rPr>
              <w:t xml:space="preserve">PPI AG – Maria </w:t>
            </w:r>
            <w:r>
              <w:rPr>
                <w:rFonts w:ascii="Arial" w:hAnsi="Arial" w:cs="Calibri"/>
                <w:bCs/>
                <w:sz w:val="16"/>
                <w:szCs w:val="26"/>
                <w:lang w:eastAsia="de-DE"/>
              </w:rPr>
              <w:t>Krüger</w:t>
            </w:r>
            <w:r>
              <w:rPr>
                <w:rFonts w:ascii="Arial" w:hAnsi="Arial" w:cs="Calibri"/>
                <w:bCs/>
                <w:sz w:val="16"/>
                <w:szCs w:val="26"/>
                <w:lang w:eastAsia="de-DE"/>
              </w:rPr>
              <w:br/>
            </w:r>
            <w:proofErr w:type="spellStart"/>
            <w:r w:rsidRPr="00664D2A">
              <w:rPr>
                <w:rFonts w:ascii="Arial" w:hAnsi="Arial" w:cs="Calibri"/>
                <w:bCs/>
                <w:sz w:val="16"/>
                <w:szCs w:val="26"/>
                <w:lang w:eastAsia="de-DE"/>
              </w:rPr>
              <w:t>Moorfuhrtweg</w:t>
            </w:r>
            <w:proofErr w:type="spellEnd"/>
            <w:r w:rsidRPr="00664D2A">
              <w:rPr>
                <w:rFonts w:ascii="Arial" w:hAnsi="Arial" w:cs="Calibri"/>
                <w:bCs/>
                <w:sz w:val="16"/>
                <w:szCs w:val="26"/>
                <w:lang w:eastAsia="de-DE"/>
              </w:rPr>
              <w:t xml:space="preserve"> 13</w:t>
            </w:r>
            <w:r>
              <w:rPr>
                <w:rFonts w:ascii="Arial" w:hAnsi="Arial" w:cs="Calibri"/>
                <w:bCs/>
                <w:sz w:val="16"/>
                <w:szCs w:val="26"/>
                <w:lang w:eastAsia="de-DE"/>
              </w:rPr>
              <w:t xml:space="preserve"> –</w:t>
            </w:r>
            <w:r w:rsidRPr="00664D2A">
              <w:rPr>
                <w:rFonts w:ascii="MS Mincho" w:eastAsia="MS Mincho" w:hAnsi="MS Mincho" w:cs="MS Mincho"/>
                <w:bCs/>
                <w:sz w:val="16"/>
                <w:szCs w:val="26"/>
                <w:lang w:eastAsia="de-DE"/>
              </w:rPr>
              <w:t> </w:t>
            </w:r>
            <w:r w:rsidRPr="00664D2A">
              <w:rPr>
                <w:rFonts w:ascii="Arial" w:hAnsi="Arial" w:cs="Calibri"/>
                <w:bCs/>
                <w:sz w:val="16"/>
                <w:szCs w:val="26"/>
                <w:lang w:eastAsia="de-DE"/>
              </w:rPr>
              <w:t xml:space="preserve">22301 Hamburg </w:t>
            </w:r>
            <w:r>
              <w:rPr>
                <w:rFonts w:ascii="Arial" w:hAnsi="Arial" w:cs="Calibri"/>
                <w:bCs/>
                <w:sz w:val="16"/>
                <w:szCs w:val="26"/>
                <w:lang w:eastAsia="de-DE"/>
              </w:rPr>
              <w:br/>
            </w:r>
            <w:r w:rsidRPr="00664D2A">
              <w:rPr>
                <w:rFonts w:ascii="Arial" w:hAnsi="Arial" w:cs="Calibri"/>
                <w:bCs/>
                <w:sz w:val="16"/>
                <w:szCs w:val="26"/>
                <w:lang w:eastAsia="de-DE"/>
              </w:rPr>
              <w:t>Tel</w:t>
            </w:r>
            <w:r>
              <w:rPr>
                <w:rFonts w:ascii="Arial" w:hAnsi="Arial" w:cs="Calibri"/>
                <w:bCs/>
                <w:sz w:val="16"/>
                <w:szCs w:val="26"/>
                <w:lang w:eastAsia="de-DE"/>
              </w:rPr>
              <w:t xml:space="preserve">.: </w:t>
            </w:r>
            <w:r w:rsidRPr="00664D2A">
              <w:rPr>
                <w:rFonts w:ascii="Arial" w:hAnsi="Arial" w:cs="Calibri"/>
                <w:bCs/>
                <w:sz w:val="16"/>
                <w:szCs w:val="26"/>
                <w:lang w:eastAsia="de-DE"/>
              </w:rPr>
              <w:t xml:space="preserve">+49 40 227433-3110 </w:t>
            </w:r>
            <w:r>
              <w:rPr>
                <w:rFonts w:ascii="Arial" w:hAnsi="Arial" w:cs="Calibri"/>
                <w:bCs/>
                <w:sz w:val="16"/>
                <w:szCs w:val="26"/>
                <w:lang w:eastAsia="de-DE"/>
              </w:rPr>
              <w:br/>
            </w:r>
            <w:hyperlink r:id="rId9" w:history="1">
              <w:r w:rsidRPr="00D14A0F">
                <w:rPr>
                  <w:rStyle w:val="Link"/>
                  <w:rFonts w:ascii="Arial" w:hAnsi="Arial" w:cs="Calibri"/>
                  <w:bCs/>
                  <w:sz w:val="16"/>
                  <w:szCs w:val="26"/>
                  <w:lang w:eastAsia="de-DE"/>
                </w:rPr>
                <w:t>maria.krueger@ppi.de</w:t>
              </w:r>
            </w:hyperlink>
            <w:r>
              <w:rPr>
                <w:rFonts w:ascii="Arial" w:hAnsi="Arial" w:cs="Calibri"/>
                <w:bCs/>
                <w:sz w:val="16"/>
                <w:szCs w:val="26"/>
                <w:lang w:eastAsia="de-DE"/>
              </w:rPr>
              <w:t xml:space="preserve"> –</w:t>
            </w:r>
            <w:r w:rsidRPr="00664D2A">
              <w:rPr>
                <w:rFonts w:ascii="Arial" w:hAnsi="Arial" w:cs="Calibri"/>
                <w:bCs/>
                <w:sz w:val="16"/>
                <w:szCs w:val="26"/>
                <w:lang w:eastAsia="de-DE"/>
              </w:rPr>
              <w:t xml:space="preserve"> </w:t>
            </w:r>
            <w:hyperlink r:id="rId10" w:history="1">
              <w:r w:rsidRPr="00D14A0F">
                <w:rPr>
                  <w:rStyle w:val="Link"/>
                  <w:rFonts w:ascii="Arial" w:hAnsi="Arial" w:cs="Calibri"/>
                  <w:bCs/>
                  <w:sz w:val="16"/>
                  <w:szCs w:val="26"/>
                  <w:lang w:eastAsia="de-DE"/>
                </w:rPr>
                <w:t>www.ppi.de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11"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2" w:history="1">
              <w:r w:rsidR="00B2745D" w:rsidRPr="00B2745D">
                <w:rPr>
                  <w:rStyle w:val="Link"/>
                  <w:rFonts w:ascii="Arial" w:hAnsi="Arial" w:cs="Calibri"/>
                  <w:sz w:val="16"/>
                  <w:szCs w:val="26"/>
                  <w:lang w:eastAsia="de-DE"/>
                </w:rPr>
                <w:t>www.press-n-relations.com</w:t>
              </w:r>
            </w:hyperlink>
          </w:p>
        </w:tc>
      </w:tr>
    </w:tbl>
    <w:p w14:paraId="467FC776" w14:textId="3C4DD432" w:rsidR="00664D2A" w:rsidRDefault="00560751" w:rsidP="00A8158F">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p w14:paraId="2A57B4B3" w14:textId="07E479D6" w:rsidR="00664D2A" w:rsidRPr="00664D2A" w:rsidRDefault="00664D2A" w:rsidP="00664D2A">
      <w:pPr>
        <w:spacing w:line="240" w:lineRule="auto"/>
        <w:ind w:right="-1701"/>
        <w:rPr>
          <w:rFonts w:ascii="Arial" w:hAnsi="Arial" w:cs="Calibri"/>
          <w:sz w:val="16"/>
          <w:szCs w:val="26"/>
          <w:lang w:eastAsia="de-DE"/>
        </w:rPr>
      </w:pPr>
      <w:r w:rsidRPr="00664D2A">
        <w:rPr>
          <w:rFonts w:ascii="Arial" w:hAnsi="Arial" w:cs="Calibri"/>
          <w:b/>
          <w:bCs/>
          <w:sz w:val="16"/>
          <w:szCs w:val="26"/>
          <w:lang w:eastAsia="de-DE"/>
        </w:rPr>
        <w:t>Über die PPI AG</w:t>
      </w:r>
      <w:r>
        <w:rPr>
          <w:rFonts w:ascii="Arial" w:hAnsi="Arial" w:cs="Calibri"/>
          <w:sz w:val="16"/>
          <w:szCs w:val="26"/>
          <w:lang w:eastAsia="de-DE"/>
        </w:rPr>
        <w:br/>
      </w:r>
      <w:r w:rsidRPr="00664D2A">
        <w:rPr>
          <w:rFonts w:ascii="Arial" w:hAnsi="Arial" w:cs="Calibri"/>
          <w:sz w:val="16"/>
          <w:szCs w:val="26"/>
          <w:lang w:eastAsia="de-DE"/>
        </w:rPr>
        <w:t xml:space="preserve">Die PPI Aktiengesellschaft ist seit über 30 Jahren erfolgreich für Banken und Versicherungen tätig. 2015 erwirtschaftete das Unternehmen mit seinen über 400 Mitarbeitern circa 54 Millionen Euro Umsatz in den Geschäftsfeldern Consulting, Software-Entwicklung, Business </w:t>
      </w:r>
      <w:proofErr w:type="spellStart"/>
      <w:r w:rsidRPr="00664D2A">
        <w:rPr>
          <w:rFonts w:ascii="Arial" w:hAnsi="Arial" w:cs="Calibri"/>
          <w:sz w:val="16"/>
          <w:szCs w:val="26"/>
          <w:lang w:eastAsia="de-DE"/>
        </w:rPr>
        <w:t>Intelligence</w:t>
      </w:r>
      <w:proofErr w:type="spellEnd"/>
      <w:r w:rsidRPr="00664D2A">
        <w:rPr>
          <w:rFonts w:ascii="Arial" w:hAnsi="Arial" w:cs="Calibri"/>
          <w:sz w:val="16"/>
          <w:szCs w:val="26"/>
          <w:lang w:eastAsia="de-DE"/>
        </w:rPr>
        <w:t xml:space="preserve"> und Produkte. Im Markt der Banken ist PPI Spezialist für Zahlungsverkehr, Risikomanagement und Compliance. Versicherungsunternehmen bietet PPI fachlich wie methodisch exzellente Lösungen für alle Kernprozesse der Assekuranz. Die langjährigen Kunden schätzen an der Vorgehensweise die hohe Qualität sowie die absolute Termin- und Budgettreue. Die praxiserfahrenen Mitarbeiter in Deutschland, Frankreich und der Schweiz vermitteln stets zwischen den Fachbereichen und der IT.</w:t>
      </w:r>
    </w:p>
    <w:p w14:paraId="2F13DC06" w14:textId="77777777" w:rsidR="00664D2A" w:rsidRPr="00A8158F" w:rsidRDefault="00664D2A" w:rsidP="00A8158F">
      <w:pPr>
        <w:spacing w:line="240" w:lineRule="auto"/>
        <w:ind w:right="-1701"/>
        <w:rPr>
          <w:rFonts w:ascii="Arial" w:hAnsi="Arial" w:cs="Calibri"/>
          <w:sz w:val="16"/>
          <w:szCs w:val="26"/>
          <w:lang w:eastAsia="de-DE"/>
        </w:rPr>
      </w:pPr>
    </w:p>
    <w:sectPr w:rsidR="00664D2A" w:rsidRPr="00A8158F"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7BFA4" w14:textId="77777777" w:rsidR="004D6E4E" w:rsidRDefault="004D6E4E">
      <w:r>
        <w:separator/>
      </w:r>
    </w:p>
  </w:endnote>
  <w:endnote w:type="continuationSeparator" w:id="0">
    <w:p w14:paraId="5B0336C1" w14:textId="77777777" w:rsidR="004D6E4E" w:rsidRDefault="004D6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391ECA" w14:textId="77777777" w:rsidR="004D6E4E" w:rsidRDefault="004D6E4E">
      <w:r>
        <w:separator/>
      </w:r>
    </w:p>
  </w:footnote>
  <w:footnote w:type="continuationSeparator" w:id="0">
    <w:p w14:paraId="33FDE0E5" w14:textId="77777777" w:rsidR="004D6E4E" w:rsidRDefault="004D6E4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3DA4"/>
    <w:rsid w:val="00097330"/>
    <w:rsid w:val="000A0A44"/>
    <w:rsid w:val="000A6D42"/>
    <w:rsid w:val="000B2038"/>
    <w:rsid w:val="000B5AD9"/>
    <w:rsid w:val="000C0569"/>
    <w:rsid w:val="000C08EF"/>
    <w:rsid w:val="000C13A4"/>
    <w:rsid w:val="000C2BB8"/>
    <w:rsid w:val="000C313B"/>
    <w:rsid w:val="000C5F40"/>
    <w:rsid w:val="000D5A8E"/>
    <w:rsid w:val="000D5FE9"/>
    <w:rsid w:val="000E1307"/>
    <w:rsid w:val="000E3F08"/>
    <w:rsid w:val="000E5D79"/>
    <w:rsid w:val="000F6D38"/>
    <w:rsid w:val="00102BB9"/>
    <w:rsid w:val="00106410"/>
    <w:rsid w:val="00107620"/>
    <w:rsid w:val="0011185F"/>
    <w:rsid w:val="00114F49"/>
    <w:rsid w:val="00122695"/>
    <w:rsid w:val="00122B29"/>
    <w:rsid w:val="00122F47"/>
    <w:rsid w:val="0012491E"/>
    <w:rsid w:val="00127E87"/>
    <w:rsid w:val="001307C5"/>
    <w:rsid w:val="00135DEE"/>
    <w:rsid w:val="001461CA"/>
    <w:rsid w:val="00152D07"/>
    <w:rsid w:val="00161C14"/>
    <w:rsid w:val="00165471"/>
    <w:rsid w:val="001708FB"/>
    <w:rsid w:val="00172559"/>
    <w:rsid w:val="00175745"/>
    <w:rsid w:val="001858F8"/>
    <w:rsid w:val="001934AC"/>
    <w:rsid w:val="00194E4F"/>
    <w:rsid w:val="001A2076"/>
    <w:rsid w:val="001A4984"/>
    <w:rsid w:val="001B1862"/>
    <w:rsid w:val="001C58AF"/>
    <w:rsid w:val="001C6862"/>
    <w:rsid w:val="001D12AA"/>
    <w:rsid w:val="001E0FCA"/>
    <w:rsid w:val="001E200F"/>
    <w:rsid w:val="00233A0E"/>
    <w:rsid w:val="00245D07"/>
    <w:rsid w:val="002556E7"/>
    <w:rsid w:val="00272362"/>
    <w:rsid w:val="00273D3C"/>
    <w:rsid w:val="00275197"/>
    <w:rsid w:val="002A28CE"/>
    <w:rsid w:val="002A2F6F"/>
    <w:rsid w:val="002A325F"/>
    <w:rsid w:val="002A560E"/>
    <w:rsid w:val="002B275A"/>
    <w:rsid w:val="002C201B"/>
    <w:rsid w:val="002C40A1"/>
    <w:rsid w:val="002C5994"/>
    <w:rsid w:val="002D0338"/>
    <w:rsid w:val="002D19F2"/>
    <w:rsid w:val="002D1F28"/>
    <w:rsid w:val="002D28F5"/>
    <w:rsid w:val="002D6683"/>
    <w:rsid w:val="002E1BC0"/>
    <w:rsid w:val="0031677D"/>
    <w:rsid w:val="003179A3"/>
    <w:rsid w:val="00324F5C"/>
    <w:rsid w:val="00333E51"/>
    <w:rsid w:val="003365AB"/>
    <w:rsid w:val="003467EA"/>
    <w:rsid w:val="00357CD4"/>
    <w:rsid w:val="00363C56"/>
    <w:rsid w:val="003654F1"/>
    <w:rsid w:val="00366E84"/>
    <w:rsid w:val="0037633E"/>
    <w:rsid w:val="00376B33"/>
    <w:rsid w:val="00381970"/>
    <w:rsid w:val="0038387B"/>
    <w:rsid w:val="003A1A5E"/>
    <w:rsid w:val="003A1B6D"/>
    <w:rsid w:val="003A43A2"/>
    <w:rsid w:val="003A775C"/>
    <w:rsid w:val="003B3C72"/>
    <w:rsid w:val="003C15DE"/>
    <w:rsid w:val="003C2165"/>
    <w:rsid w:val="003D55A3"/>
    <w:rsid w:val="003D7800"/>
    <w:rsid w:val="003E10C2"/>
    <w:rsid w:val="003E189B"/>
    <w:rsid w:val="003E1CF6"/>
    <w:rsid w:val="003E6D9C"/>
    <w:rsid w:val="003F3403"/>
    <w:rsid w:val="003F5021"/>
    <w:rsid w:val="003F55EF"/>
    <w:rsid w:val="004043AF"/>
    <w:rsid w:val="004054D6"/>
    <w:rsid w:val="00406728"/>
    <w:rsid w:val="00406D81"/>
    <w:rsid w:val="00410CD5"/>
    <w:rsid w:val="004110F6"/>
    <w:rsid w:val="00425A22"/>
    <w:rsid w:val="00425E5F"/>
    <w:rsid w:val="00427640"/>
    <w:rsid w:val="00430C7E"/>
    <w:rsid w:val="00432E47"/>
    <w:rsid w:val="004473FD"/>
    <w:rsid w:val="00450DE1"/>
    <w:rsid w:val="00457490"/>
    <w:rsid w:val="00470089"/>
    <w:rsid w:val="004712B6"/>
    <w:rsid w:val="00476FEA"/>
    <w:rsid w:val="00477E0F"/>
    <w:rsid w:val="004851B3"/>
    <w:rsid w:val="0048658B"/>
    <w:rsid w:val="004909C2"/>
    <w:rsid w:val="00493267"/>
    <w:rsid w:val="004A2502"/>
    <w:rsid w:val="004A32B5"/>
    <w:rsid w:val="004A76DC"/>
    <w:rsid w:val="004B3F00"/>
    <w:rsid w:val="004B6B57"/>
    <w:rsid w:val="004C24AD"/>
    <w:rsid w:val="004C38CC"/>
    <w:rsid w:val="004C3D16"/>
    <w:rsid w:val="004D08E4"/>
    <w:rsid w:val="004D42F9"/>
    <w:rsid w:val="004D6E4E"/>
    <w:rsid w:val="004E2379"/>
    <w:rsid w:val="004E5964"/>
    <w:rsid w:val="004F2F02"/>
    <w:rsid w:val="004F6C96"/>
    <w:rsid w:val="004F79BE"/>
    <w:rsid w:val="00501E82"/>
    <w:rsid w:val="0050632B"/>
    <w:rsid w:val="00511390"/>
    <w:rsid w:val="00511F1D"/>
    <w:rsid w:val="00513A25"/>
    <w:rsid w:val="00517604"/>
    <w:rsid w:val="00521E09"/>
    <w:rsid w:val="005246FF"/>
    <w:rsid w:val="005305E7"/>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3BF7"/>
    <w:rsid w:val="005842EC"/>
    <w:rsid w:val="0058795D"/>
    <w:rsid w:val="00590B04"/>
    <w:rsid w:val="005937FF"/>
    <w:rsid w:val="005954F6"/>
    <w:rsid w:val="00595CF3"/>
    <w:rsid w:val="0059648C"/>
    <w:rsid w:val="005C2A65"/>
    <w:rsid w:val="005D06AC"/>
    <w:rsid w:val="005D23B7"/>
    <w:rsid w:val="005E006B"/>
    <w:rsid w:val="005E0C32"/>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4D2A"/>
    <w:rsid w:val="00667CBE"/>
    <w:rsid w:val="00675809"/>
    <w:rsid w:val="0067633A"/>
    <w:rsid w:val="00676FF5"/>
    <w:rsid w:val="00686574"/>
    <w:rsid w:val="00693603"/>
    <w:rsid w:val="006963F7"/>
    <w:rsid w:val="006A0673"/>
    <w:rsid w:val="006B0312"/>
    <w:rsid w:val="006B4311"/>
    <w:rsid w:val="006B72FA"/>
    <w:rsid w:val="006D435A"/>
    <w:rsid w:val="006D6677"/>
    <w:rsid w:val="006E468B"/>
    <w:rsid w:val="006E5937"/>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F82"/>
    <w:rsid w:val="00793AB8"/>
    <w:rsid w:val="007A2057"/>
    <w:rsid w:val="007B062F"/>
    <w:rsid w:val="007B0E4F"/>
    <w:rsid w:val="007B3944"/>
    <w:rsid w:val="007C1274"/>
    <w:rsid w:val="007C3EFB"/>
    <w:rsid w:val="007C423A"/>
    <w:rsid w:val="007C5A78"/>
    <w:rsid w:val="007D2289"/>
    <w:rsid w:val="007D7109"/>
    <w:rsid w:val="007E1E5C"/>
    <w:rsid w:val="007E37CB"/>
    <w:rsid w:val="007F6BA6"/>
    <w:rsid w:val="007F7D4A"/>
    <w:rsid w:val="00803D59"/>
    <w:rsid w:val="00803F01"/>
    <w:rsid w:val="00804587"/>
    <w:rsid w:val="00811D53"/>
    <w:rsid w:val="0081245E"/>
    <w:rsid w:val="008158C2"/>
    <w:rsid w:val="008165E8"/>
    <w:rsid w:val="00823230"/>
    <w:rsid w:val="00823A31"/>
    <w:rsid w:val="00827D4C"/>
    <w:rsid w:val="008331D8"/>
    <w:rsid w:val="0083770B"/>
    <w:rsid w:val="00841F5A"/>
    <w:rsid w:val="0084392B"/>
    <w:rsid w:val="008474DE"/>
    <w:rsid w:val="00853823"/>
    <w:rsid w:val="00863D68"/>
    <w:rsid w:val="00875D1D"/>
    <w:rsid w:val="00876EA4"/>
    <w:rsid w:val="00877DFE"/>
    <w:rsid w:val="0088157B"/>
    <w:rsid w:val="008825F3"/>
    <w:rsid w:val="0088514D"/>
    <w:rsid w:val="008852F2"/>
    <w:rsid w:val="00887F56"/>
    <w:rsid w:val="00894092"/>
    <w:rsid w:val="00894BE0"/>
    <w:rsid w:val="008A57BB"/>
    <w:rsid w:val="008B4462"/>
    <w:rsid w:val="008B5B1E"/>
    <w:rsid w:val="008B69E2"/>
    <w:rsid w:val="008C5997"/>
    <w:rsid w:val="008D3090"/>
    <w:rsid w:val="008D34C4"/>
    <w:rsid w:val="008D392D"/>
    <w:rsid w:val="008E5B34"/>
    <w:rsid w:val="008E6C77"/>
    <w:rsid w:val="008E7255"/>
    <w:rsid w:val="008F07C1"/>
    <w:rsid w:val="008F2039"/>
    <w:rsid w:val="008F2D96"/>
    <w:rsid w:val="008F68EF"/>
    <w:rsid w:val="00902719"/>
    <w:rsid w:val="00903A51"/>
    <w:rsid w:val="009043EE"/>
    <w:rsid w:val="009115B8"/>
    <w:rsid w:val="00916458"/>
    <w:rsid w:val="00921B7A"/>
    <w:rsid w:val="009231B2"/>
    <w:rsid w:val="0093086E"/>
    <w:rsid w:val="009333FD"/>
    <w:rsid w:val="0093375E"/>
    <w:rsid w:val="009378C5"/>
    <w:rsid w:val="00943667"/>
    <w:rsid w:val="00946420"/>
    <w:rsid w:val="00947BDC"/>
    <w:rsid w:val="00947D6A"/>
    <w:rsid w:val="009520FE"/>
    <w:rsid w:val="009546BB"/>
    <w:rsid w:val="00961AD9"/>
    <w:rsid w:val="009668A5"/>
    <w:rsid w:val="00970937"/>
    <w:rsid w:val="00971D24"/>
    <w:rsid w:val="00973837"/>
    <w:rsid w:val="00974EB5"/>
    <w:rsid w:val="00980D69"/>
    <w:rsid w:val="00984451"/>
    <w:rsid w:val="00984EEC"/>
    <w:rsid w:val="009873C5"/>
    <w:rsid w:val="009A30BF"/>
    <w:rsid w:val="009A5237"/>
    <w:rsid w:val="009A7A52"/>
    <w:rsid w:val="009B0EFC"/>
    <w:rsid w:val="009B1B65"/>
    <w:rsid w:val="009C35DE"/>
    <w:rsid w:val="009C6A33"/>
    <w:rsid w:val="009C7BF7"/>
    <w:rsid w:val="009D13B6"/>
    <w:rsid w:val="009D20BB"/>
    <w:rsid w:val="009D22FE"/>
    <w:rsid w:val="009F1031"/>
    <w:rsid w:val="009F1401"/>
    <w:rsid w:val="009F76FF"/>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2B64"/>
    <w:rsid w:val="00A941BA"/>
    <w:rsid w:val="00AA2FE1"/>
    <w:rsid w:val="00AA7575"/>
    <w:rsid w:val="00AB63C5"/>
    <w:rsid w:val="00AB7591"/>
    <w:rsid w:val="00AF1D9E"/>
    <w:rsid w:val="00B12792"/>
    <w:rsid w:val="00B15DE7"/>
    <w:rsid w:val="00B1628C"/>
    <w:rsid w:val="00B2745D"/>
    <w:rsid w:val="00B33354"/>
    <w:rsid w:val="00B4126D"/>
    <w:rsid w:val="00B441DE"/>
    <w:rsid w:val="00B54F30"/>
    <w:rsid w:val="00B62065"/>
    <w:rsid w:val="00B63171"/>
    <w:rsid w:val="00B67855"/>
    <w:rsid w:val="00B81E71"/>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146F"/>
    <w:rsid w:val="00C6183F"/>
    <w:rsid w:val="00C62E40"/>
    <w:rsid w:val="00C73CA9"/>
    <w:rsid w:val="00C7604D"/>
    <w:rsid w:val="00C83E25"/>
    <w:rsid w:val="00C96BC2"/>
    <w:rsid w:val="00CA2704"/>
    <w:rsid w:val="00CB64A2"/>
    <w:rsid w:val="00CD1E40"/>
    <w:rsid w:val="00CD395A"/>
    <w:rsid w:val="00CE4B1C"/>
    <w:rsid w:val="00CF4E1F"/>
    <w:rsid w:val="00D0021E"/>
    <w:rsid w:val="00D1337C"/>
    <w:rsid w:val="00D13CB5"/>
    <w:rsid w:val="00D165F1"/>
    <w:rsid w:val="00D20DFE"/>
    <w:rsid w:val="00D21A51"/>
    <w:rsid w:val="00D245CE"/>
    <w:rsid w:val="00D26FA2"/>
    <w:rsid w:val="00D35749"/>
    <w:rsid w:val="00D35F0E"/>
    <w:rsid w:val="00D500C9"/>
    <w:rsid w:val="00D50D14"/>
    <w:rsid w:val="00D52F3D"/>
    <w:rsid w:val="00D5304C"/>
    <w:rsid w:val="00D53DA2"/>
    <w:rsid w:val="00D55853"/>
    <w:rsid w:val="00D61E00"/>
    <w:rsid w:val="00D77FE4"/>
    <w:rsid w:val="00D805A3"/>
    <w:rsid w:val="00D923CC"/>
    <w:rsid w:val="00D942A6"/>
    <w:rsid w:val="00D95B01"/>
    <w:rsid w:val="00DA2579"/>
    <w:rsid w:val="00DA3F70"/>
    <w:rsid w:val="00DA4F82"/>
    <w:rsid w:val="00DB0CE5"/>
    <w:rsid w:val="00DB2C74"/>
    <w:rsid w:val="00DB4016"/>
    <w:rsid w:val="00DC7643"/>
    <w:rsid w:val="00DD02CF"/>
    <w:rsid w:val="00DE067F"/>
    <w:rsid w:val="00DE1531"/>
    <w:rsid w:val="00DE2EB6"/>
    <w:rsid w:val="00DF68C5"/>
    <w:rsid w:val="00E00BE3"/>
    <w:rsid w:val="00E02730"/>
    <w:rsid w:val="00E0302D"/>
    <w:rsid w:val="00E3393D"/>
    <w:rsid w:val="00E34875"/>
    <w:rsid w:val="00E37B54"/>
    <w:rsid w:val="00E409DF"/>
    <w:rsid w:val="00E44651"/>
    <w:rsid w:val="00E47E25"/>
    <w:rsid w:val="00E54882"/>
    <w:rsid w:val="00E62903"/>
    <w:rsid w:val="00E62CBD"/>
    <w:rsid w:val="00E662AC"/>
    <w:rsid w:val="00E708E0"/>
    <w:rsid w:val="00E75C41"/>
    <w:rsid w:val="00E75DE6"/>
    <w:rsid w:val="00E83A83"/>
    <w:rsid w:val="00E915CC"/>
    <w:rsid w:val="00EA0E6E"/>
    <w:rsid w:val="00EA755D"/>
    <w:rsid w:val="00EB026E"/>
    <w:rsid w:val="00EB220A"/>
    <w:rsid w:val="00EB61BA"/>
    <w:rsid w:val="00EB77F7"/>
    <w:rsid w:val="00EC14F0"/>
    <w:rsid w:val="00EC38DA"/>
    <w:rsid w:val="00ED247E"/>
    <w:rsid w:val="00ED53FF"/>
    <w:rsid w:val="00EE15AD"/>
    <w:rsid w:val="00EE403A"/>
    <w:rsid w:val="00EE5A13"/>
    <w:rsid w:val="00EF01F7"/>
    <w:rsid w:val="00EF1566"/>
    <w:rsid w:val="00EF1E53"/>
    <w:rsid w:val="00F01468"/>
    <w:rsid w:val="00F04495"/>
    <w:rsid w:val="00F122B4"/>
    <w:rsid w:val="00F23364"/>
    <w:rsid w:val="00F24A9D"/>
    <w:rsid w:val="00F24B57"/>
    <w:rsid w:val="00F254C3"/>
    <w:rsid w:val="00F3050A"/>
    <w:rsid w:val="00F42BC2"/>
    <w:rsid w:val="00F44C5C"/>
    <w:rsid w:val="00F47247"/>
    <w:rsid w:val="00F50498"/>
    <w:rsid w:val="00F55A89"/>
    <w:rsid w:val="00F5752D"/>
    <w:rsid w:val="00F61560"/>
    <w:rsid w:val="00F6326C"/>
    <w:rsid w:val="00F646AC"/>
    <w:rsid w:val="00F717EB"/>
    <w:rsid w:val="00F771FF"/>
    <w:rsid w:val="00F9031E"/>
    <w:rsid w:val="00F903C3"/>
    <w:rsid w:val="00F9566C"/>
    <w:rsid w:val="00F95D59"/>
    <w:rsid w:val="00F96E98"/>
    <w:rsid w:val="00FA13E1"/>
    <w:rsid w:val="00FA3705"/>
    <w:rsid w:val="00FA76E0"/>
    <w:rsid w:val="00FB0927"/>
    <w:rsid w:val="00FB3528"/>
    <w:rsid w:val="00FB7D61"/>
    <w:rsid w:val="00FC18FD"/>
    <w:rsid w:val="00FD7591"/>
    <w:rsid w:val="00FE4184"/>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64D2A"/>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next w:val="Standard"/>
    <w:link w:val="berschrift2Zchn"/>
    <w:uiPriority w:val="9"/>
    <w:semiHidden/>
    <w:unhideWhenUsed/>
    <w:qFormat/>
    <w:rsid w:val="00F9566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berschrift2Zchn">
    <w:name w:val="Überschrift 2 Zchn"/>
    <w:basedOn w:val="Absatz-Standardschriftart"/>
    <w:link w:val="berschrift2"/>
    <w:uiPriority w:val="9"/>
    <w:semiHidden/>
    <w:rsid w:val="00F9566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70539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58190991">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86106772">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2052709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88486177">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87458335">
      <w:bodyDiv w:val="1"/>
      <w:marLeft w:val="0"/>
      <w:marRight w:val="0"/>
      <w:marTop w:val="0"/>
      <w:marBottom w:val="0"/>
      <w:divBdr>
        <w:top w:val="none" w:sz="0" w:space="0" w:color="auto"/>
        <w:left w:val="none" w:sz="0" w:space="0" w:color="auto"/>
        <w:bottom w:val="none" w:sz="0" w:space="0" w:color="auto"/>
        <w:right w:val="none" w:sz="0" w:space="0" w:color="auto"/>
      </w:divBdr>
    </w:div>
    <w:div w:id="1802337661">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712967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pa@press-n-relations.de" TargetMode="External"/><Relationship Id="rId12" Type="http://schemas.openxmlformats.org/officeDocument/2006/relationships/hyperlink" Target="http://www.press-n-relations.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maria.krueger@ppi.de" TargetMode="External"/><Relationship Id="rId10" Type="http://schemas.openxmlformats.org/officeDocument/2006/relationships/hyperlink" Target="http://www.pp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4253</Characters>
  <Application>Microsoft Macintosh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Ulm/Hamburg, 2. November 2017</vt:lpstr>
    </vt:vector>
  </TitlesOfParts>
  <Company>Press'n'Relations </Company>
  <LinksUpToDate>false</LinksUpToDate>
  <CharactersWithSpaces>4918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2</cp:revision>
  <cp:lastPrinted>2017-10-27T08:10:00Z</cp:lastPrinted>
  <dcterms:created xsi:type="dcterms:W3CDTF">2017-11-02T07:14:00Z</dcterms:created>
  <dcterms:modified xsi:type="dcterms:W3CDTF">2017-11-02T07:14:00Z</dcterms:modified>
</cp:coreProperties>
</file>