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25387E25" w:rsidR="00262861" w:rsidRDefault="00262861" w:rsidP="00262861">
      <w:pPr>
        <w:ind w:right="-709"/>
        <w:outlineLvl w:val="0"/>
        <w:rPr>
          <w:sz w:val="20"/>
        </w:rPr>
      </w:pPr>
      <w:r w:rsidRPr="00B2745D">
        <w:rPr>
          <w:sz w:val="20"/>
        </w:rPr>
        <w:t xml:space="preserve">Ulm, </w:t>
      </w:r>
      <w:r w:rsidR="00D23BA6">
        <w:rPr>
          <w:sz w:val="20"/>
        </w:rPr>
        <w:t>26</w:t>
      </w:r>
      <w:r>
        <w:rPr>
          <w:sz w:val="20"/>
        </w:rPr>
        <w:t xml:space="preserve">. </w:t>
      </w:r>
      <w:r w:rsidR="00D23BA6">
        <w:rPr>
          <w:sz w:val="20"/>
        </w:rPr>
        <w:t>April</w:t>
      </w:r>
      <w:r w:rsidRPr="00B2745D">
        <w:rPr>
          <w:sz w:val="20"/>
        </w:rPr>
        <w:t xml:space="preserve"> 201</w:t>
      </w:r>
      <w:r>
        <w:rPr>
          <w:sz w:val="20"/>
        </w:rPr>
        <w:t>8</w:t>
      </w:r>
    </w:p>
    <w:p w14:paraId="032AFE0D" w14:textId="51F3B213" w:rsidR="002A5A62" w:rsidRPr="003401BC" w:rsidRDefault="00462C87" w:rsidP="00262861">
      <w:pPr>
        <w:ind w:right="-2126"/>
        <w:rPr>
          <w:b/>
          <w:bCs/>
          <w:sz w:val="28"/>
          <w:szCs w:val="28"/>
        </w:rPr>
      </w:pPr>
      <w:r>
        <w:rPr>
          <w:b/>
          <w:bCs/>
          <w:sz w:val="28"/>
          <w:szCs w:val="28"/>
        </w:rPr>
        <w:t>P/5 SMGA-Suite: D</w:t>
      </w:r>
      <w:r w:rsidR="002A5A62">
        <w:rPr>
          <w:b/>
          <w:bCs/>
          <w:sz w:val="28"/>
          <w:szCs w:val="28"/>
        </w:rPr>
        <w:t xml:space="preserve">ie neue </w:t>
      </w:r>
      <w:r w:rsidR="00D702D4">
        <w:rPr>
          <w:b/>
          <w:bCs/>
          <w:sz w:val="28"/>
          <w:szCs w:val="28"/>
        </w:rPr>
        <w:t>Software</w:t>
      </w:r>
      <w:r w:rsidR="002A5A62">
        <w:rPr>
          <w:b/>
          <w:bCs/>
          <w:sz w:val="28"/>
          <w:szCs w:val="28"/>
        </w:rPr>
        <w:t xml:space="preserve"> für die Gateway-Administration</w:t>
      </w:r>
      <w:r w:rsidR="002A5A62">
        <w:rPr>
          <w:b/>
          <w:bCs/>
          <w:sz w:val="28"/>
          <w:szCs w:val="28"/>
        </w:rPr>
        <w:br/>
      </w:r>
      <w:r w:rsidR="002A5A62" w:rsidRPr="002A5A62">
        <w:rPr>
          <w:rFonts w:cs="Helvetica"/>
          <w:b/>
          <w:bCs/>
          <w:sz w:val="20"/>
        </w:rPr>
        <w:t>Gemeinschaftsentwicklu</w:t>
      </w:r>
      <w:r w:rsidR="002A5A62">
        <w:rPr>
          <w:rFonts w:cs="Helvetica"/>
          <w:b/>
          <w:bCs/>
          <w:sz w:val="20"/>
        </w:rPr>
        <w:t>n</w:t>
      </w:r>
      <w:r w:rsidR="002A5A62" w:rsidRPr="002A5A62">
        <w:rPr>
          <w:rFonts w:cs="Helvetica"/>
          <w:b/>
          <w:bCs/>
          <w:sz w:val="20"/>
        </w:rPr>
        <w:t>g</w:t>
      </w:r>
      <w:r w:rsidR="002A5A62">
        <w:rPr>
          <w:rFonts w:cs="Helvetica"/>
          <w:b/>
          <w:bCs/>
          <w:sz w:val="20"/>
        </w:rPr>
        <w:t xml:space="preserve"> von Wilken </w:t>
      </w:r>
      <w:r>
        <w:rPr>
          <w:rFonts w:cs="Helvetica"/>
          <w:b/>
          <w:bCs/>
          <w:sz w:val="20"/>
        </w:rPr>
        <w:t xml:space="preserve">und IVU </w:t>
      </w:r>
      <w:r w:rsidR="002A5A62">
        <w:rPr>
          <w:rFonts w:cs="Helvetica"/>
          <w:b/>
          <w:bCs/>
          <w:sz w:val="20"/>
        </w:rPr>
        <w:t>auch für Anwender anderer Branchenlösungen</w:t>
      </w:r>
    </w:p>
    <w:p w14:paraId="719EB826" w14:textId="036CE1C4" w:rsidR="00262861" w:rsidRPr="00B51E17" w:rsidRDefault="00C91EBA" w:rsidP="00262861">
      <w:pPr>
        <w:spacing w:line="336" w:lineRule="auto"/>
        <w:rPr>
          <w:rFonts w:cs="Helvetica"/>
          <w:b/>
          <w:bCs/>
          <w:sz w:val="20"/>
        </w:rPr>
      </w:pPr>
      <w:r>
        <w:rPr>
          <w:rFonts w:cs="Helvetica"/>
          <w:b/>
          <w:bCs/>
          <w:sz w:val="20"/>
        </w:rPr>
        <w:t>Pünktlich zum endgül</w:t>
      </w:r>
      <w:r w:rsidR="00521519">
        <w:rPr>
          <w:rFonts w:cs="Helvetica"/>
          <w:b/>
          <w:bCs/>
          <w:sz w:val="20"/>
        </w:rPr>
        <w:t>t</w:t>
      </w:r>
      <w:r>
        <w:rPr>
          <w:rFonts w:cs="Helvetica"/>
          <w:b/>
          <w:bCs/>
          <w:sz w:val="20"/>
        </w:rPr>
        <w:t xml:space="preserve">igen Start des Rollouts der intelligenten Messsysteme (iMsys) </w:t>
      </w:r>
      <w:r w:rsidR="00521519">
        <w:rPr>
          <w:rFonts w:cs="Helvetica"/>
          <w:b/>
          <w:bCs/>
          <w:sz w:val="20"/>
        </w:rPr>
        <w:t>präsentieren</w:t>
      </w:r>
      <w:r>
        <w:rPr>
          <w:rFonts w:cs="Helvetica"/>
          <w:b/>
          <w:bCs/>
          <w:sz w:val="20"/>
        </w:rPr>
        <w:t xml:space="preserve"> die Wilken Software Group und die </w:t>
      </w:r>
      <w:r w:rsidR="00521519" w:rsidRPr="00521519">
        <w:rPr>
          <w:rFonts w:cs="Helvetica"/>
          <w:b/>
          <w:bCs/>
          <w:sz w:val="20"/>
        </w:rPr>
        <w:t>IVU Informationssysteme GmbH</w:t>
      </w:r>
      <w:r w:rsidR="00521519">
        <w:rPr>
          <w:rFonts w:cs="Helvetica"/>
          <w:b/>
          <w:bCs/>
          <w:sz w:val="20"/>
        </w:rPr>
        <w:t xml:space="preserve"> eine eigene Lösung für die Smart-Meter-Gateway-Administration</w:t>
      </w:r>
      <w:r w:rsidR="00262861" w:rsidRPr="00B51E17">
        <w:rPr>
          <w:rFonts w:cs="Helvetica"/>
          <w:b/>
          <w:bCs/>
          <w:sz w:val="20"/>
        </w:rPr>
        <w:t>.</w:t>
      </w:r>
      <w:r w:rsidR="00521519">
        <w:rPr>
          <w:rFonts w:cs="Helvetica"/>
          <w:b/>
          <w:bCs/>
          <w:sz w:val="20"/>
        </w:rPr>
        <w:t xml:space="preserve"> Die neue P/5 SMGA-Suite bietet eine tiefe Integration in die Wilken-Lösungen ENER:GY und </w:t>
      </w:r>
      <w:proofErr w:type="spellStart"/>
      <w:r w:rsidR="00521519">
        <w:rPr>
          <w:rFonts w:cs="Helvetica"/>
          <w:b/>
          <w:bCs/>
          <w:sz w:val="20"/>
        </w:rPr>
        <w:t>NTS.suite</w:t>
      </w:r>
      <w:proofErr w:type="spellEnd"/>
      <w:r w:rsidR="00521519">
        <w:rPr>
          <w:rFonts w:cs="Helvetica"/>
          <w:b/>
          <w:bCs/>
          <w:sz w:val="20"/>
        </w:rPr>
        <w:t>, kann aber auch einfach an andere Branchenlösungen angebunden werden. „Wir haben uns zu dieser Neu</w:t>
      </w:r>
      <w:r w:rsidR="000B6F66">
        <w:rPr>
          <w:rFonts w:cs="Helvetica"/>
          <w:b/>
          <w:bCs/>
          <w:sz w:val="20"/>
        </w:rPr>
        <w:t>e</w:t>
      </w:r>
      <w:r w:rsidR="00521519">
        <w:rPr>
          <w:rFonts w:cs="Helvetica"/>
          <w:b/>
          <w:bCs/>
          <w:sz w:val="20"/>
        </w:rPr>
        <w:t xml:space="preserve">ntwicklung entschlossen, weil </w:t>
      </w:r>
      <w:r w:rsidR="00521519" w:rsidRPr="00521519">
        <w:rPr>
          <w:rFonts w:cs="Helvetica"/>
          <w:b/>
          <w:bCs/>
          <w:sz w:val="20"/>
        </w:rPr>
        <w:t xml:space="preserve">die Integration der von uns bisher präferierten GWA-Software </w:t>
      </w:r>
      <w:r w:rsidR="00521519">
        <w:rPr>
          <w:rFonts w:cs="Helvetica"/>
          <w:b/>
          <w:bCs/>
          <w:sz w:val="20"/>
        </w:rPr>
        <w:t xml:space="preserve">eines anderen Herstellers zu </w:t>
      </w:r>
      <w:r w:rsidR="00521519" w:rsidRPr="00521519">
        <w:rPr>
          <w:rFonts w:cs="Helvetica"/>
          <w:b/>
          <w:bCs/>
          <w:sz w:val="20"/>
        </w:rPr>
        <w:t>erheblichen Aufwänden geführt hat – vor allem auch wegen eines mangelhaften Änderungsmanagements</w:t>
      </w:r>
      <w:r w:rsidR="00521519">
        <w:rPr>
          <w:rFonts w:cs="Helvetica"/>
          <w:b/>
          <w:bCs/>
          <w:sz w:val="20"/>
        </w:rPr>
        <w:t>“, erklä</w:t>
      </w:r>
      <w:r w:rsidR="00F22112">
        <w:rPr>
          <w:rFonts w:cs="Helvetica"/>
          <w:b/>
          <w:bCs/>
          <w:sz w:val="20"/>
        </w:rPr>
        <w:t>rt</w:t>
      </w:r>
      <w:r w:rsidR="00521519">
        <w:rPr>
          <w:rFonts w:cs="Helvetica"/>
          <w:b/>
          <w:bCs/>
          <w:sz w:val="20"/>
        </w:rPr>
        <w:t xml:space="preserve"> Folkert Wilken, geschäftsführender Gesellschafter der Wilken Software Group</w:t>
      </w:r>
      <w:r w:rsidR="00F22112">
        <w:rPr>
          <w:rFonts w:cs="Helvetica"/>
          <w:b/>
          <w:bCs/>
          <w:sz w:val="20"/>
        </w:rPr>
        <w:t xml:space="preserve">. „Andere auf dem Markt verfügbare </w:t>
      </w:r>
      <w:r w:rsidR="00D702D4">
        <w:rPr>
          <w:rFonts w:cs="Helvetica"/>
          <w:b/>
          <w:bCs/>
          <w:sz w:val="20"/>
        </w:rPr>
        <w:t>Systeme</w:t>
      </w:r>
      <w:r w:rsidR="009C4599">
        <w:rPr>
          <w:rFonts w:cs="Helvetica"/>
          <w:b/>
          <w:bCs/>
          <w:sz w:val="20"/>
        </w:rPr>
        <w:t xml:space="preserve"> unabhängiger Softwarehäuser</w:t>
      </w:r>
      <w:r w:rsidR="00F22112">
        <w:rPr>
          <w:rFonts w:cs="Helvetica"/>
          <w:b/>
          <w:bCs/>
          <w:sz w:val="20"/>
        </w:rPr>
        <w:t xml:space="preserve"> sind </w:t>
      </w:r>
      <w:r w:rsidR="009C4599">
        <w:rPr>
          <w:rFonts w:cs="Helvetica"/>
          <w:b/>
          <w:bCs/>
          <w:sz w:val="20"/>
        </w:rPr>
        <w:t xml:space="preserve">zudem </w:t>
      </w:r>
      <w:r w:rsidR="00F22112" w:rsidRPr="00F22112">
        <w:rPr>
          <w:rFonts w:cs="Helvetica"/>
          <w:b/>
          <w:bCs/>
          <w:sz w:val="20"/>
        </w:rPr>
        <w:t>nicht wirklich auf den Bedarf von kleinen und mittleren Versorgungsunternehmen zugeschnitten</w:t>
      </w:r>
      <w:r w:rsidR="004A1B69">
        <w:rPr>
          <w:rFonts w:cs="Helvetica"/>
          <w:b/>
          <w:bCs/>
          <w:sz w:val="20"/>
        </w:rPr>
        <w:t>. Die Neuentwicklung auf Basis der Wilken-Plattform P/5 bot dagegen die Chance, die neue Lösung auf diese Anforderungen auszurichten</w:t>
      </w:r>
      <w:r w:rsidR="00F22112">
        <w:rPr>
          <w:rFonts w:cs="Helvetica"/>
          <w:b/>
          <w:bCs/>
          <w:sz w:val="20"/>
        </w:rPr>
        <w:t xml:space="preserve">“, ergänzt IVU-Geschäftsführer Julian Stenzel. Die P/5 SMGA-Suite wird im Sommer bei ersten Pilotanwendern implementiert und </w:t>
      </w:r>
      <w:r w:rsidR="00337951">
        <w:rPr>
          <w:rFonts w:cs="Helvetica"/>
          <w:b/>
          <w:bCs/>
          <w:sz w:val="20"/>
        </w:rPr>
        <w:t>ab Herbst ausgerollt –</w:t>
      </w:r>
      <w:r w:rsidR="00F22112">
        <w:rPr>
          <w:rFonts w:cs="Helvetica"/>
          <w:b/>
          <w:bCs/>
          <w:sz w:val="20"/>
        </w:rPr>
        <w:t xml:space="preserve"> unter anderem bei Mitgliedern der VU</w:t>
      </w:r>
      <w:r w:rsidR="000B6F66">
        <w:rPr>
          <w:rFonts w:cs="Helvetica"/>
          <w:b/>
          <w:bCs/>
          <w:sz w:val="20"/>
        </w:rPr>
        <w:t>-</w:t>
      </w:r>
      <w:r w:rsidR="00F22112">
        <w:rPr>
          <w:rFonts w:cs="Helvetica"/>
          <w:b/>
          <w:bCs/>
          <w:sz w:val="20"/>
        </w:rPr>
        <w:t>A</w:t>
      </w:r>
      <w:r w:rsidR="000B6F66">
        <w:rPr>
          <w:rFonts w:cs="Helvetica"/>
          <w:b/>
          <w:bCs/>
          <w:sz w:val="20"/>
        </w:rPr>
        <w:t>RGE</w:t>
      </w:r>
      <w:r w:rsidR="00F22112">
        <w:rPr>
          <w:rFonts w:cs="Helvetica"/>
          <w:b/>
          <w:bCs/>
          <w:sz w:val="20"/>
        </w:rPr>
        <w:t xml:space="preserve">, in der mehr als </w:t>
      </w:r>
      <w:r w:rsidR="000B6F66">
        <w:rPr>
          <w:rFonts w:cs="Helvetica"/>
          <w:b/>
          <w:bCs/>
          <w:sz w:val="20"/>
        </w:rPr>
        <w:t>7</w:t>
      </w:r>
      <w:r w:rsidR="00F22112">
        <w:rPr>
          <w:rFonts w:cs="Helvetica"/>
          <w:b/>
          <w:bCs/>
          <w:sz w:val="20"/>
        </w:rPr>
        <w:t>0 Versorgungsunternehmen organisiert sind.</w:t>
      </w:r>
      <w:r w:rsidR="00013429">
        <w:rPr>
          <w:rFonts w:cs="Helvetica"/>
          <w:b/>
          <w:bCs/>
          <w:sz w:val="20"/>
        </w:rPr>
        <w:t xml:space="preserve"> </w:t>
      </w:r>
    </w:p>
    <w:p w14:paraId="7136649D" w14:textId="11998359" w:rsidR="00262861" w:rsidRDefault="009836BE" w:rsidP="00262861">
      <w:pPr>
        <w:spacing w:line="336" w:lineRule="auto"/>
        <w:rPr>
          <w:rFonts w:cs="Helvetica"/>
          <w:b/>
          <w:bCs/>
          <w:color w:val="FF0000"/>
          <w:sz w:val="20"/>
        </w:rPr>
      </w:pPr>
      <w:r w:rsidRPr="009836BE">
        <w:rPr>
          <w:rFonts w:cs="Helvetica"/>
          <w:sz w:val="20"/>
        </w:rPr>
        <w:t xml:space="preserve">Für den Betrieb </w:t>
      </w:r>
      <w:r>
        <w:rPr>
          <w:rFonts w:cs="Helvetica"/>
          <w:sz w:val="20"/>
        </w:rPr>
        <w:t>als Software-</w:t>
      </w:r>
      <w:proofErr w:type="spellStart"/>
      <w:r>
        <w:rPr>
          <w:rFonts w:cs="Helvetica"/>
          <w:sz w:val="20"/>
        </w:rPr>
        <w:t>as</w:t>
      </w:r>
      <w:proofErr w:type="spellEnd"/>
      <w:r>
        <w:rPr>
          <w:rFonts w:cs="Helvetica"/>
          <w:sz w:val="20"/>
        </w:rPr>
        <w:t>-a-</w:t>
      </w:r>
      <w:r w:rsidRPr="009836BE">
        <w:rPr>
          <w:rFonts w:cs="Helvetica"/>
          <w:sz w:val="20"/>
        </w:rPr>
        <w:t xml:space="preserve">Service und die Vermarktung der P/5 SMGA-Suite ist künftig eine eigenständige </w:t>
      </w:r>
      <w:r>
        <w:rPr>
          <w:rFonts w:cs="Helvetica"/>
          <w:sz w:val="20"/>
        </w:rPr>
        <w:t xml:space="preserve">Betreibergesellschaft </w:t>
      </w:r>
      <w:r w:rsidRPr="009836BE">
        <w:rPr>
          <w:rFonts w:cs="Helvetica"/>
          <w:sz w:val="20"/>
        </w:rPr>
        <w:t xml:space="preserve">verantwortlich. Die Lösung ist cloudbasiert und wird georedundant in </w:t>
      </w:r>
      <w:r>
        <w:rPr>
          <w:rFonts w:cs="Helvetica"/>
          <w:sz w:val="20"/>
        </w:rPr>
        <w:t>zwei ISO 27001-</w:t>
      </w:r>
      <w:r w:rsidRPr="009836BE">
        <w:rPr>
          <w:rFonts w:cs="Helvetica"/>
          <w:sz w:val="20"/>
        </w:rPr>
        <w:t xml:space="preserve">zertifizierten Rechenzentren </w:t>
      </w:r>
      <w:r>
        <w:rPr>
          <w:rFonts w:cs="Helvetica"/>
          <w:sz w:val="20"/>
        </w:rPr>
        <w:t xml:space="preserve">in Deutschland </w:t>
      </w:r>
      <w:r w:rsidRPr="009836BE">
        <w:rPr>
          <w:rFonts w:cs="Helvetica"/>
          <w:sz w:val="20"/>
        </w:rPr>
        <w:t xml:space="preserve">betrieben. </w:t>
      </w:r>
      <w:r w:rsidR="00E03627">
        <w:rPr>
          <w:rFonts w:cs="Helvetica"/>
          <w:sz w:val="20"/>
        </w:rPr>
        <w:t xml:space="preserve">Damit sind die </w:t>
      </w:r>
      <w:r w:rsidR="00F22112" w:rsidRPr="00F22112">
        <w:rPr>
          <w:rFonts w:cs="Helvetica"/>
          <w:sz w:val="20"/>
        </w:rPr>
        <w:t>Voraussetzungen für die Zertifizierung durch das BSI bereits weitgehend erfüllt, so dass diese bis zum Start des Rollouts vorliegen wird.</w:t>
      </w:r>
      <w:r w:rsidR="00F22112">
        <w:rPr>
          <w:rFonts w:cs="Helvetica"/>
          <w:sz w:val="20"/>
        </w:rPr>
        <w:t xml:space="preserve"> Unternehmen</w:t>
      </w:r>
      <w:r w:rsidR="00F22112" w:rsidRPr="00F22112">
        <w:rPr>
          <w:rFonts w:cs="Helvetica"/>
          <w:sz w:val="20"/>
        </w:rPr>
        <w:t xml:space="preserve"> können die P/5 SMGA-Suite</w:t>
      </w:r>
      <w:r w:rsidR="00F22112" w:rsidRPr="00F22112">
        <w:rPr>
          <w:rFonts w:cs="Helvetica"/>
          <w:b/>
          <w:bCs/>
          <w:sz w:val="20"/>
        </w:rPr>
        <w:t xml:space="preserve"> </w:t>
      </w:r>
      <w:r w:rsidR="00F22112" w:rsidRPr="00F22112">
        <w:rPr>
          <w:rFonts w:cs="Helvetica"/>
          <w:sz w:val="20"/>
        </w:rPr>
        <w:t>in Form eines Software-</w:t>
      </w:r>
      <w:proofErr w:type="spellStart"/>
      <w:r w:rsidR="00F22112" w:rsidRPr="00F22112">
        <w:rPr>
          <w:rFonts w:cs="Helvetica"/>
          <w:sz w:val="20"/>
        </w:rPr>
        <w:t>as</w:t>
      </w:r>
      <w:proofErr w:type="spellEnd"/>
      <w:r w:rsidR="00F22112" w:rsidRPr="00F22112">
        <w:rPr>
          <w:rFonts w:cs="Helvetica"/>
          <w:sz w:val="20"/>
        </w:rPr>
        <w:t xml:space="preserve">-a-Service-Angebots selbst einsetzen oder Prozesse der Gateway-Administration im Rahmen eines Full-Service-Angebots komplett auslagern. Als Full-Service-Partner </w:t>
      </w:r>
      <w:r w:rsidR="00F22112">
        <w:rPr>
          <w:rFonts w:cs="Helvetica"/>
          <w:sz w:val="20"/>
        </w:rPr>
        <w:t>kommt beispielsweise</w:t>
      </w:r>
      <w:r w:rsidR="00F22112" w:rsidRPr="00F22112">
        <w:rPr>
          <w:rFonts w:cs="Helvetica"/>
          <w:sz w:val="20"/>
        </w:rPr>
        <w:t xml:space="preserve"> die IVU-</w:t>
      </w:r>
      <w:r w:rsidR="000B6F66">
        <w:rPr>
          <w:rFonts w:cs="Helvetica"/>
          <w:sz w:val="20"/>
        </w:rPr>
        <w:lastRenderedPageBreak/>
        <w:t xml:space="preserve">Tochter </w:t>
      </w:r>
      <w:proofErr w:type="spellStart"/>
      <w:r w:rsidR="000B6F66">
        <w:rPr>
          <w:rFonts w:cs="Helvetica"/>
          <w:sz w:val="20"/>
        </w:rPr>
        <w:t>M</w:t>
      </w:r>
      <w:r w:rsidR="00F22112" w:rsidRPr="00F22112">
        <w:rPr>
          <w:rFonts w:cs="Helvetica"/>
          <w:sz w:val="20"/>
        </w:rPr>
        <w:t>eter</w:t>
      </w:r>
      <w:r w:rsidR="000B6F66">
        <w:rPr>
          <w:rFonts w:cs="Helvetica"/>
          <w:sz w:val="20"/>
        </w:rPr>
        <w:t>P</w:t>
      </w:r>
      <w:r w:rsidR="00F22112" w:rsidRPr="00F22112">
        <w:rPr>
          <w:rFonts w:cs="Helvetica"/>
          <w:sz w:val="20"/>
        </w:rPr>
        <w:t>an</w:t>
      </w:r>
      <w:proofErr w:type="spellEnd"/>
      <w:r w:rsidR="00F22112" w:rsidRPr="00F22112">
        <w:rPr>
          <w:rFonts w:cs="Helvetica"/>
          <w:sz w:val="20"/>
        </w:rPr>
        <w:t xml:space="preserve"> </w:t>
      </w:r>
      <w:r w:rsidR="00F22112">
        <w:rPr>
          <w:rFonts w:cs="Helvetica"/>
          <w:sz w:val="20"/>
        </w:rPr>
        <w:t>infrage</w:t>
      </w:r>
      <w:r w:rsidR="00F22112" w:rsidRPr="00F22112">
        <w:rPr>
          <w:rFonts w:cs="Helvetica"/>
          <w:sz w:val="20"/>
        </w:rPr>
        <w:t>, die über weitreichende Kompetenzen im Messstellenbetrieb, der Gateway-Administration und im Messdaten-Management verfügt.</w:t>
      </w:r>
    </w:p>
    <w:p w14:paraId="1CCDE5C9" w14:textId="2DE77B5A" w:rsidR="00363289" w:rsidRPr="00363289" w:rsidRDefault="00363289" w:rsidP="00262861">
      <w:pPr>
        <w:spacing w:line="336" w:lineRule="auto"/>
        <w:rPr>
          <w:rFonts w:cs="Helvetica"/>
          <w:sz w:val="20"/>
        </w:rPr>
      </w:pPr>
      <w:r>
        <w:rPr>
          <w:rFonts w:cs="Helvetica"/>
          <w:sz w:val="20"/>
        </w:rPr>
        <w:t xml:space="preserve">Für den Anwender bringt die Tiefenintegration zahlreiche Vorteile: </w:t>
      </w:r>
      <w:r w:rsidRPr="00363289">
        <w:rPr>
          <w:rFonts w:cs="Helvetica"/>
          <w:bCs/>
          <w:sz w:val="20"/>
        </w:rPr>
        <w:t xml:space="preserve">So werden die elektronischen Lieferscheine für die Gateways direkt in die Geräteverwaltung von ENER:GY bzw. der </w:t>
      </w:r>
      <w:proofErr w:type="spellStart"/>
      <w:r w:rsidRPr="00363289">
        <w:rPr>
          <w:rFonts w:cs="Helvetica"/>
          <w:bCs/>
          <w:sz w:val="20"/>
        </w:rPr>
        <w:t>NTS.suite</w:t>
      </w:r>
      <w:proofErr w:type="spellEnd"/>
      <w:r w:rsidRPr="00363289">
        <w:rPr>
          <w:rFonts w:cs="Helvetica"/>
          <w:bCs/>
          <w:sz w:val="20"/>
        </w:rPr>
        <w:t xml:space="preserve"> eingespielt. Für die Planung von Rollouts und Gerätewechseln stellen beide Systeme dann Informationen etwa </w:t>
      </w:r>
      <w:r w:rsidR="0041379A">
        <w:rPr>
          <w:rFonts w:cs="Helvetica"/>
          <w:bCs/>
          <w:sz w:val="20"/>
        </w:rPr>
        <w:t>zu</w:t>
      </w:r>
      <w:r w:rsidRPr="00363289">
        <w:rPr>
          <w:rFonts w:cs="Helvetica"/>
          <w:bCs/>
          <w:sz w:val="20"/>
        </w:rPr>
        <w:t xml:space="preserve"> verbauten Zähler</w:t>
      </w:r>
      <w:r w:rsidR="0041379A">
        <w:rPr>
          <w:rFonts w:cs="Helvetica"/>
          <w:bCs/>
          <w:sz w:val="20"/>
        </w:rPr>
        <w:t>n</w:t>
      </w:r>
      <w:r w:rsidRPr="00363289">
        <w:rPr>
          <w:rFonts w:cs="Helvetica"/>
          <w:bCs/>
          <w:sz w:val="20"/>
        </w:rPr>
        <w:t>, deren Eichfristen oder über die Pflichteinbauquoten zur Verfügung. Digitale Checklisten unterstützen als mobile Anwendung die I</w:t>
      </w:r>
      <w:r w:rsidR="0041379A">
        <w:rPr>
          <w:rFonts w:cs="Helvetica"/>
          <w:bCs/>
          <w:sz w:val="20"/>
        </w:rPr>
        <w:t>st</w:t>
      </w:r>
      <w:r w:rsidRPr="00363289">
        <w:rPr>
          <w:rFonts w:cs="Helvetica"/>
          <w:bCs/>
          <w:sz w:val="20"/>
        </w:rPr>
        <w:t xml:space="preserve">-Aufnahme vor Ort. Sämtliche für das </w:t>
      </w:r>
      <w:proofErr w:type="spellStart"/>
      <w:r w:rsidRPr="00363289">
        <w:rPr>
          <w:rFonts w:cs="Helvetica"/>
          <w:bCs/>
          <w:sz w:val="20"/>
        </w:rPr>
        <w:t>Workforce</w:t>
      </w:r>
      <w:proofErr w:type="spellEnd"/>
      <w:r w:rsidRPr="00363289">
        <w:rPr>
          <w:rFonts w:cs="Helvetica"/>
          <w:bCs/>
          <w:sz w:val="20"/>
        </w:rPr>
        <w:t xml:space="preserve">- und Rolloutmanagement notwendigen Daten sind somit an zentraler Stelle abgelegt und werden von dort aus an die beteiligten Anwendungen verteilt. Ein besonderer Vorteil ist auch, dass die alte und neue Zählerwelt prozessidentisch abgebildet </w:t>
      </w:r>
      <w:proofErr w:type="gramStart"/>
      <w:r w:rsidRPr="00363289">
        <w:rPr>
          <w:rFonts w:cs="Helvetica"/>
          <w:bCs/>
          <w:sz w:val="20"/>
        </w:rPr>
        <w:t>sind</w:t>
      </w:r>
      <w:proofErr w:type="gramEnd"/>
      <w:r w:rsidRPr="00363289">
        <w:rPr>
          <w:rFonts w:cs="Helvetica"/>
          <w:bCs/>
          <w:sz w:val="20"/>
        </w:rPr>
        <w:t xml:space="preserve">. Auf diese Weise werden sämtliche Messeinrichtungen – digital wie analog – über ein einziges System verwaltet. Auch die Abrechnung der Messstellen erfolgt integriert über ENER:GY bzw. </w:t>
      </w:r>
      <w:proofErr w:type="spellStart"/>
      <w:r w:rsidRPr="00363289">
        <w:rPr>
          <w:rFonts w:cs="Helvetica"/>
          <w:bCs/>
          <w:sz w:val="20"/>
        </w:rPr>
        <w:t>NTS.suite</w:t>
      </w:r>
      <w:proofErr w:type="spellEnd"/>
      <w:r w:rsidRPr="00363289">
        <w:rPr>
          <w:rFonts w:cs="Helvetica"/>
          <w:bCs/>
          <w:sz w:val="20"/>
        </w:rPr>
        <w:t>, so dass keine „Nebenabrechnung“ notwendig ist.</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77777777" w:rsidR="00262861" w:rsidRPr="00B2745D" w:rsidRDefault="00262861" w:rsidP="001A2BCF">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77777777"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w:t>
      </w:r>
      <w:bookmarkStart w:id="0" w:name="_GoBack"/>
      <w:r w:rsidRPr="00595EA6">
        <w:rPr>
          <w:rFonts w:ascii="Arial" w:hAnsi="Arial" w:cs="Calibri"/>
          <w:bCs/>
          <w:sz w:val="16"/>
          <w:szCs w:val="26"/>
          <w:lang w:eastAsia="de-DE"/>
        </w:rPr>
        <w:t>an sechs Standorten in Deutschland und der Schweiz Standardsoftware-Produkte und Individualprogrammierungen zu ei</w:t>
      </w:r>
      <w:bookmarkEnd w:id="0"/>
      <w:r w:rsidRPr="00595EA6">
        <w:rPr>
          <w:rFonts w:ascii="Arial" w:hAnsi="Arial" w:cs="Calibri"/>
          <w:bCs/>
          <w:sz w:val="16"/>
          <w:szCs w:val="26"/>
          <w:lang w:eastAsia="de-DE"/>
        </w:rPr>
        <w:t>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8D1D10" w14:textId="77777777" w:rsidR="00EA3634" w:rsidRDefault="00EA3634">
      <w:r>
        <w:separator/>
      </w:r>
    </w:p>
  </w:endnote>
  <w:endnote w:type="continuationSeparator" w:id="0">
    <w:p w14:paraId="215785A1" w14:textId="77777777" w:rsidR="00EA3634" w:rsidRDefault="00EA3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96EE17" w14:textId="77777777" w:rsidR="00EA3634" w:rsidRDefault="00EA3634">
      <w:r>
        <w:separator/>
      </w:r>
    </w:p>
  </w:footnote>
  <w:footnote w:type="continuationSeparator" w:id="0">
    <w:p w14:paraId="6D4E6E90" w14:textId="77777777" w:rsidR="00EA3634" w:rsidRDefault="00EA36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2BB8"/>
    <w:rsid w:val="000C313B"/>
    <w:rsid w:val="000D5A8E"/>
    <w:rsid w:val="000D5FE9"/>
    <w:rsid w:val="000E1307"/>
    <w:rsid w:val="000E3F08"/>
    <w:rsid w:val="000E5D79"/>
    <w:rsid w:val="000F3789"/>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42FDF"/>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31FA2"/>
    <w:rsid w:val="00733F48"/>
    <w:rsid w:val="0073656F"/>
    <w:rsid w:val="007367F7"/>
    <w:rsid w:val="00737E3A"/>
    <w:rsid w:val="00741F98"/>
    <w:rsid w:val="00742609"/>
    <w:rsid w:val="00746812"/>
    <w:rsid w:val="00752483"/>
    <w:rsid w:val="00752C50"/>
    <w:rsid w:val="00752F6B"/>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6B67"/>
    <w:rsid w:val="00AA7575"/>
    <w:rsid w:val="00AA7956"/>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3E25"/>
    <w:rsid w:val="00C83E5A"/>
    <w:rsid w:val="00C91EBA"/>
    <w:rsid w:val="00C96BC2"/>
    <w:rsid w:val="00CA2704"/>
    <w:rsid w:val="00CB5E68"/>
    <w:rsid w:val="00CB64A2"/>
    <w:rsid w:val="00CD1E40"/>
    <w:rsid w:val="00CD395A"/>
    <w:rsid w:val="00CD6744"/>
    <w:rsid w:val="00CE4B1C"/>
    <w:rsid w:val="00CF4E1F"/>
    <w:rsid w:val="00D0021E"/>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03627"/>
    <w:rsid w:val="00E14434"/>
    <w:rsid w:val="00E14C2D"/>
    <w:rsid w:val="00E3393D"/>
    <w:rsid w:val="00E34875"/>
    <w:rsid w:val="00E37B54"/>
    <w:rsid w:val="00E409DF"/>
    <w:rsid w:val="00E41C08"/>
    <w:rsid w:val="00E44651"/>
    <w:rsid w:val="00E45CDF"/>
    <w:rsid w:val="00E47E25"/>
    <w:rsid w:val="00E54882"/>
    <w:rsid w:val="00E62903"/>
    <w:rsid w:val="00E62CBD"/>
    <w:rsid w:val="00E662AC"/>
    <w:rsid w:val="00E708E0"/>
    <w:rsid w:val="00E83A83"/>
    <w:rsid w:val="00E856C5"/>
    <w:rsid w:val="00E915CC"/>
    <w:rsid w:val="00EA0E6E"/>
    <w:rsid w:val="00EA3634"/>
    <w:rsid w:val="00EA755D"/>
    <w:rsid w:val="00EB026E"/>
    <w:rsid w:val="00EB220A"/>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752D"/>
    <w:rsid w:val="00F61560"/>
    <w:rsid w:val="00F646AC"/>
    <w:rsid w:val="00F67B54"/>
    <w:rsid w:val="00F717EB"/>
    <w:rsid w:val="00F771FF"/>
    <w:rsid w:val="00F9031E"/>
    <w:rsid w:val="00F903C3"/>
    <w:rsid w:val="00F95D59"/>
    <w:rsid w:val="00F96E98"/>
    <w:rsid w:val="00FA13E1"/>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3927</Characters>
  <Application>Microsoft Office Word</Application>
  <DocSecurity>0</DocSecurity>
  <Lines>32</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2018-04-24T07:11:00Z</cp:lastPrinted>
  <dcterms:created xsi:type="dcterms:W3CDTF">2018-04-26T06:35:00Z</dcterms:created>
  <dcterms:modified xsi:type="dcterms:W3CDTF">2018-04-26T06:46:00Z</dcterms:modified>
</cp:coreProperties>
</file>