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0706D" w14:textId="77777777" w:rsidR="00D8061E" w:rsidRPr="00B2745D" w:rsidRDefault="00D8061E" w:rsidP="00D8061E">
      <w:pPr>
        <w:ind w:right="-709"/>
        <w:outlineLvl w:val="0"/>
        <w:rPr>
          <w:b/>
        </w:rPr>
      </w:pPr>
      <w:r w:rsidRPr="00B2745D">
        <w:rPr>
          <w:b/>
        </w:rPr>
        <w:t xml:space="preserve">PRESSEINFORMATION </w:t>
      </w:r>
    </w:p>
    <w:p w14:paraId="56E5DDB6" w14:textId="7E51F6BD" w:rsidR="00D8061E" w:rsidRDefault="00D8061E" w:rsidP="00D8061E">
      <w:pPr>
        <w:ind w:right="-709"/>
        <w:outlineLvl w:val="0"/>
        <w:rPr>
          <w:sz w:val="20"/>
        </w:rPr>
      </w:pPr>
      <w:r>
        <w:rPr>
          <w:sz w:val="20"/>
        </w:rPr>
        <w:t>Ulm/Dortmund</w:t>
      </w:r>
      <w:r w:rsidRPr="00B2745D">
        <w:rPr>
          <w:sz w:val="20"/>
        </w:rPr>
        <w:t xml:space="preserve">, </w:t>
      </w:r>
      <w:r w:rsidR="004C2E21">
        <w:rPr>
          <w:sz w:val="20"/>
        </w:rPr>
        <w:t>1</w:t>
      </w:r>
      <w:r w:rsidR="0087578F">
        <w:rPr>
          <w:sz w:val="20"/>
        </w:rPr>
        <w:t>6</w:t>
      </w:r>
      <w:r>
        <w:rPr>
          <w:sz w:val="20"/>
        </w:rPr>
        <w:t xml:space="preserve">. </w:t>
      </w:r>
      <w:r w:rsidR="000D1492">
        <w:rPr>
          <w:sz w:val="20"/>
        </w:rPr>
        <w:t>März</w:t>
      </w:r>
      <w:r>
        <w:rPr>
          <w:sz w:val="20"/>
        </w:rPr>
        <w:t xml:space="preserve"> 202</w:t>
      </w:r>
      <w:r w:rsidR="000D1492">
        <w:rPr>
          <w:sz w:val="20"/>
        </w:rPr>
        <w:t>2</w:t>
      </w:r>
    </w:p>
    <w:p w14:paraId="4B778055" w14:textId="77777777" w:rsidR="00D8061E" w:rsidRDefault="00D8061E" w:rsidP="00D8061E">
      <w:pPr>
        <w:ind w:right="-2268"/>
        <w:rPr>
          <w:b/>
          <w:bCs/>
        </w:rPr>
      </w:pPr>
      <w:r>
        <w:rPr>
          <w:b/>
          <w:bCs/>
          <w:sz w:val="28"/>
          <w:szCs w:val="28"/>
        </w:rPr>
        <w:t xml:space="preserve">Zielmarkt „Gesundheit &amp; Soziales“: </w:t>
      </w:r>
      <w:r>
        <w:rPr>
          <w:b/>
          <w:bCs/>
          <w:sz w:val="28"/>
          <w:szCs w:val="28"/>
        </w:rPr>
        <w:br/>
        <w:t xml:space="preserve">Wilken Software Group beteiligt sich an </w:t>
      </w:r>
      <w:proofErr w:type="spellStart"/>
      <w:r>
        <w:rPr>
          <w:b/>
          <w:bCs/>
          <w:sz w:val="28"/>
          <w:szCs w:val="28"/>
        </w:rPr>
        <w:t>Aconsite</w:t>
      </w:r>
      <w:proofErr w:type="spellEnd"/>
      <w:r>
        <w:rPr>
          <w:b/>
          <w:bCs/>
          <w:sz w:val="28"/>
          <w:szCs w:val="28"/>
        </w:rPr>
        <w:t xml:space="preserve"> AG </w:t>
      </w:r>
      <w:r w:rsidRPr="00DB7910">
        <w:rPr>
          <w:b/>
          <w:bCs/>
          <w:sz w:val="28"/>
          <w:szCs w:val="28"/>
        </w:rPr>
        <w:br/>
      </w:r>
      <w:r>
        <w:rPr>
          <w:b/>
          <w:bCs/>
        </w:rPr>
        <w:t xml:space="preserve">Wichtiger Meilenstein bei der Umsetzung der Unternehmensstrategie </w:t>
      </w:r>
    </w:p>
    <w:p w14:paraId="42832854" w14:textId="5C80E57E" w:rsidR="00D8061E" w:rsidRDefault="00D8061E" w:rsidP="00D8061E">
      <w:pPr>
        <w:spacing w:line="336" w:lineRule="auto"/>
        <w:rPr>
          <w:b/>
          <w:bCs/>
          <w:sz w:val="20"/>
        </w:rPr>
      </w:pPr>
      <w:r>
        <w:rPr>
          <w:b/>
          <w:bCs/>
          <w:sz w:val="20"/>
        </w:rPr>
        <w:t xml:space="preserve">Das erklärte Ziel der Strategie </w:t>
      </w:r>
      <w:r w:rsidR="0087578F">
        <w:rPr>
          <w:b/>
          <w:bCs/>
          <w:sz w:val="20"/>
        </w:rPr>
        <w:t>der</w:t>
      </w:r>
      <w:r>
        <w:rPr>
          <w:b/>
          <w:bCs/>
          <w:sz w:val="20"/>
        </w:rPr>
        <w:t xml:space="preserve"> Wilken Software Group ist es, durch enge Kooperationen mit Systemhäusern den Zugang zu den Zielmärkten zu verbessern und gleichzeitig die Kundenbetreuung zu intensivieren. Im Bereich „Gesundheit &amp; Soziales“ arbeitet Wilken dazu schon seit vielen Jahren mit der </w:t>
      </w:r>
      <w:proofErr w:type="spellStart"/>
      <w:r>
        <w:rPr>
          <w:b/>
          <w:bCs/>
          <w:sz w:val="20"/>
        </w:rPr>
        <w:t>Aconsite</w:t>
      </w:r>
      <w:proofErr w:type="spellEnd"/>
      <w:r>
        <w:rPr>
          <w:b/>
          <w:bCs/>
          <w:sz w:val="20"/>
        </w:rPr>
        <w:t xml:space="preserve"> AG zusammen. Diese Beziehung wird nun durch die Übernahme </w:t>
      </w:r>
      <w:r w:rsidR="002D3255">
        <w:rPr>
          <w:b/>
          <w:bCs/>
          <w:sz w:val="20"/>
        </w:rPr>
        <w:t>eines wesentlichen</w:t>
      </w:r>
      <w:r>
        <w:rPr>
          <w:b/>
          <w:bCs/>
          <w:sz w:val="20"/>
        </w:rPr>
        <w:t xml:space="preserve"> </w:t>
      </w:r>
      <w:r w:rsidR="002D3255">
        <w:rPr>
          <w:b/>
          <w:bCs/>
          <w:sz w:val="20"/>
        </w:rPr>
        <w:t>Unternehmensanteils</w:t>
      </w:r>
      <w:r>
        <w:rPr>
          <w:b/>
          <w:bCs/>
          <w:sz w:val="20"/>
        </w:rPr>
        <w:t xml:space="preserve"> am Dortmunder Beratungsunternehmen weiter gestärkt. „Diese Beteiligung ist mit einer klaren Zielvorgabe verbunden: So wird die </w:t>
      </w:r>
      <w:proofErr w:type="spellStart"/>
      <w:r>
        <w:rPr>
          <w:b/>
          <w:bCs/>
          <w:sz w:val="20"/>
        </w:rPr>
        <w:t>Aconsite</w:t>
      </w:r>
      <w:proofErr w:type="spellEnd"/>
      <w:r>
        <w:rPr>
          <w:b/>
          <w:bCs/>
          <w:sz w:val="20"/>
        </w:rPr>
        <w:t xml:space="preserve"> an den Standorten Dortmund und Ulm künftig die zentrale Verantwortung für einzelne Zielgruppen von Wilken übernehmen, allen voran den Markt der Kassenärztlichen und Kassenzahnärztlichen Vereinigungen. Gleichzeitig ergänzen die </w:t>
      </w:r>
      <w:proofErr w:type="spellStart"/>
      <w:r>
        <w:rPr>
          <w:b/>
          <w:bCs/>
          <w:sz w:val="20"/>
        </w:rPr>
        <w:t>Aconsite</w:t>
      </w:r>
      <w:proofErr w:type="spellEnd"/>
      <w:r>
        <w:rPr>
          <w:b/>
          <w:bCs/>
          <w:sz w:val="20"/>
        </w:rPr>
        <w:t xml:space="preserve">-Kompetenzfelder Prozess- und Organisationsmanagement sowie IT-Management unser Portfolio ideal. Denn IT-Projekte werden in Zukunft deutlich prozessorientierter aufgesetzt werden, als bisher – gerade was unser neues P/5-System angeht“, erklärt Wilken-CEO Dominik </w:t>
      </w:r>
      <w:proofErr w:type="spellStart"/>
      <w:r>
        <w:rPr>
          <w:b/>
          <w:bCs/>
          <w:sz w:val="20"/>
        </w:rPr>
        <w:t>Schwärzel</w:t>
      </w:r>
      <w:proofErr w:type="spellEnd"/>
      <w:r>
        <w:rPr>
          <w:b/>
          <w:bCs/>
          <w:sz w:val="20"/>
        </w:rPr>
        <w:t xml:space="preserve"> die Ausrichtung. „Eine klare Aufgabenzuweisung auf der einen Seite und die Bündelung aller Branchenkompetenzen auf der anderen werden dazu beitragen, dass wir in den kommenden Jahren gemeinsam ein deutliches Wachstum erzielen können“, ergänzt </w:t>
      </w:r>
      <w:r w:rsidRPr="00132EE5">
        <w:rPr>
          <w:b/>
          <w:bCs/>
          <w:sz w:val="20"/>
        </w:rPr>
        <w:t xml:space="preserve">Dr. Oliver Topp, Vorstand der </w:t>
      </w:r>
      <w:proofErr w:type="spellStart"/>
      <w:r w:rsidRPr="00132EE5">
        <w:rPr>
          <w:b/>
          <w:bCs/>
          <w:sz w:val="20"/>
        </w:rPr>
        <w:t>Aconsite</w:t>
      </w:r>
      <w:proofErr w:type="spellEnd"/>
      <w:r w:rsidRPr="00132EE5">
        <w:rPr>
          <w:b/>
          <w:bCs/>
          <w:sz w:val="20"/>
        </w:rPr>
        <w:t xml:space="preserve"> AG</w:t>
      </w:r>
      <w:r>
        <w:rPr>
          <w:b/>
          <w:bCs/>
          <w:sz w:val="20"/>
        </w:rPr>
        <w:t xml:space="preserve">. </w:t>
      </w:r>
    </w:p>
    <w:p w14:paraId="3CAEE420" w14:textId="77777777" w:rsidR="00D8061E" w:rsidRDefault="00D8061E" w:rsidP="00D8061E">
      <w:pPr>
        <w:spacing w:line="336" w:lineRule="auto"/>
        <w:rPr>
          <w:sz w:val="20"/>
        </w:rPr>
      </w:pPr>
      <w:r>
        <w:rPr>
          <w:sz w:val="20"/>
        </w:rPr>
        <w:t xml:space="preserve">Personelles Bindeglied zwischen beiden Unternehmen ist Jochen </w:t>
      </w:r>
      <w:proofErr w:type="spellStart"/>
      <w:r>
        <w:rPr>
          <w:sz w:val="20"/>
        </w:rPr>
        <w:t>Endreß</w:t>
      </w:r>
      <w:proofErr w:type="spellEnd"/>
      <w:r>
        <w:rPr>
          <w:sz w:val="20"/>
        </w:rPr>
        <w:t xml:space="preserve">, im Wilken Management Board bisher verantwortlich für den Vertrieb im Bereich Gesundheit &amp; Soziales. Er hatte die Zusammenarbeit schon in den vergangenen Jahren betreut und wird künftig bei der </w:t>
      </w:r>
      <w:proofErr w:type="spellStart"/>
      <w:r>
        <w:rPr>
          <w:sz w:val="20"/>
        </w:rPr>
        <w:t>Aconsite</w:t>
      </w:r>
      <w:proofErr w:type="spellEnd"/>
      <w:r>
        <w:rPr>
          <w:sz w:val="20"/>
        </w:rPr>
        <w:t xml:space="preserve"> Verantwortung in Vertrieb und Beratung einnehmen.</w:t>
      </w:r>
    </w:p>
    <w:p w14:paraId="1C726FA7" w14:textId="503FDF39" w:rsidR="00D8061E" w:rsidRPr="00D03ADD" w:rsidRDefault="00D8061E" w:rsidP="00D8061E">
      <w:pPr>
        <w:spacing w:line="336" w:lineRule="auto"/>
        <w:rPr>
          <w:sz w:val="20"/>
        </w:rPr>
      </w:pPr>
      <w:r w:rsidRPr="00132EE5">
        <w:rPr>
          <w:sz w:val="20"/>
        </w:rPr>
        <w:lastRenderedPageBreak/>
        <w:t xml:space="preserve">Erste Kontakte zwischen Wilken und </w:t>
      </w:r>
      <w:proofErr w:type="spellStart"/>
      <w:r w:rsidRPr="00132EE5">
        <w:rPr>
          <w:sz w:val="20"/>
        </w:rPr>
        <w:t>Aconsite</w:t>
      </w:r>
      <w:proofErr w:type="spellEnd"/>
      <w:r w:rsidRPr="00132EE5">
        <w:rPr>
          <w:sz w:val="20"/>
        </w:rPr>
        <w:t xml:space="preserve"> gab es schon seit 2010 über gemeinsame Projekte bei verschiedenen Gesetzlichen Krankenkassen (GKV). Dies führte 2017 zu einem ersten Partnervertrag, in dessen Rahmen ein spezifisches GKV-Risikomanagement aufgebaut wurde. </w:t>
      </w:r>
      <w:r>
        <w:rPr>
          <w:sz w:val="20"/>
        </w:rPr>
        <w:t xml:space="preserve">2019 wurde die Partnerschaft weiter ausgebaut. Als </w:t>
      </w:r>
      <w:r w:rsidRPr="00D03ADD">
        <w:rPr>
          <w:sz w:val="20"/>
        </w:rPr>
        <w:t xml:space="preserve">Beratungspartner </w:t>
      </w:r>
      <w:r>
        <w:rPr>
          <w:sz w:val="20"/>
        </w:rPr>
        <w:t xml:space="preserve">übernahm die </w:t>
      </w:r>
      <w:proofErr w:type="spellStart"/>
      <w:r>
        <w:rPr>
          <w:sz w:val="20"/>
        </w:rPr>
        <w:t>Aconsite</w:t>
      </w:r>
      <w:proofErr w:type="spellEnd"/>
      <w:r>
        <w:rPr>
          <w:sz w:val="20"/>
        </w:rPr>
        <w:t xml:space="preserve"> </w:t>
      </w:r>
      <w:r w:rsidRPr="00D03ADD">
        <w:rPr>
          <w:sz w:val="20"/>
        </w:rPr>
        <w:t>über die Zielgruppe der Gesetzlichen Krankenkassen</w:t>
      </w:r>
      <w:r w:rsidR="007F43DD">
        <w:rPr>
          <w:sz w:val="20"/>
        </w:rPr>
        <w:t xml:space="preserve"> </w:t>
      </w:r>
      <w:r w:rsidRPr="00D03ADD">
        <w:rPr>
          <w:sz w:val="20"/>
        </w:rPr>
        <w:t>hinaus auch Projekte bei Wilken-Anwendern aus anderen Branchen. Dazu gehören Kassenärztliche und Kassenzahnärztliche Vereinigungen, soziale Träger</w:t>
      </w:r>
      <w:r>
        <w:rPr>
          <w:sz w:val="20"/>
        </w:rPr>
        <w:t xml:space="preserve"> und kirchliche Einrichtungen</w:t>
      </w:r>
      <w:r w:rsidRPr="00D03ADD">
        <w:rPr>
          <w:sz w:val="20"/>
        </w:rPr>
        <w:t>.</w:t>
      </w:r>
      <w:r>
        <w:rPr>
          <w:sz w:val="20"/>
        </w:rPr>
        <w:t xml:space="preserve"> Neben der Konzeption, Implementierung, Schulung und der Supportunterstützung in Großprojekten fokussiert sich die </w:t>
      </w:r>
      <w:proofErr w:type="spellStart"/>
      <w:r>
        <w:rPr>
          <w:sz w:val="20"/>
        </w:rPr>
        <w:t>Aconsite</w:t>
      </w:r>
      <w:proofErr w:type="spellEnd"/>
      <w:r>
        <w:rPr>
          <w:sz w:val="20"/>
        </w:rPr>
        <w:t xml:space="preserve"> seitdem zunehmend auf die Konzeption und Implementierung neuer Branchenanwendungen in P/5.</w:t>
      </w:r>
    </w:p>
    <w:p w14:paraId="342396A2" w14:textId="55AD2972" w:rsidR="00D8061E" w:rsidRPr="00D8061E" w:rsidRDefault="00D8061E" w:rsidP="00D8061E">
      <w:pPr>
        <w:spacing w:line="336" w:lineRule="auto"/>
        <w:rPr>
          <w:rFonts w:ascii="Calibri" w:eastAsiaTheme="minorHAnsi" w:hAnsi="Calibri"/>
          <w:sz w:val="20"/>
        </w:rPr>
      </w:pPr>
      <w:r w:rsidRPr="00D03ADD">
        <w:rPr>
          <w:b/>
          <w:bCs/>
          <w:sz w:val="20"/>
        </w:rPr>
        <w:t xml:space="preserve">Über die </w:t>
      </w:r>
      <w:proofErr w:type="spellStart"/>
      <w:r w:rsidRPr="00D03ADD">
        <w:rPr>
          <w:b/>
          <w:bCs/>
          <w:sz w:val="20"/>
        </w:rPr>
        <w:t>Aconsite</w:t>
      </w:r>
      <w:proofErr w:type="spellEnd"/>
      <w:r w:rsidRPr="00D03ADD">
        <w:rPr>
          <w:b/>
          <w:bCs/>
          <w:sz w:val="20"/>
        </w:rPr>
        <w:t xml:space="preserve"> AG</w:t>
      </w:r>
      <w:r w:rsidRPr="00D03ADD">
        <w:rPr>
          <w:sz w:val="20"/>
        </w:rPr>
        <w:br/>
      </w:r>
      <w:r>
        <w:rPr>
          <w:sz w:val="20"/>
        </w:rPr>
        <w:t xml:space="preserve">Die </w:t>
      </w:r>
      <w:proofErr w:type="spellStart"/>
      <w:r>
        <w:rPr>
          <w:sz w:val="20"/>
        </w:rPr>
        <w:t>Aconsite</w:t>
      </w:r>
      <w:proofErr w:type="spellEnd"/>
      <w:r>
        <w:rPr>
          <w:sz w:val="20"/>
        </w:rPr>
        <w:t xml:space="preserve"> AG ist Branchenspezialist für die wertorientierte Beratung von Krankenkassen, Kassenärztlichen- und Kassenzahnärztlichen Vereinigungen, Leistungserbringern und Unternehmen des Gesundheits</w:t>
      </w:r>
      <w:proofErr w:type="gramStart"/>
      <w:r>
        <w:rPr>
          <w:sz w:val="20"/>
        </w:rPr>
        <w:t>-,Sozial</w:t>
      </w:r>
      <w:proofErr w:type="gramEnd"/>
      <w:r>
        <w:rPr>
          <w:sz w:val="20"/>
        </w:rPr>
        <w:t>- und Pflegemanagements. Das Leistungsportfolio umfasst die Kompetenzfelder Strategie, Geschäftsprozessmanagement, Finanzmanagement/Controlling, Markt- und IT- sowie Human-</w:t>
      </w:r>
      <w:proofErr w:type="spellStart"/>
      <w:r>
        <w:rPr>
          <w:sz w:val="20"/>
        </w:rPr>
        <w:t>Resource</w:t>
      </w:r>
      <w:proofErr w:type="spellEnd"/>
      <w:r>
        <w:rPr>
          <w:sz w:val="20"/>
        </w:rPr>
        <w:t xml:space="preserve">-Management. Zur Umsetzung der IT-Projekte komplettiert die </w:t>
      </w:r>
      <w:proofErr w:type="spellStart"/>
      <w:r>
        <w:rPr>
          <w:sz w:val="20"/>
        </w:rPr>
        <w:t>Aconsite</w:t>
      </w:r>
      <w:proofErr w:type="spellEnd"/>
      <w:r>
        <w:rPr>
          <w:sz w:val="20"/>
        </w:rPr>
        <w:t xml:space="preserve"> AG als Systemhauspartner ihren ganzheitlichen Beratungsansatz durch Konzeptions-, Implementierungs- und Supportleistungen auf Basis der ERP-Branchenlösung Wilken P/5. Die Integration betriebswirtschaftlichen Know-hows und technologischer Kompetenz bietet den Kunden ganzheitliche und eng abgestimmte Lösungen – von der Idee über die Umsetzung bis zum dauerhaft erfolgreichen Einsatz der Lösungen. Von ihren Standorten in Deutschland und der Schweiz aus betreut </w:t>
      </w:r>
      <w:proofErr w:type="spellStart"/>
      <w:r>
        <w:rPr>
          <w:sz w:val="20"/>
        </w:rPr>
        <w:t>Aconsite</w:t>
      </w:r>
      <w:proofErr w:type="spellEnd"/>
      <w:r>
        <w:rPr>
          <w:sz w:val="20"/>
        </w:rPr>
        <w:t xml:space="preserve"> über 120 Unternehmen und Institutionen; insgesamt wurden seit der Unternehmensgründung mehr als 1.400 Projekte erfolgreich abgeschlossen.</w:t>
      </w:r>
    </w:p>
    <w:tbl>
      <w:tblPr>
        <w:tblW w:w="9180" w:type="dxa"/>
        <w:tblInd w:w="-107" w:type="dxa"/>
        <w:tblLook w:val="04A0" w:firstRow="1" w:lastRow="0" w:firstColumn="1" w:lastColumn="0" w:noHBand="0" w:noVBand="1"/>
      </w:tblPr>
      <w:tblGrid>
        <w:gridCol w:w="4361"/>
        <w:gridCol w:w="4819"/>
      </w:tblGrid>
      <w:tr w:rsidR="00D8061E" w:rsidRPr="00B2745D" w14:paraId="6F7EE109" w14:textId="77777777" w:rsidTr="00E24CC0">
        <w:tc>
          <w:tcPr>
            <w:tcW w:w="4361" w:type="dxa"/>
            <w:shd w:val="clear" w:color="auto" w:fill="auto"/>
          </w:tcPr>
          <w:p w14:paraId="54568883" w14:textId="77777777" w:rsidR="00D8061E" w:rsidRDefault="00D8061E" w:rsidP="00E24CC0">
            <w:pPr>
              <w:widowControl w:val="0"/>
              <w:tabs>
                <w:tab w:val="left" w:pos="3969"/>
              </w:tabs>
              <w:autoSpaceDE w:val="0"/>
              <w:autoSpaceDN w:val="0"/>
              <w:adjustRightInd w:val="0"/>
              <w:spacing w:line="240" w:lineRule="auto"/>
              <w:ind w:right="176"/>
              <w:rPr>
                <w:rStyle w:val="Hyperlink"/>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p w14:paraId="16BFE442" w14:textId="77777777" w:rsidR="00D8061E" w:rsidRPr="00897E55" w:rsidRDefault="00D8061E" w:rsidP="00E24CC0">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897E55">
              <w:rPr>
                <w:rFonts w:ascii="Arial" w:hAnsi="Arial" w:cs="Calibri"/>
                <w:sz w:val="16"/>
                <w:szCs w:val="26"/>
                <w:lang w:eastAsia="de-DE"/>
              </w:rPr>
              <w:t xml:space="preserve">ACONSITE ® AG </w:t>
            </w:r>
            <w:r>
              <w:rPr>
                <w:rFonts w:ascii="Arial" w:hAnsi="Arial" w:cs="Calibri"/>
                <w:sz w:val="16"/>
                <w:szCs w:val="26"/>
                <w:lang w:eastAsia="de-DE"/>
              </w:rPr>
              <w:t>–</w:t>
            </w:r>
            <w:r w:rsidRPr="00897E55">
              <w:rPr>
                <w:rFonts w:ascii="Arial" w:hAnsi="Arial" w:cs="Calibri"/>
                <w:sz w:val="16"/>
                <w:szCs w:val="26"/>
                <w:lang w:eastAsia="de-DE"/>
              </w:rPr>
              <w:t xml:space="preserve"> </w:t>
            </w:r>
            <w:r>
              <w:rPr>
                <w:rFonts w:ascii="Arial" w:hAnsi="Arial" w:cs="Calibri"/>
                <w:sz w:val="16"/>
                <w:szCs w:val="26"/>
                <w:lang w:eastAsia="de-DE"/>
              </w:rPr>
              <w:t>Jochen Endress</w:t>
            </w:r>
            <w:r>
              <w:rPr>
                <w:rFonts w:ascii="Arial" w:hAnsi="Arial" w:cs="Calibri"/>
                <w:sz w:val="16"/>
                <w:szCs w:val="26"/>
                <w:lang w:eastAsia="de-DE"/>
              </w:rPr>
              <w:br/>
            </w:r>
            <w:r w:rsidRPr="00897E55">
              <w:rPr>
                <w:rFonts w:ascii="Arial" w:hAnsi="Arial" w:cs="Calibri"/>
                <w:sz w:val="16"/>
                <w:szCs w:val="26"/>
                <w:lang w:eastAsia="de-DE"/>
              </w:rPr>
              <w:t xml:space="preserve">Joseph-von-Fraunhofer-Str. 23 </w:t>
            </w:r>
            <w:r>
              <w:rPr>
                <w:rFonts w:ascii="Arial" w:hAnsi="Arial" w:cs="Calibri"/>
                <w:sz w:val="16"/>
                <w:szCs w:val="26"/>
                <w:lang w:eastAsia="de-DE"/>
              </w:rPr>
              <w:t>–</w:t>
            </w:r>
            <w:r w:rsidRPr="00897E55">
              <w:rPr>
                <w:rFonts w:ascii="Arial" w:hAnsi="Arial" w:cs="Calibri"/>
                <w:sz w:val="16"/>
                <w:szCs w:val="26"/>
                <w:lang w:eastAsia="de-DE"/>
              </w:rPr>
              <w:t xml:space="preserve"> 44227 Dortmund</w:t>
            </w:r>
            <w:r>
              <w:rPr>
                <w:rFonts w:ascii="Arial" w:hAnsi="Arial" w:cs="Calibri"/>
                <w:sz w:val="16"/>
                <w:szCs w:val="26"/>
                <w:lang w:eastAsia="de-DE"/>
              </w:rPr>
              <w:br/>
            </w:r>
            <w:r w:rsidRPr="00897E55">
              <w:rPr>
                <w:rFonts w:ascii="Arial" w:hAnsi="Arial" w:cs="Calibri"/>
                <w:sz w:val="16"/>
                <w:szCs w:val="26"/>
                <w:lang w:eastAsia="de-DE"/>
              </w:rPr>
              <w:t>Tel</w:t>
            </w:r>
            <w:r>
              <w:rPr>
                <w:rFonts w:ascii="Arial" w:hAnsi="Arial" w:cs="Calibri"/>
                <w:sz w:val="16"/>
                <w:szCs w:val="26"/>
                <w:lang w:eastAsia="de-DE"/>
              </w:rPr>
              <w:t>.:</w:t>
            </w:r>
            <w:r w:rsidRPr="00897E55">
              <w:rPr>
                <w:rFonts w:ascii="Arial" w:hAnsi="Arial" w:cs="Calibri"/>
                <w:sz w:val="16"/>
                <w:szCs w:val="26"/>
                <w:lang w:eastAsia="de-DE"/>
              </w:rPr>
              <w:t xml:space="preserve"> +49 231/9747-920 </w:t>
            </w:r>
            <w:r>
              <w:rPr>
                <w:rFonts w:ascii="Arial" w:hAnsi="Arial" w:cs="Calibri"/>
                <w:sz w:val="16"/>
                <w:szCs w:val="26"/>
                <w:lang w:eastAsia="de-DE"/>
              </w:rPr>
              <w:br/>
            </w:r>
            <w:hyperlink r:id="rId9" w:history="1">
              <w:r w:rsidRPr="00734BDF">
                <w:rPr>
                  <w:rStyle w:val="Hyperlink"/>
                  <w:rFonts w:ascii="Arial" w:hAnsi="Arial" w:cs="Calibri"/>
                  <w:sz w:val="16"/>
                  <w:szCs w:val="26"/>
                  <w:lang w:eastAsia="de-DE"/>
                </w:rPr>
                <w:t>jochen.endress@aconsite.de</w:t>
              </w:r>
            </w:hyperlink>
            <w:r>
              <w:rPr>
                <w:rFonts w:ascii="Arial" w:hAnsi="Arial" w:cs="Calibri"/>
                <w:sz w:val="16"/>
                <w:szCs w:val="26"/>
                <w:lang w:eastAsia="de-DE"/>
              </w:rPr>
              <w:t xml:space="preserve"> – </w:t>
            </w:r>
            <w:hyperlink r:id="rId10" w:history="1">
              <w:r w:rsidRPr="00734BDF">
                <w:rPr>
                  <w:rStyle w:val="Hyperlink"/>
                  <w:rFonts w:ascii="Arial" w:hAnsi="Arial" w:cs="Calibri"/>
                  <w:sz w:val="16"/>
                  <w:szCs w:val="26"/>
                  <w:lang w:eastAsia="de-DE"/>
                </w:rPr>
                <w:t>https://www.aconsite.de</w:t>
              </w:r>
            </w:hyperlink>
            <w:r>
              <w:rPr>
                <w:rFonts w:ascii="Arial" w:hAnsi="Arial" w:cs="Calibri"/>
                <w:sz w:val="16"/>
                <w:szCs w:val="26"/>
                <w:lang w:eastAsia="de-DE"/>
              </w:rPr>
              <w:t xml:space="preserve"> </w:t>
            </w:r>
          </w:p>
        </w:tc>
        <w:tc>
          <w:tcPr>
            <w:tcW w:w="4819" w:type="dxa"/>
            <w:shd w:val="clear" w:color="auto" w:fill="auto"/>
          </w:tcPr>
          <w:p w14:paraId="5AA46335" w14:textId="77777777" w:rsidR="00D8061E" w:rsidRPr="00B2745D" w:rsidRDefault="00D8061E" w:rsidP="00E24CC0">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718C0EFA" w14:textId="77777777" w:rsidR="00D8061E" w:rsidRPr="00897E55" w:rsidRDefault="00D8061E" w:rsidP="00D8061E">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lastRenderedPageBreak/>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050B8BD7" w:rsidR="00FE48A6" w:rsidRPr="00D8061E" w:rsidRDefault="00FE48A6" w:rsidP="00D8061E"/>
    <w:sectPr w:rsidR="00FE48A6" w:rsidRPr="00D8061E" w:rsidSect="005A7E21">
      <w:headerReference w:type="default" r:id="rId13"/>
      <w:footerReference w:type="even" r:id="rId14"/>
      <w:footerReference w:type="default" r:id="rId15"/>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1DFB8" w14:textId="77777777" w:rsidR="00107EF5" w:rsidRDefault="00107EF5">
      <w:r>
        <w:separator/>
      </w:r>
    </w:p>
  </w:endnote>
  <w:endnote w:type="continuationSeparator" w:id="0">
    <w:p w14:paraId="4919B544" w14:textId="77777777" w:rsidR="00107EF5" w:rsidRDefault="00107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F4006" w14:textId="77777777" w:rsidR="00107EF5" w:rsidRDefault="00107EF5">
      <w:r>
        <w:separator/>
      </w:r>
    </w:p>
  </w:footnote>
  <w:footnote w:type="continuationSeparator" w:id="0">
    <w:p w14:paraId="715C1412" w14:textId="77777777" w:rsidR="00107EF5" w:rsidRDefault="00107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3A589" w14:textId="7EF0F27D" w:rsidR="00924590" w:rsidRPr="00924590" w:rsidRDefault="00924590" w:rsidP="00924590">
    <w:pPr>
      <w:spacing w:before="0" w:beforeAutospacing="0" w:after="0" w:afterAutospacing="0" w:line="240" w:lineRule="auto"/>
      <w:rPr>
        <w:rFonts w:ascii="Times New Roman" w:eastAsia="Times New Roman" w:hAnsi="Times New Roman"/>
        <w:sz w:val="24"/>
        <w:szCs w:val="24"/>
        <w:lang w:eastAsia="de-DE" w:bidi="th-TH"/>
      </w:rPr>
    </w:pPr>
    <w:r w:rsidRPr="00924590">
      <w:rPr>
        <w:rFonts w:ascii="Times New Roman" w:eastAsia="Times New Roman" w:hAnsi="Times New Roman"/>
        <w:sz w:val="24"/>
        <w:szCs w:val="24"/>
        <w:lang w:eastAsia="de-DE" w:bidi="th-TH"/>
      </w:rPr>
      <w:fldChar w:fldCharType="begin"/>
    </w:r>
    <w:r w:rsidRPr="00924590">
      <w:rPr>
        <w:rFonts w:ascii="Times New Roman" w:eastAsia="Times New Roman" w:hAnsi="Times New Roman"/>
        <w:sz w:val="24"/>
        <w:szCs w:val="24"/>
        <w:lang w:eastAsia="de-DE" w:bidi="th-TH"/>
      </w:rPr>
      <w:instrText xml:space="preserve"> INCLUDEPICTURE "cid:image003.png@01D7A96D.E4A00260" \* MERGEFORMATINET </w:instrText>
    </w:r>
    <w:r w:rsidR="00107EF5">
      <w:rPr>
        <w:rFonts w:ascii="Times New Roman" w:eastAsia="Times New Roman" w:hAnsi="Times New Roman"/>
        <w:sz w:val="24"/>
        <w:szCs w:val="24"/>
        <w:lang w:eastAsia="de-DE" w:bidi="th-TH"/>
      </w:rPr>
      <w:fldChar w:fldCharType="separate"/>
    </w:r>
    <w:r w:rsidRPr="00924590">
      <w:rPr>
        <w:rFonts w:ascii="Times New Roman" w:eastAsia="Times New Roman" w:hAnsi="Times New Roman"/>
        <w:sz w:val="24"/>
        <w:szCs w:val="24"/>
        <w:lang w:eastAsia="de-DE" w:bidi="th-TH"/>
      </w:rPr>
      <w:fldChar w:fldCharType="end"/>
    </w:r>
  </w:p>
  <w:p w14:paraId="4D0AD1DF" w14:textId="1D8CB99A" w:rsidR="00FE2F2A" w:rsidRDefault="00897E55" w:rsidP="00897E55">
    <w:pPr>
      <w:pStyle w:val="Kopfzeile"/>
      <w:tabs>
        <w:tab w:val="clear" w:pos="9072"/>
        <w:tab w:val="right" w:pos="9639"/>
      </w:tabs>
      <w:ind w:right="-2268"/>
    </w:pPr>
    <w:r>
      <w:rPr>
        <w:noProof/>
        <w:lang w:eastAsia="de-DE"/>
      </w:rPr>
      <w:drawing>
        <wp:inline distT="0" distB="0" distL="0" distR="0" wp14:anchorId="02E870E2" wp14:editId="1C91B9AC">
          <wp:extent cx="2585544" cy="493006"/>
          <wp:effectExtent l="0" t="0" r="0" b="25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stretch>
                    <a:fillRect/>
                  </a:stretch>
                </pic:blipFill>
                <pic:spPr>
                  <a:xfrm>
                    <a:off x="0" y="0"/>
                    <a:ext cx="2606973" cy="497092"/>
                  </a:xfrm>
                  <a:prstGeom prst="rect">
                    <a:avLst/>
                  </a:prstGeom>
                </pic:spPr>
              </pic:pic>
            </a:graphicData>
          </a:graphic>
        </wp:inline>
      </w:drawing>
    </w:r>
    <w:r>
      <w:tab/>
    </w:r>
    <w:r>
      <w:tab/>
    </w:r>
    <w:r w:rsidR="00FE2F2A">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25749806">
    <w:abstractNumId w:val="0"/>
  </w:num>
  <w:num w:numId="2" w16cid:durableId="1558278283">
    <w:abstractNumId w:val="3"/>
  </w:num>
  <w:num w:numId="3" w16cid:durableId="592201440">
    <w:abstractNumId w:val="2"/>
  </w:num>
  <w:num w:numId="4" w16cid:durableId="581960696">
    <w:abstractNumId w:val="1"/>
  </w:num>
  <w:num w:numId="5" w16cid:durableId="15575494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E9"/>
    <w:rsid w:val="000D6153"/>
    <w:rsid w:val="000E1307"/>
    <w:rsid w:val="000E3F08"/>
    <w:rsid w:val="000E5D79"/>
    <w:rsid w:val="000F15AC"/>
    <w:rsid w:val="000F3789"/>
    <w:rsid w:val="000F6481"/>
    <w:rsid w:val="000F6D38"/>
    <w:rsid w:val="00102BB9"/>
    <w:rsid w:val="00106410"/>
    <w:rsid w:val="00106709"/>
    <w:rsid w:val="00107620"/>
    <w:rsid w:val="00107EF5"/>
    <w:rsid w:val="00114F49"/>
    <w:rsid w:val="00115827"/>
    <w:rsid w:val="00117D73"/>
    <w:rsid w:val="00122695"/>
    <w:rsid w:val="00122B29"/>
    <w:rsid w:val="00122F47"/>
    <w:rsid w:val="0012491E"/>
    <w:rsid w:val="00127C93"/>
    <w:rsid w:val="00127E87"/>
    <w:rsid w:val="001307C5"/>
    <w:rsid w:val="00132EE5"/>
    <w:rsid w:val="00133E38"/>
    <w:rsid w:val="001344B4"/>
    <w:rsid w:val="00135DEE"/>
    <w:rsid w:val="00137538"/>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200F"/>
    <w:rsid w:val="001E2252"/>
    <w:rsid w:val="001F1F3A"/>
    <w:rsid w:val="00201259"/>
    <w:rsid w:val="00203D82"/>
    <w:rsid w:val="002176F1"/>
    <w:rsid w:val="002266BD"/>
    <w:rsid w:val="00227024"/>
    <w:rsid w:val="00231618"/>
    <w:rsid w:val="00233A0E"/>
    <w:rsid w:val="00245BB7"/>
    <w:rsid w:val="00251756"/>
    <w:rsid w:val="002556E7"/>
    <w:rsid w:val="0025762A"/>
    <w:rsid w:val="00262861"/>
    <w:rsid w:val="00272362"/>
    <w:rsid w:val="00275197"/>
    <w:rsid w:val="002756C7"/>
    <w:rsid w:val="00277075"/>
    <w:rsid w:val="00284B8A"/>
    <w:rsid w:val="0028638D"/>
    <w:rsid w:val="002976B8"/>
    <w:rsid w:val="002A28CE"/>
    <w:rsid w:val="002A2F6F"/>
    <w:rsid w:val="002A325F"/>
    <w:rsid w:val="002A395D"/>
    <w:rsid w:val="002A5A62"/>
    <w:rsid w:val="002B275A"/>
    <w:rsid w:val="002B2D0B"/>
    <w:rsid w:val="002B5D45"/>
    <w:rsid w:val="002B656F"/>
    <w:rsid w:val="002B7901"/>
    <w:rsid w:val="002C0755"/>
    <w:rsid w:val="002C201B"/>
    <w:rsid w:val="002C2E75"/>
    <w:rsid w:val="002C40A1"/>
    <w:rsid w:val="002C4B97"/>
    <w:rsid w:val="002C5994"/>
    <w:rsid w:val="002D0338"/>
    <w:rsid w:val="002D19F2"/>
    <w:rsid w:val="002D1F28"/>
    <w:rsid w:val="002D28F5"/>
    <w:rsid w:val="002D3255"/>
    <w:rsid w:val="002D6683"/>
    <w:rsid w:val="002E1BC0"/>
    <w:rsid w:val="002F280C"/>
    <w:rsid w:val="002F6AB4"/>
    <w:rsid w:val="003073C3"/>
    <w:rsid w:val="0031677D"/>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0150"/>
    <w:rsid w:val="003747D8"/>
    <w:rsid w:val="0037633E"/>
    <w:rsid w:val="00376B33"/>
    <w:rsid w:val="00380809"/>
    <w:rsid w:val="00381076"/>
    <w:rsid w:val="00381970"/>
    <w:rsid w:val="003831CA"/>
    <w:rsid w:val="0038387B"/>
    <w:rsid w:val="00386488"/>
    <w:rsid w:val="00391D0B"/>
    <w:rsid w:val="00397D2E"/>
    <w:rsid w:val="003A1A5E"/>
    <w:rsid w:val="003A1B6D"/>
    <w:rsid w:val="003A43A2"/>
    <w:rsid w:val="003A775C"/>
    <w:rsid w:val="003A7B9B"/>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2E47"/>
    <w:rsid w:val="0043327F"/>
    <w:rsid w:val="0044348F"/>
    <w:rsid w:val="00446C6D"/>
    <w:rsid w:val="004473FD"/>
    <w:rsid w:val="00450DE1"/>
    <w:rsid w:val="00457490"/>
    <w:rsid w:val="00460F02"/>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0040"/>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47491"/>
    <w:rsid w:val="00653E27"/>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968DB"/>
    <w:rsid w:val="006A0673"/>
    <w:rsid w:val="006A3803"/>
    <w:rsid w:val="006A4312"/>
    <w:rsid w:val="006A655C"/>
    <w:rsid w:val="006B0312"/>
    <w:rsid w:val="006B4311"/>
    <w:rsid w:val="006B5F44"/>
    <w:rsid w:val="006B729E"/>
    <w:rsid w:val="006B72FA"/>
    <w:rsid w:val="006C5646"/>
    <w:rsid w:val="006D435A"/>
    <w:rsid w:val="006E174E"/>
    <w:rsid w:val="006E440E"/>
    <w:rsid w:val="006E468B"/>
    <w:rsid w:val="006E5937"/>
    <w:rsid w:val="006F0A18"/>
    <w:rsid w:val="006F2D4C"/>
    <w:rsid w:val="006F6C95"/>
    <w:rsid w:val="00710FC9"/>
    <w:rsid w:val="00714663"/>
    <w:rsid w:val="00720872"/>
    <w:rsid w:val="007221EE"/>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6583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97E55"/>
    <w:rsid w:val="008A57BB"/>
    <w:rsid w:val="008A6751"/>
    <w:rsid w:val="008B4462"/>
    <w:rsid w:val="008B4631"/>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24590"/>
    <w:rsid w:val="0093086E"/>
    <w:rsid w:val="00932F6F"/>
    <w:rsid w:val="009333FD"/>
    <w:rsid w:val="0093375E"/>
    <w:rsid w:val="009378C5"/>
    <w:rsid w:val="00943667"/>
    <w:rsid w:val="00944DD7"/>
    <w:rsid w:val="00946420"/>
    <w:rsid w:val="00947BDC"/>
    <w:rsid w:val="00947D6A"/>
    <w:rsid w:val="009520FE"/>
    <w:rsid w:val="00961AD9"/>
    <w:rsid w:val="00965846"/>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4E11"/>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08"/>
    <w:rsid w:val="00AB63C5"/>
    <w:rsid w:val="00AB7591"/>
    <w:rsid w:val="00AC32F6"/>
    <w:rsid w:val="00AC41FA"/>
    <w:rsid w:val="00AC6740"/>
    <w:rsid w:val="00AD784B"/>
    <w:rsid w:val="00AE4FBA"/>
    <w:rsid w:val="00AE7F73"/>
    <w:rsid w:val="00AF1D9E"/>
    <w:rsid w:val="00B02961"/>
    <w:rsid w:val="00B05B0D"/>
    <w:rsid w:val="00B12792"/>
    <w:rsid w:val="00B147A5"/>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81FED"/>
    <w:rsid w:val="00B86EC2"/>
    <w:rsid w:val="00B87471"/>
    <w:rsid w:val="00B8762C"/>
    <w:rsid w:val="00B9230B"/>
    <w:rsid w:val="00BA0115"/>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549"/>
    <w:rsid w:val="00C7604D"/>
    <w:rsid w:val="00C82E15"/>
    <w:rsid w:val="00C83E25"/>
    <w:rsid w:val="00C83E5A"/>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03ADD"/>
    <w:rsid w:val="00D13CB5"/>
    <w:rsid w:val="00D14870"/>
    <w:rsid w:val="00D165F1"/>
    <w:rsid w:val="00D20DFE"/>
    <w:rsid w:val="00D21A51"/>
    <w:rsid w:val="00D23A27"/>
    <w:rsid w:val="00D23BA6"/>
    <w:rsid w:val="00D245CE"/>
    <w:rsid w:val="00D26FA2"/>
    <w:rsid w:val="00D33D71"/>
    <w:rsid w:val="00D35749"/>
    <w:rsid w:val="00D35F0E"/>
    <w:rsid w:val="00D408C5"/>
    <w:rsid w:val="00D4499B"/>
    <w:rsid w:val="00D500C9"/>
    <w:rsid w:val="00D50D14"/>
    <w:rsid w:val="00D52F3D"/>
    <w:rsid w:val="00D5304C"/>
    <w:rsid w:val="00D530E0"/>
    <w:rsid w:val="00D5327F"/>
    <w:rsid w:val="00D53DA2"/>
    <w:rsid w:val="00D56804"/>
    <w:rsid w:val="00D6632C"/>
    <w:rsid w:val="00D702D4"/>
    <w:rsid w:val="00D7531A"/>
    <w:rsid w:val="00D77FE4"/>
    <w:rsid w:val="00D805A3"/>
    <w:rsid w:val="00D8061E"/>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119B"/>
    <w:rsid w:val="00E24892"/>
    <w:rsid w:val="00E2754B"/>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46D7"/>
    <w:rsid w:val="00EA755D"/>
    <w:rsid w:val="00EB026E"/>
    <w:rsid w:val="00EB220A"/>
    <w:rsid w:val="00EB6331"/>
    <w:rsid w:val="00EB6C2F"/>
    <w:rsid w:val="00EB77F7"/>
    <w:rsid w:val="00EC14F0"/>
    <w:rsid w:val="00EC38DA"/>
    <w:rsid w:val="00EC462F"/>
    <w:rsid w:val="00ED247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2B3"/>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9433708">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895701468">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6825213">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20521749">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68552229">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53475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s://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aconsite.de" TargetMode="External"/><Relationship Id="rId4" Type="http://schemas.openxmlformats.org/officeDocument/2006/relationships/webSettings" Target="webSettings.xml"/><Relationship Id="rId9" Type="http://schemas.openxmlformats.org/officeDocument/2006/relationships/hyperlink" Target="mailto:jochen.endress@aconsite.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703</Words>
  <Characters>4430</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2021-03-11T13:20:00Z</cp:lastPrinted>
  <dcterms:created xsi:type="dcterms:W3CDTF">2022-03-16T08:18:00Z</dcterms:created>
  <dcterms:modified xsi:type="dcterms:W3CDTF">2022-03-16T08:18:00Z</dcterms:modified>
</cp:coreProperties>
</file>