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BCC6EC" w14:textId="77777777" w:rsidR="008D1A6A" w:rsidRDefault="00000000">
      <w:pPr>
        <w:spacing w:line="288" w:lineRule="auto"/>
        <w:outlineLvl w:val="0"/>
        <w:rPr>
          <w:rFonts w:ascii="Helvetica" w:hAnsi="Helvetica"/>
          <w:b/>
        </w:rPr>
      </w:pPr>
      <w:r>
        <w:rPr>
          <w:rFonts w:ascii="Helvetica" w:hAnsi="Helvetica"/>
          <w:b/>
        </w:rPr>
        <w:t>PRESSEINFORMATION</w:t>
      </w:r>
    </w:p>
    <w:p w14:paraId="6F27FFBB" w14:textId="77777777" w:rsidR="008D1A6A" w:rsidRDefault="008D1A6A">
      <w:pPr>
        <w:spacing w:line="288" w:lineRule="auto"/>
        <w:rPr>
          <w:rFonts w:ascii="Helvetica" w:hAnsi="Helvetica"/>
          <w:b/>
        </w:rPr>
      </w:pPr>
    </w:p>
    <w:p w14:paraId="6C8AAB62" w14:textId="77777777" w:rsidR="008D1A6A" w:rsidRDefault="00000000">
      <w:pPr>
        <w:spacing w:line="288" w:lineRule="auto"/>
        <w:rPr>
          <w:rFonts w:ascii="Helvetica" w:hAnsi="Helvetica"/>
          <w:sz w:val="20"/>
          <w:szCs w:val="20"/>
        </w:rPr>
      </w:pPr>
      <w:r>
        <w:rPr>
          <w:rFonts w:ascii="Helvetica" w:hAnsi="Helvetica"/>
          <w:sz w:val="20"/>
          <w:szCs w:val="20"/>
        </w:rPr>
        <w:t>Duisburg, 17. Dezember 2025</w:t>
      </w:r>
    </w:p>
    <w:p w14:paraId="1EDDB196" w14:textId="77777777" w:rsidR="008D1A6A" w:rsidRDefault="008D1A6A">
      <w:pPr>
        <w:pStyle w:val="Textkrper"/>
        <w:spacing w:line="288" w:lineRule="auto"/>
        <w:ind w:right="1559"/>
        <w:rPr>
          <w:bCs/>
        </w:rPr>
      </w:pPr>
    </w:p>
    <w:p w14:paraId="39F27905" w14:textId="77777777" w:rsidR="008D1A6A" w:rsidRDefault="00000000">
      <w:pPr>
        <w:spacing w:line="288" w:lineRule="auto"/>
        <w:ind w:right="1134"/>
        <w:rPr>
          <w:rFonts w:ascii="Helvetica" w:eastAsia="SimSun" w:hAnsi="Helvetica"/>
          <w:b/>
          <w:sz w:val="22"/>
          <w:szCs w:val="22"/>
          <w:lang w:eastAsia="en-US"/>
        </w:rPr>
      </w:pPr>
      <w:r>
        <w:rPr>
          <w:rFonts w:ascii="Helvetica" w:eastAsia="SimSun" w:hAnsi="Helvetica"/>
          <w:b/>
          <w:sz w:val="22"/>
          <w:szCs w:val="22"/>
          <w:lang w:eastAsia="en-US"/>
        </w:rPr>
        <w:t>WatchGuard bietet einen einfachen Weg zu moderner Zero-Trust-Sicherheit</w:t>
      </w:r>
    </w:p>
    <w:p w14:paraId="26199121" w14:textId="77777777" w:rsidR="008D1A6A" w:rsidRDefault="00000000">
      <w:pPr>
        <w:spacing w:line="288" w:lineRule="auto"/>
        <w:ind w:right="1134"/>
        <w:rPr>
          <w:rFonts w:ascii="Helvetica" w:hAnsi="Helvetica"/>
          <w:sz w:val="20"/>
          <w:szCs w:val="20"/>
        </w:rPr>
      </w:pPr>
      <w:r>
        <w:rPr>
          <w:rFonts w:ascii="Helvetica" w:hAnsi="Helvetica"/>
          <w:sz w:val="20"/>
          <w:szCs w:val="20"/>
        </w:rPr>
        <w:t xml:space="preserve">Neue Lösung von WatchGuard gießt Komplexität bestehender „Zero Trust“-Ansätze in ein einheitliches und praktikables Konzept </w:t>
      </w:r>
    </w:p>
    <w:p w14:paraId="3DE17070" w14:textId="77777777" w:rsidR="008D1A6A" w:rsidRDefault="008D1A6A">
      <w:pPr>
        <w:spacing w:line="288" w:lineRule="auto"/>
        <w:ind w:right="1134"/>
        <w:rPr>
          <w:rFonts w:ascii="Helvetica" w:hAnsi="Helvetica"/>
          <w:b/>
          <w:bCs/>
          <w:sz w:val="20"/>
          <w:szCs w:val="20"/>
        </w:rPr>
      </w:pPr>
    </w:p>
    <w:p w14:paraId="0CA33D2D" w14:textId="5F567BFC" w:rsidR="008D1A6A" w:rsidRDefault="00000000">
      <w:pPr>
        <w:spacing w:line="288" w:lineRule="auto"/>
        <w:ind w:right="1134"/>
        <w:rPr>
          <w:rFonts w:ascii="Helvetica" w:hAnsi="Helvetica"/>
          <w:b/>
          <w:bCs/>
          <w:sz w:val="20"/>
          <w:szCs w:val="20"/>
        </w:rPr>
      </w:pPr>
      <w:r>
        <w:rPr>
          <w:rFonts w:ascii="Helvetica" w:hAnsi="Helvetica"/>
          <w:b/>
          <w:bCs/>
          <w:sz w:val="20"/>
          <w:szCs w:val="20"/>
        </w:rPr>
        <w:t xml:space="preserve">Mit dem neuen „Zero Trust Bundle“ liefert WatchGuard Technologies eine Lösung, die Organisationen jeder Größe und </w:t>
      </w:r>
      <w:proofErr w:type="spellStart"/>
      <w:r>
        <w:rPr>
          <w:rFonts w:ascii="Helvetica" w:hAnsi="Helvetica"/>
          <w:b/>
          <w:bCs/>
          <w:sz w:val="20"/>
          <w:szCs w:val="20"/>
        </w:rPr>
        <w:t>Managed</w:t>
      </w:r>
      <w:proofErr w:type="spellEnd"/>
      <w:r>
        <w:rPr>
          <w:rFonts w:ascii="Helvetica" w:hAnsi="Helvetica"/>
          <w:b/>
          <w:bCs/>
          <w:sz w:val="20"/>
          <w:szCs w:val="20"/>
        </w:rPr>
        <w:t xml:space="preserve"> Service Providern (MSP) eine einfache und gleichzeitig umfassende Umsetzung von Zero Trust aus einem Guss ermöglicht. Dabei werden die typischen Probleme, mit denen Unternehmen im Zuge der Zero-Trust-Thematik seit Jahren zu kämpfen haben, gezielt angegangen. Hohen Kosten, betrieblichen Reibungsverlusten und Störungen im geschäftlichen Alltag, die mit dem Parallelbetrieb unterschiedlichster Werkzeuge für Identität, Endgeräte, Fernzugriff und Netzwerk für gewöhnlich einhergehen, setzt WatchGuard eine schlagkräftige Alternative entgegen: Das WatchGuard Zero Trust Bundle vereint vielfältige Funktionen in einem einfachen, cloudbasierten Framework, das kontinuierlich jede Verbindung überprüft.</w:t>
      </w:r>
    </w:p>
    <w:p w14:paraId="6D6E9B92" w14:textId="77777777" w:rsidR="008D1A6A" w:rsidRDefault="008D1A6A">
      <w:pPr>
        <w:spacing w:line="288" w:lineRule="auto"/>
        <w:ind w:right="1134"/>
        <w:rPr>
          <w:rFonts w:ascii="Helvetica" w:hAnsi="Helvetica"/>
          <w:b/>
          <w:bCs/>
          <w:sz w:val="20"/>
          <w:szCs w:val="20"/>
        </w:rPr>
      </w:pPr>
    </w:p>
    <w:p w14:paraId="47532108" w14:textId="578CC99B" w:rsidR="008D1A6A" w:rsidRDefault="00000000">
      <w:pPr>
        <w:pStyle w:val="Textkrper"/>
        <w:spacing w:line="288" w:lineRule="auto"/>
        <w:ind w:right="1134"/>
        <w:rPr>
          <w:rFonts w:eastAsia="Times New Roman"/>
          <w:b w:val="0"/>
          <w:sz w:val="20"/>
          <w:szCs w:val="20"/>
          <w:lang w:eastAsia="de-DE"/>
        </w:rPr>
      </w:pPr>
      <w:r>
        <w:rPr>
          <w:rFonts w:eastAsia="Times New Roman"/>
          <w:b w:val="0"/>
          <w:sz w:val="20"/>
          <w:szCs w:val="20"/>
          <w:lang w:eastAsia="de-DE"/>
        </w:rPr>
        <w:t xml:space="preserve">Damit reagiert WatchGuard auf die Realität der Bedrohungsszenarien, bei denen Angreifer nicht nur immer stärker Identitäten und Endpunkte ins Visier nehmen. Laut aktuellem </w:t>
      </w:r>
      <w:hyperlink r:id="rId8" w:history="1">
        <w:r w:rsidR="008D1A6A" w:rsidRPr="00956541">
          <w:rPr>
            <w:rStyle w:val="Hyperlink"/>
            <w:rFonts w:eastAsia="Times New Roman"/>
            <w:b w:val="0"/>
            <w:sz w:val="20"/>
            <w:szCs w:val="20"/>
            <w:lang w:eastAsia="de-DE"/>
          </w:rPr>
          <w:t>Internet Security Report</w:t>
        </w:r>
      </w:hyperlink>
      <w:r>
        <w:rPr>
          <w:rFonts w:eastAsia="Times New Roman"/>
          <w:b w:val="0"/>
          <w:sz w:val="20"/>
          <w:szCs w:val="20"/>
          <w:lang w:eastAsia="de-DE"/>
        </w:rPr>
        <w:t xml:space="preserve"> von WatchGuard steigt die Zahl evasiver Malware nach wie vor stetig (plus 40 Prozent gegenüber dem Vorquartal). Gleichzeitig werden 70 Prozent der Schadsoftware mittlerweile über verschlüsselte Kanäle verbreitet, </w:t>
      </w:r>
      <w:r w:rsidR="00E2420A">
        <w:rPr>
          <w:rFonts w:eastAsia="Times New Roman"/>
          <w:b w:val="0"/>
          <w:sz w:val="20"/>
          <w:szCs w:val="20"/>
          <w:lang w:eastAsia="de-DE"/>
        </w:rPr>
        <w:t>wodurch herkömmliche</w:t>
      </w:r>
      <w:r>
        <w:rPr>
          <w:rFonts w:eastAsia="Times New Roman"/>
          <w:b w:val="0"/>
          <w:sz w:val="20"/>
          <w:szCs w:val="20"/>
          <w:lang w:eastAsia="de-DE"/>
        </w:rPr>
        <w:t xml:space="preserve"> Schutzmechanismen entscheidend an Wirkung einbüßen. All diese Trends unterstreichen die Notwendigkeit kontinuierlicher Identitätsprüfung, Gerätevalidierung und Durchsetzung von Zugriffsrichtlinien auf Sitzungsebene – und zwar im effektiven Zusammenspiel. Ein Einsatz von separaten, isolierten Tools ist hier wenig erfolgversprechend.</w:t>
      </w:r>
    </w:p>
    <w:p w14:paraId="5B270672" w14:textId="77777777" w:rsidR="008D1A6A" w:rsidRDefault="008D1A6A">
      <w:pPr>
        <w:pStyle w:val="Textkrper"/>
        <w:spacing w:line="288" w:lineRule="auto"/>
        <w:ind w:right="1134"/>
        <w:rPr>
          <w:rFonts w:eastAsia="Times New Roman"/>
          <w:b w:val="0"/>
          <w:sz w:val="20"/>
          <w:szCs w:val="20"/>
          <w:lang w:eastAsia="de-DE"/>
        </w:rPr>
      </w:pPr>
    </w:p>
    <w:p w14:paraId="032F3BC1" w14:textId="77777777" w:rsidR="008D1A6A" w:rsidRDefault="00000000">
      <w:pPr>
        <w:pStyle w:val="Textkrper"/>
        <w:spacing w:line="288" w:lineRule="auto"/>
        <w:ind w:right="1134"/>
        <w:rPr>
          <w:rFonts w:eastAsia="Times New Roman"/>
          <w:bCs/>
          <w:sz w:val="20"/>
          <w:szCs w:val="20"/>
          <w:lang w:eastAsia="de-DE"/>
        </w:rPr>
      </w:pPr>
      <w:r>
        <w:rPr>
          <w:rFonts w:eastAsia="Times New Roman"/>
          <w:bCs/>
          <w:sz w:val="20"/>
          <w:szCs w:val="20"/>
          <w:lang w:eastAsia="de-DE"/>
        </w:rPr>
        <w:t>Zwischen Wunsch und Wirklichkeit</w:t>
      </w:r>
    </w:p>
    <w:p w14:paraId="461403A6" w14:textId="30F95F41" w:rsidR="008D1A6A" w:rsidRDefault="00000000">
      <w:pPr>
        <w:pStyle w:val="Textkrper"/>
        <w:spacing w:line="288" w:lineRule="auto"/>
        <w:ind w:right="1134"/>
        <w:rPr>
          <w:rFonts w:eastAsia="Times New Roman"/>
          <w:b w:val="0"/>
          <w:sz w:val="20"/>
          <w:szCs w:val="20"/>
          <w:lang w:eastAsia="de-DE"/>
        </w:rPr>
      </w:pPr>
      <w:r>
        <w:rPr>
          <w:rFonts w:eastAsia="Times New Roman"/>
          <w:b w:val="0"/>
          <w:sz w:val="20"/>
          <w:szCs w:val="20"/>
          <w:lang w:eastAsia="de-DE"/>
        </w:rPr>
        <w:t>Für Unternehmen liefert das Zero-Trust-Prinzip bereits seit einem Jahrzehnt einen erstrebenswerten Ansatz, jedoch gestaltete sich die Umsetzung bisher oftmals kompliziert – inklusive störendem Einfluss im täglichen Geschäftsbetrieb. Mit dem Zero Trust Bundle zeigt WatchGuard jetzt einen einfachen und äußerst praktikablen Weg zur Realisierung auf – ganz ohne die Komplexität oder den Aufwand klassischer Enterprise-</w:t>
      </w:r>
      <w:r w:rsidR="00A921BB">
        <w:rPr>
          <w:rFonts w:eastAsia="Times New Roman"/>
          <w:b w:val="0"/>
          <w:sz w:val="20"/>
          <w:szCs w:val="20"/>
          <w:lang w:eastAsia="de-DE"/>
        </w:rPr>
        <w:t>Produkte</w:t>
      </w:r>
      <w:r>
        <w:rPr>
          <w:rFonts w:eastAsia="Times New Roman"/>
          <w:b w:val="0"/>
          <w:sz w:val="20"/>
          <w:szCs w:val="20"/>
          <w:lang w:eastAsia="de-DE"/>
        </w:rPr>
        <w:t xml:space="preserve">. Das Bundle baut auf der kürzlich eingeführten </w:t>
      </w:r>
      <w:hyperlink r:id="rId9" w:history="1">
        <w:proofErr w:type="spellStart"/>
        <w:r w:rsidR="008D1A6A" w:rsidRPr="00E556B8">
          <w:rPr>
            <w:rStyle w:val="Hyperlink"/>
            <w:rFonts w:eastAsia="Times New Roman"/>
            <w:b w:val="0"/>
            <w:sz w:val="20"/>
            <w:szCs w:val="20"/>
            <w:lang w:eastAsia="de-DE"/>
          </w:rPr>
          <w:t>FireCloud</w:t>
        </w:r>
        <w:proofErr w:type="spellEnd"/>
        <w:r w:rsidR="008D1A6A" w:rsidRPr="00E556B8">
          <w:rPr>
            <w:rStyle w:val="Hyperlink"/>
            <w:rFonts w:eastAsia="Times New Roman"/>
            <w:b w:val="0"/>
            <w:sz w:val="20"/>
            <w:szCs w:val="20"/>
            <w:lang w:eastAsia="de-DE"/>
          </w:rPr>
          <w:t xml:space="preserve"> Total Access</w:t>
        </w:r>
      </w:hyperlink>
      <w:r w:rsidR="008D1A6A">
        <w:rPr>
          <w:rFonts w:eastAsia="Times New Roman"/>
          <w:b w:val="0"/>
          <w:sz w:val="20"/>
          <w:szCs w:val="20"/>
          <w:lang w:eastAsia="de-DE"/>
        </w:rPr>
        <w:t>-Lösung</w:t>
      </w:r>
      <w:r>
        <w:rPr>
          <w:rFonts w:eastAsia="Times New Roman"/>
          <w:b w:val="0"/>
          <w:sz w:val="20"/>
          <w:szCs w:val="20"/>
          <w:lang w:eastAsia="de-DE"/>
        </w:rPr>
        <w:t xml:space="preserve"> auf und erweitert dieses cloudbasierte Konzept für modernen, sicheren Zugriff um ein vollständiges Zero-Trust-Framework. </w:t>
      </w:r>
    </w:p>
    <w:p w14:paraId="08DCDB6A" w14:textId="77777777" w:rsidR="008D1A6A" w:rsidRDefault="008D1A6A">
      <w:pPr>
        <w:pStyle w:val="Textkrper"/>
        <w:spacing w:line="288" w:lineRule="auto"/>
        <w:ind w:right="1134"/>
        <w:rPr>
          <w:rFonts w:eastAsia="Times New Roman"/>
          <w:b w:val="0"/>
          <w:sz w:val="20"/>
          <w:szCs w:val="20"/>
          <w:lang w:eastAsia="de-DE"/>
        </w:rPr>
      </w:pPr>
    </w:p>
    <w:p w14:paraId="1BDA2F67" w14:textId="77777777" w:rsidR="008D1A6A" w:rsidRDefault="00000000">
      <w:pPr>
        <w:pStyle w:val="Textkrper"/>
        <w:spacing w:line="288" w:lineRule="auto"/>
        <w:ind w:right="1134"/>
        <w:rPr>
          <w:rFonts w:eastAsia="Times New Roman"/>
          <w:b w:val="0"/>
          <w:sz w:val="20"/>
          <w:szCs w:val="20"/>
          <w:lang w:eastAsia="de-DE"/>
        </w:rPr>
      </w:pPr>
      <w:r>
        <w:rPr>
          <w:rFonts w:eastAsia="Times New Roman"/>
          <w:b w:val="0"/>
          <w:sz w:val="20"/>
          <w:szCs w:val="20"/>
          <w:lang w:eastAsia="de-DE"/>
        </w:rPr>
        <w:t xml:space="preserve">„Das ist unser erster großer Schritt zur Vereinheitlichung von Zero Trust und zur Modernisierung der Netzwerksicherheit“, erklärt Andrew Young, Chief </w:t>
      </w:r>
      <w:proofErr w:type="spellStart"/>
      <w:r>
        <w:rPr>
          <w:rFonts w:eastAsia="Times New Roman"/>
          <w:b w:val="0"/>
          <w:sz w:val="20"/>
          <w:szCs w:val="20"/>
          <w:lang w:eastAsia="de-DE"/>
        </w:rPr>
        <w:t>Product</w:t>
      </w:r>
      <w:proofErr w:type="spellEnd"/>
      <w:r>
        <w:rPr>
          <w:rFonts w:eastAsia="Times New Roman"/>
          <w:b w:val="0"/>
          <w:sz w:val="20"/>
          <w:szCs w:val="20"/>
          <w:lang w:eastAsia="de-DE"/>
        </w:rPr>
        <w:t xml:space="preserve"> Officer und Senior </w:t>
      </w:r>
      <w:proofErr w:type="spellStart"/>
      <w:r>
        <w:rPr>
          <w:rFonts w:eastAsia="Times New Roman"/>
          <w:b w:val="0"/>
          <w:sz w:val="20"/>
          <w:szCs w:val="20"/>
          <w:lang w:eastAsia="de-DE"/>
        </w:rPr>
        <w:t>Vice</w:t>
      </w:r>
      <w:proofErr w:type="spellEnd"/>
      <w:r>
        <w:rPr>
          <w:rFonts w:eastAsia="Times New Roman"/>
          <w:b w:val="0"/>
          <w:sz w:val="20"/>
          <w:szCs w:val="20"/>
          <w:lang w:eastAsia="de-DE"/>
        </w:rPr>
        <w:t xml:space="preserve"> </w:t>
      </w:r>
      <w:proofErr w:type="spellStart"/>
      <w:r>
        <w:rPr>
          <w:rFonts w:eastAsia="Times New Roman"/>
          <w:b w:val="0"/>
          <w:sz w:val="20"/>
          <w:szCs w:val="20"/>
          <w:lang w:eastAsia="de-DE"/>
        </w:rPr>
        <w:t>President</w:t>
      </w:r>
      <w:proofErr w:type="spellEnd"/>
      <w:r>
        <w:rPr>
          <w:rFonts w:eastAsia="Times New Roman"/>
          <w:b w:val="0"/>
          <w:sz w:val="20"/>
          <w:szCs w:val="20"/>
          <w:lang w:eastAsia="de-DE"/>
        </w:rPr>
        <w:t xml:space="preserve"> </w:t>
      </w:r>
      <w:proofErr w:type="spellStart"/>
      <w:r>
        <w:rPr>
          <w:rFonts w:eastAsia="Times New Roman"/>
          <w:b w:val="0"/>
          <w:sz w:val="20"/>
          <w:szCs w:val="20"/>
          <w:lang w:eastAsia="de-DE"/>
        </w:rPr>
        <w:t>Product</w:t>
      </w:r>
      <w:proofErr w:type="spellEnd"/>
      <w:r>
        <w:rPr>
          <w:rFonts w:eastAsia="Times New Roman"/>
          <w:b w:val="0"/>
          <w:sz w:val="20"/>
          <w:szCs w:val="20"/>
          <w:lang w:eastAsia="de-DE"/>
        </w:rPr>
        <w:t xml:space="preserve"> Management bei WatchGuard. „Zero Trust funktioniert, </w:t>
      </w:r>
      <w:r>
        <w:rPr>
          <w:rFonts w:eastAsia="Times New Roman"/>
          <w:b w:val="0"/>
          <w:sz w:val="20"/>
          <w:szCs w:val="20"/>
          <w:lang w:eastAsia="de-DE"/>
        </w:rPr>
        <w:lastRenderedPageBreak/>
        <w:t xml:space="preserve">wenn Tools zusammenarbeiten. Unser Zero Trust Bundle vereint Identität, Geräte, Zugriff und Extended </w:t>
      </w:r>
      <w:proofErr w:type="spellStart"/>
      <w:r>
        <w:rPr>
          <w:rFonts w:eastAsia="Times New Roman"/>
          <w:b w:val="0"/>
          <w:sz w:val="20"/>
          <w:szCs w:val="20"/>
          <w:lang w:eastAsia="de-DE"/>
        </w:rPr>
        <w:t>Detection</w:t>
      </w:r>
      <w:proofErr w:type="spellEnd"/>
      <w:r>
        <w:rPr>
          <w:rFonts w:eastAsia="Times New Roman"/>
          <w:b w:val="0"/>
          <w:sz w:val="20"/>
          <w:szCs w:val="20"/>
          <w:lang w:eastAsia="de-DE"/>
        </w:rPr>
        <w:t xml:space="preserve"> and Response (XDR), sodass unsere Partner stärkere Sicherheit und skalierbare Dienste im Sinne ihrer Kunden bereitstellen können. Im Laufe der Zeit wird sich unser Zero-Trust-Konzept direkt auf den Netzwerkstack selbst ausweiten und ein kontinuierliches, adaptives Sicherheitsmodell schaffen.“</w:t>
      </w:r>
    </w:p>
    <w:p w14:paraId="1C59373F" w14:textId="77777777" w:rsidR="008D1A6A" w:rsidRDefault="008D1A6A">
      <w:pPr>
        <w:pStyle w:val="Textkrper"/>
        <w:spacing w:line="288" w:lineRule="auto"/>
        <w:ind w:right="1134"/>
        <w:rPr>
          <w:rFonts w:eastAsia="Times New Roman"/>
          <w:b w:val="0"/>
          <w:sz w:val="20"/>
          <w:szCs w:val="20"/>
          <w:lang w:eastAsia="de-DE"/>
        </w:rPr>
      </w:pPr>
    </w:p>
    <w:p w14:paraId="25A9218A" w14:textId="77777777" w:rsidR="008D1A6A" w:rsidRDefault="00000000">
      <w:pPr>
        <w:pStyle w:val="Textkrper"/>
        <w:spacing w:line="288" w:lineRule="auto"/>
        <w:ind w:right="1134"/>
        <w:rPr>
          <w:rFonts w:eastAsia="Times New Roman"/>
          <w:bCs/>
          <w:sz w:val="20"/>
          <w:szCs w:val="20"/>
          <w:lang w:eastAsia="de-DE"/>
        </w:rPr>
      </w:pPr>
      <w:r>
        <w:rPr>
          <w:rFonts w:eastAsia="Times New Roman"/>
          <w:bCs/>
          <w:sz w:val="20"/>
          <w:szCs w:val="20"/>
          <w:lang w:eastAsia="de-DE"/>
        </w:rPr>
        <w:t>Einfach zu Zero Trust dank schlagkräftiger Kombi</w:t>
      </w:r>
    </w:p>
    <w:p w14:paraId="647860B4" w14:textId="77777777" w:rsidR="008D1A6A" w:rsidRDefault="00000000">
      <w:pPr>
        <w:pStyle w:val="Textkrper"/>
        <w:spacing w:line="288" w:lineRule="auto"/>
        <w:ind w:right="1134"/>
        <w:rPr>
          <w:b w:val="0"/>
          <w:color w:val="000000" w:themeColor="text1"/>
          <w:sz w:val="20"/>
          <w:szCs w:val="20"/>
        </w:rPr>
      </w:pPr>
      <w:r>
        <w:rPr>
          <w:b w:val="0"/>
          <w:color w:val="000000" w:themeColor="text1"/>
          <w:sz w:val="20"/>
          <w:szCs w:val="20"/>
        </w:rPr>
        <w:t>Das WatchGuard Zero Trust Bundle verbindet Identitätssicherheit, Geräteintegrität und sicheren Zugriff über eine einzige, cloudbasierte Architektur, die sich mit minimalem Aufwand bereitstellen lässt. Im Kauf ist die vollständige Zero-Trust-Lösung enthalten – ein einzelner Agent sorgt dabei für nahtlose Integration in die bestehende Umgebung. Zu den zentralen Komponenten gehören:</w:t>
      </w:r>
    </w:p>
    <w:p w14:paraId="7922D4B8" w14:textId="77777777" w:rsidR="008D1A6A" w:rsidRDefault="008D1A6A">
      <w:pPr>
        <w:pStyle w:val="Textkrper"/>
        <w:spacing w:line="288" w:lineRule="auto"/>
        <w:ind w:right="1134"/>
        <w:rPr>
          <w:bCs/>
          <w:color w:val="000000" w:themeColor="text1"/>
          <w:sz w:val="20"/>
          <w:szCs w:val="20"/>
        </w:rPr>
      </w:pPr>
    </w:p>
    <w:p w14:paraId="4847964C" w14:textId="6D04FD38" w:rsidR="008D1A6A" w:rsidRDefault="008D1A6A">
      <w:pPr>
        <w:pStyle w:val="Textkrper"/>
        <w:numPr>
          <w:ilvl w:val="0"/>
          <w:numId w:val="1"/>
        </w:numPr>
        <w:spacing w:line="288" w:lineRule="auto"/>
        <w:ind w:left="709" w:right="1134" w:hanging="283"/>
        <w:rPr>
          <w:bCs/>
          <w:color w:val="000000" w:themeColor="text1"/>
          <w:sz w:val="20"/>
          <w:szCs w:val="20"/>
        </w:rPr>
      </w:pPr>
      <w:hyperlink r:id="rId10">
        <w:r>
          <w:rPr>
            <w:bCs/>
            <w:sz w:val="20"/>
            <w:szCs w:val="20"/>
          </w:rPr>
          <w:t>Total Identity Security</w:t>
        </w:r>
      </w:hyperlink>
      <w:r>
        <w:rPr>
          <w:b w:val="0"/>
          <w:color w:val="000000" w:themeColor="text1"/>
          <w:sz w:val="20"/>
          <w:szCs w:val="20"/>
        </w:rPr>
        <w:t xml:space="preserve"> – Adaptive Multi</w:t>
      </w:r>
      <w:r w:rsidR="00184DC9">
        <w:rPr>
          <w:b w:val="0"/>
          <w:color w:val="000000" w:themeColor="text1"/>
          <w:sz w:val="20"/>
          <w:szCs w:val="20"/>
        </w:rPr>
        <w:t>f</w:t>
      </w:r>
      <w:r>
        <w:rPr>
          <w:b w:val="0"/>
          <w:color w:val="000000" w:themeColor="text1"/>
          <w:sz w:val="20"/>
          <w:szCs w:val="20"/>
        </w:rPr>
        <w:t xml:space="preserve">aktor-Authentifizierung (MFA), Single </w:t>
      </w:r>
      <w:proofErr w:type="spellStart"/>
      <w:r>
        <w:rPr>
          <w:b w:val="0"/>
          <w:color w:val="000000" w:themeColor="text1"/>
          <w:sz w:val="20"/>
          <w:szCs w:val="20"/>
        </w:rPr>
        <w:t>Sign</w:t>
      </w:r>
      <w:proofErr w:type="spellEnd"/>
      <w:r>
        <w:rPr>
          <w:b w:val="0"/>
          <w:color w:val="000000" w:themeColor="text1"/>
          <w:sz w:val="20"/>
          <w:szCs w:val="20"/>
        </w:rPr>
        <w:t>-On (SSO), Risikobewertung und Dark</w:t>
      </w:r>
      <w:r w:rsidR="00931791">
        <w:rPr>
          <w:b w:val="0"/>
          <w:color w:val="000000" w:themeColor="text1"/>
          <w:sz w:val="20"/>
          <w:szCs w:val="20"/>
        </w:rPr>
        <w:t xml:space="preserve"> </w:t>
      </w:r>
      <w:r>
        <w:rPr>
          <w:b w:val="0"/>
          <w:color w:val="000000" w:themeColor="text1"/>
          <w:sz w:val="20"/>
          <w:szCs w:val="20"/>
        </w:rPr>
        <w:t>Web</w:t>
      </w:r>
      <w:r w:rsidR="00931791">
        <w:rPr>
          <w:b w:val="0"/>
          <w:color w:val="000000" w:themeColor="text1"/>
          <w:sz w:val="20"/>
          <w:szCs w:val="20"/>
        </w:rPr>
        <w:t xml:space="preserve"> </w:t>
      </w:r>
      <w:proofErr w:type="spellStart"/>
      <w:r>
        <w:rPr>
          <w:b w:val="0"/>
          <w:color w:val="000000" w:themeColor="text1"/>
          <w:sz w:val="20"/>
          <w:szCs w:val="20"/>
        </w:rPr>
        <w:t>Credential</w:t>
      </w:r>
      <w:proofErr w:type="spellEnd"/>
      <w:r w:rsidR="00931791">
        <w:rPr>
          <w:b w:val="0"/>
          <w:color w:val="000000" w:themeColor="text1"/>
          <w:sz w:val="20"/>
          <w:szCs w:val="20"/>
        </w:rPr>
        <w:t xml:space="preserve"> </w:t>
      </w:r>
      <w:r>
        <w:rPr>
          <w:b w:val="0"/>
          <w:color w:val="000000" w:themeColor="text1"/>
          <w:sz w:val="20"/>
          <w:szCs w:val="20"/>
        </w:rPr>
        <w:t xml:space="preserve">Monitoring (DWCM) zur frühzeitigen Erkennung kompromittierter Zugangsdaten </w:t>
      </w:r>
    </w:p>
    <w:p w14:paraId="7D5DBA65" w14:textId="77777777" w:rsidR="008D1A6A" w:rsidRDefault="008D1A6A">
      <w:pPr>
        <w:pStyle w:val="Textkrper"/>
        <w:numPr>
          <w:ilvl w:val="0"/>
          <w:numId w:val="1"/>
        </w:numPr>
        <w:spacing w:line="288" w:lineRule="auto"/>
        <w:ind w:left="709" w:right="1134" w:hanging="283"/>
        <w:rPr>
          <w:b w:val="0"/>
          <w:color w:val="000000" w:themeColor="text1"/>
          <w:sz w:val="20"/>
          <w:szCs w:val="20"/>
        </w:rPr>
      </w:pPr>
      <w:hyperlink r:id="rId11">
        <w:proofErr w:type="spellStart"/>
        <w:r>
          <w:rPr>
            <w:bCs/>
            <w:sz w:val="20"/>
            <w:szCs w:val="20"/>
          </w:rPr>
          <w:t>Endpoint</w:t>
        </w:r>
        <w:proofErr w:type="spellEnd"/>
        <w:r>
          <w:rPr>
            <w:bCs/>
            <w:sz w:val="20"/>
            <w:szCs w:val="20"/>
          </w:rPr>
          <w:t xml:space="preserve"> </w:t>
        </w:r>
        <w:proofErr w:type="spellStart"/>
        <w:r>
          <w:rPr>
            <w:bCs/>
            <w:sz w:val="20"/>
            <w:szCs w:val="20"/>
          </w:rPr>
          <w:t>Protection</w:t>
        </w:r>
        <w:proofErr w:type="spellEnd"/>
        <w:r>
          <w:rPr>
            <w:bCs/>
            <w:sz w:val="20"/>
            <w:szCs w:val="20"/>
          </w:rPr>
          <w:t xml:space="preserve">, </w:t>
        </w:r>
        <w:proofErr w:type="spellStart"/>
        <w:r>
          <w:rPr>
            <w:bCs/>
            <w:sz w:val="20"/>
            <w:szCs w:val="20"/>
          </w:rPr>
          <w:t>Detection</w:t>
        </w:r>
        <w:proofErr w:type="spellEnd"/>
        <w:r>
          <w:rPr>
            <w:bCs/>
            <w:sz w:val="20"/>
            <w:szCs w:val="20"/>
          </w:rPr>
          <w:t xml:space="preserve"> &amp; Response (EPDR)</w:t>
        </w:r>
      </w:hyperlink>
      <w:r>
        <w:rPr>
          <w:b w:val="0"/>
          <w:color w:val="000000" w:themeColor="text1"/>
          <w:sz w:val="20"/>
          <w:szCs w:val="20"/>
        </w:rPr>
        <w:t xml:space="preserve"> – Kontinuierliche Gerätezustandsprüfungen, automatisierte Prävention und Zero-Trust-Anwendungskontrolle</w:t>
      </w:r>
    </w:p>
    <w:p w14:paraId="0FC4BE43" w14:textId="2E1B9CE5" w:rsidR="008D1A6A" w:rsidRDefault="008D1A6A">
      <w:pPr>
        <w:pStyle w:val="Textkrper"/>
        <w:numPr>
          <w:ilvl w:val="0"/>
          <w:numId w:val="1"/>
        </w:numPr>
        <w:spacing w:line="288" w:lineRule="auto"/>
        <w:ind w:left="709" w:right="1134" w:hanging="283"/>
        <w:rPr>
          <w:b w:val="0"/>
          <w:color w:val="000000" w:themeColor="text1"/>
          <w:sz w:val="20"/>
          <w:szCs w:val="20"/>
        </w:rPr>
      </w:pPr>
      <w:hyperlink r:id="rId12">
        <w:proofErr w:type="spellStart"/>
        <w:r>
          <w:rPr>
            <w:bCs/>
            <w:sz w:val="20"/>
            <w:szCs w:val="20"/>
          </w:rPr>
          <w:t>FireCloud</w:t>
        </w:r>
        <w:proofErr w:type="spellEnd"/>
        <w:r>
          <w:rPr>
            <w:bCs/>
            <w:sz w:val="20"/>
            <w:szCs w:val="20"/>
          </w:rPr>
          <w:t xml:space="preserve"> Total Access</w:t>
        </w:r>
      </w:hyperlink>
      <w:r>
        <w:rPr>
          <w:b w:val="0"/>
          <w:color w:val="000000" w:themeColor="text1"/>
          <w:sz w:val="20"/>
          <w:szCs w:val="20"/>
        </w:rPr>
        <w:t xml:space="preserve"> – Cloudbasierte Firewall-</w:t>
      </w:r>
      <w:proofErr w:type="spellStart"/>
      <w:r>
        <w:rPr>
          <w:b w:val="0"/>
          <w:color w:val="000000" w:themeColor="text1"/>
          <w:sz w:val="20"/>
          <w:szCs w:val="20"/>
        </w:rPr>
        <w:t>as</w:t>
      </w:r>
      <w:proofErr w:type="spellEnd"/>
      <w:r>
        <w:rPr>
          <w:b w:val="0"/>
          <w:color w:val="000000" w:themeColor="text1"/>
          <w:sz w:val="20"/>
          <w:szCs w:val="20"/>
        </w:rPr>
        <w:t>-a-service</w:t>
      </w:r>
      <w:r w:rsidR="002047C6">
        <w:rPr>
          <w:b w:val="0"/>
          <w:color w:val="000000" w:themeColor="text1"/>
          <w:sz w:val="20"/>
          <w:szCs w:val="20"/>
        </w:rPr>
        <w:t>-Funktionalität</w:t>
      </w:r>
      <w:r>
        <w:rPr>
          <w:b w:val="0"/>
          <w:color w:val="000000" w:themeColor="text1"/>
          <w:sz w:val="20"/>
          <w:szCs w:val="20"/>
        </w:rPr>
        <w:t xml:space="preserve"> (</w:t>
      </w:r>
      <w:proofErr w:type="spellStart"/>
      <w:r>
        <w:rPr>
          <w:b w:val="0"/>
          <w:color w:val="000000" w:themeColor="text1"/>
          <w:sz w:val="20"/>
          <w:szCs w:val="20"/>
        </w:rPr>
        <w:t>F</w:t>
      </w:r>
      <w:r w:rsidR="004D39F9">
        <w:rPr>
          <w:b w:val="0"/>
          <w:color w:val="000000" w:themeColor="text1"/>
          <w:sz w:val="20"/>
          <w:szCs w:val="20"/>
        </w:rPr>
        <w:t>W</w:t>
      </w:r>
      <w:r>
        <w:rPr>
          <w:b w:val="0"/>
          <w:color w:val="000000" w:themeColor="text1"/>
          <w:sz w:val="20"/>
          <w:szCs w:val="20"/>
        </w:rPr>
        <w:t>aa</w:t>
      </w:r>
      <w:r w:rsidR="009E5605">
        <w:rPr>
          <w:b w:val="0"/>
          <w:color w:val="000000" w:themeColor="text1"/>
          <w:sz w:val="20"/>
          <w:szCs w:val="20"/>
        </w:rPr>
        <w:t>S</w:t>
      </w:r>
      <w:proofErr w:type="spellEnd"/>
      <w:r>
        <w:rPr>
          <w:b w:val="0"/>
          <w:color w:val="000000" w:themeColor="text1"/>
          <w:sz w:val="20"/>
          <w:szCs w:val="20"/>
        </w:rPr>
        <w:t>), Secure Web Gateway (SWG) und Zero Trust Network Access (ZTNA) ersetzen VPN durch schnellen, kontextbasierten Zugriff</w:t>
      </w:r>
    </w:p>
    <w:p w14:paraId="09C3D6B3" w14:textId="77777777" w:rsidR="008D1A6A" w:rsidRDefault="008D1A6A">
      <w:pPr>
        <w:pStyle w:val="Textkrper"/>
        <w:spacing w:line="288" w:lineRule="auto"/>
        <w:ind w:right="1134"/>
        <w:rPr>
          <w:b w:val="0"/>
          <w:color w:val="000000" w:themeColor="text1"/>
          <w:sz w:val="20"/>
          <w:szCs w:val="20"/>
        </w:rPr>
      </w:pPr>
    </w:p>
    <w:p w14:paraId="39105A02" w14:textId="77777777" w:rsidR="008D1A6A" w:rsidRDefault="00000000">
      <w:pPr>
        <w:pStyle w:val="Textkrper"/>
        <w:spacing w:line="288" w:lineRule="auto"/>
        <w:ind w:right="1134"/>
        <w:rPr>
          <w:b w:val="0"/>
          <w:color w:val="000000" w:themeColor="text1"/>
          <w:sz w:val="20"/>
          <w:szCs w:val="20"/>
        </w:rPr>
      </w:pPr>
      <w:r>
        <w:rPr>
          <w:b w:val="0"/>
          <w:color w:val="000000" w:themeColor="text1"/>
          <w:sz w:val="20"/>
          <w:szCs w:val="20"/>
        </w:rPr>
        <w:t xml:space="preserve">Alle Funktionen werden zentral über WatchGuard Cloud und </w:t>
      </w:r>
      <w:proofErr w:type="spellStart"/>
      <w:r>
        <w:rPr>
          <w:b w:val="0"/>
          <w:color w:val="000000" w:themeColor="text1"/>
          <w:sz w:val="20"/>
          <w:szCs w:val="20"/>
        </w:rPr>
        <w:t>ThreatSync</w:t>
      </w:r>
      <w:proofErr w:type="spellEnd"/>
      <w:r>
        <w:rPr>
          <w:b w:val="0"/>
          <w:color w:val="000000" w:themeColor="text1"/>
          <w:sz w:val="20"/>
          <w:szCs w:val="20"/>
        </w:rPr>
        <w:t xml:space="preserve"> XDR gesteuert – inklusive vollständiger Korrelation, automatisierter Abwehr, vereinfachter Lizenzierung und effizientem Mehrmandanten-Betrieb für MSP. Die fortlaufende Zero-Trust-Kontrolle ist jederzeit gewährleistet.</w:t>
      </w:r>
    </w:p>
    <w:p w14:paraId="4359D56B" w14:textId="77777777" w:rsidR="008D1A6A" w:rsidRDefault="008D1A6A">
      <w:pPr>
        <w:pStyle w:val="Textkrper"/>
        <w:spacing w:line="288" w:lineRule="auto"/>
        <w:ind w:right="1134"/>
        <w:rPr>
          <w:b w:val="0"/>
          <w:color w:val="000000" w:themeColor="text1"/>
          <w:sz w:val="20"/>
          <w:szCs w:val="20"/>
        </w:rPr>
      </w:pPr>
    </w:p>
    <w:p w14:paraId="685D49C7" w14:textId="77777777" w:rsidR="008D1A6A" w:rsidRDefault="00000000">
      <w:pPr>
        <w:pStyle w:val="Textkrper"/>
        <w:spacing w:line="288" w:lineRule="auto"/>
        <w:ind w:right="1134"/>
        <w:rPr>
          <w:b w:val="0"/>
          <w:color w:val="000000" w:themeColor="text1"/>
          <w:sz w:val="20"/>
          <w:szCs w:val="20"/>
        </w:rPr>
      </w:pPr>
      <w:r>
        <w:rPr>
          <w:b w:val="0"/>
          <w:color w:val="000000" w:themeColor="text1"/>
          <w:sz w:val="20"/>
          <w:szCs w:val="20"/>
        </w:rPr>
        <w:t xml:space="preserve">Im Zuge dessen kommt nicht zuletzt das Dark Web </w:t>
      </w:r>
      <w:proofErr w:type="spellStart"/>
      <w:r>
        <w:rPr>
          <w:b w:val="0"/>
          <w:color w:val="000000" w:themeColor="text1"/>
          <w:sz w:val="20"/>
          <w:szCs w:val="20"/>
        </w:rPr>
        <w:t>Credential</w:t>
      </w:r>
      <w:proofErr w:type="spellEnd"/>
      <w:r>
        <w:rPr>
          <w:b w:val="0"/>
          <w:color w:val="000000" w:themeColor="text1"/>
          <w:sz w:val="20"/>
          <w:szCs w:val="20"/>
        </w:rPr>
        <w:t xml:space="preserve"> Monitoring (DWCM) als zentrale Erweiterung der Identitätssicherheitslösung von WatchGuard zum Tragen. Die Funktion ist in </w:t>
      </w:r>
      <w:proofErr w:type="spellStart"/>
      <w:r>
        <w:rPr>
          <w:b w:val="0"/>
          <w:color w:val="000000" w:themeColor="text1"/>
          <w:sz w:val="20"/>
          <w:szCs w:val="20"/>
        </w:rPr>
        <w:t>AuthPoint</w:t>
      </w:r>
      <w:proofErr w:type="spellEnd"/>
      <w:r>
        <w:rPr>
          <w:b w:val="0"/>
          <w:color w:val="000000" w:themeColor="text1"/>
          <w:sz w:val="20"/>
          <w:szCs w:val="20"/>
        </w:rPr>
        <w:t xml:space="preserve"> Total Identity Security integriert und setzt Zero Trust bereits vor der Anmeldung um, indem proaktiv nach kompromittierten Anmeldedaten gesucht wird, bevor Angreifer diese nutzen können. </w:t>
      </w:r>
    </w:p>
    <w:p w14:paraId="5DE44450" w14:textId="77777777" w:rsidR="008D1A6A" w:rsidRDefault="008D1A6A">
      <w:pPr>
        <w:pStyle w:val="Textkrper"/>
        <w:spacing w:line="288" w:lineRule="auto"/>
        <w:ind w:right="1134"/>
        <w:rPr>
          <w:b w:val="0"/>
          <w:color w:val="000000" w:themeColor="text1"/>
          <w:sz w:val="20"/>
          <w:szCs w:val="20"/>
        </w:rPr>
      </w:pPr>
    </w:p>
    <w:p w14:paraId="191D95EB" w14:textId="77777777" w:rsidR="008D1A6A" w:rsidRDefault="00000000">
      <w:pPr>
        <w:pStyle w:val="Textkrper"/>
        <w:spacing w:line="288" w:lineRule="auto"/>
        <w:ind w:right="1134"/>
        <w:rPr>
          <w:bCs/>
          <w:color w:val="000000" w:themeColor="text1"/>
          <w:sz w:val="20"/>
          <w:szCs w:val="20"/>
        </w:rPr>
      </w:pPr>
      <w:r>
        <w:rPr>
          <w:bCs/>
          <w:color w:val="000000" w:themeColor="text1"/>
          <w:sz w:val="20"/>
          <w:szCs w:val="20"/>
        </w:rPr>
        <w:t>Natives Zusammenspiel als Zünglein an der Waage</w:t>
      </w:r>
    </w:p>
    <w:p w14:paraId="1F0D1E95" w14:textId="2BB1D7D1" w:rsidR="008D1A6A" w:rsidRDefault="00000000">
      <w:pPr>
        <w:pStyle w:val="Textkrper"/>
        <w:spacing w:line="288" w:lineRule="auto"/>
        <w:ind w:right="1134"/>
        <w:rPr>
          <w:b w:val="0"/>
          <w:color w:val="000000" w:themeColor="text1"/>
          <w:sz w:val="20"/>
          <w:szCs w:val="20"/>
        </w:rPr>
      </w:pPr>
      <w:r>
        <w:rPr>
          <w:b w:val="0"/>
          <w:color w:val="000000" w:themeColor="text1"/>
          <w:sz w:val="20"/>
          <w:szCs w:val="20"/>
        </w:rPr>
        <w:t xml:space="preserve">„Die Architektur von WatchGuard überzeugt, weil die Funktionen für Identitätsschutz, Geräteintegrität und zur Durchsetzung von Zugangsrichtlinien nativ über eine einzige, konsolidierte Steuerungsebene laufen“, so Pete </w:t>
      </w:r>
      <w:proofErr w:type="spellStart"/>
      <w:r>
        <w:rPr>
          <w:b w:val="0"/>
          <w:color w:val="000000" w:themeColor="text1"/>
          <w:sz w:val="20"/>
          <w:szCs w:val="20"/>
        </w:rPr>
        <w:t>Finalle</w:t>
      </w:r>
      <w:proofErr w:type="spellEnd"/>
      <w:r>
        <w:rPr>
          <w:b w:val="0"/>
          <w:color w:val="000000" w:themeColor="text1"/>
          <w:sz w:val="20"/>
          <w:szCs w:val="20"/>
        </w:rPr>
        <w:t xml:space="preserve">, Research Manager bei IDC (International Data Corporation) und Experte für Security-and-Trust-Praktiken. „Dieses Maß an Kohäsion schafft eindeutige Synergien, die kleinen und mittleren Unternehmen sowie </w:t>
      </w:r>
      <w:proofErr w:type="spellStart"/>
      <w:r>
        <w:rPr>
          <w:b w:val="0"/>
          <w:color w:val="000000" w:themeColor="text1"/>
          <w:sz w:val="20"/>
          <w:szCs w:val="20"/>
        </w:rPr>
        <w:t>Managed</w:t>
      </w:r>
      <w:proofErr w:type="spellEnd"/>
      <w:r>
        <w:rPr>
          <w:b w:val="0"/>
          <w:color w:val="000000" w:themeColor="text1"/>
          <w:sz w:val="20"/>
          <w:szCs w:val="20"/>
        </w:rPr>
        <w:t xml:space="preserve"> Service Provider</w:t>
      </w:r>
      <w:r w:rsidR="00EF34E0">
        <w:rPr>
          <w:b w:val="0"/>
          <w:color w:val="000000" w:themeColor="text1"/>
          <w:sz w:val="20"/>
          <w:szCs w:val="20"/>
        </w:rPr>
        <w:t>n</w:t>
      </w:r>
      <w:r>
        <w:rPr>
          <w:b w:val="0"/>
          <w:color w:val="000000" w:themeColor="text1"/>
          <w:sz w:val="20"/>
          <w:szCs w:val="20"/>
        </w:rPr>
        <w:t xml:space="preserve"> (MSP) normalerweise nicht zur Verfügung stehen. Dies bedeutet einen signifikanten Fortschritt, wenn es darum geht, Zero Trust einem breiteren Publikum zugänglich zu machen.“</w:t>
      </w:r>
    </w:p>
    <w:p w14:paraId="555AF52C" w14:textId="77777777" w:rsidR="008D1A6A" w:rsidRDefault="008D1A6A">
      <w:pPr>
        <w:pStyle w:val="Textkrper"/>
        <w:spacing w:line="288" w:lineRule="auto"/>
        <w:ind w:right="1134"/>
        <w:rPr>
          <w:b w:val="0"/>
          <w:color w:val="000000" w:themeColor="text1"/>
          <w:sz w:val="20"/>
          <w:szCs w:val="20"/>
        </w:rPr>
      </w:pPr>
    </w:p>
    <w:p w14:paraId="1D7C77EC" w14:textId="77777777" w:rsidR="008D1A6A" w:rsidRDefault="008D1A6A">
      <w:pPr>
        <w:pStyle w:val="Textkrper"/>
        <w:spacing w:line="288" w:lineRule="auto"/>
        <w:ind w:right="1134"/>
        <w:rPr>
          <w:bCs/>
          <w:color w:val="000000" w:themeColor="text1"/>
          <w:sz w:val="20"/>
          <w:szCs w:val="20"/>
        </w:rPr>
      </w:pPr>
    </w:p>
    <w:p w14:paraId="4B115188" w14:textId="77777777" w:rsidR="008D1A6A" w:rsidRDefault="00000000">
      <w:pPr>
        <w:pStyle w:val="Textkrper"/>
        <w:spacing w:line="288" w:lineRule="auto"/>
        <w:ind w:right="1134"/>
        <w:rPr>
          <w:bCs/>
          <w:color w:val="000000" w:themeColor="text1"/>
          <w:sz w:val="20"/>
          <w:szCs w:val="20"/>
        </w:rPr>
      </w:pPr>
      <w:r>
        <w:rPr>
          <w:bCs/>
          <w:color w:val="000000" w:themeColor="text1"/>
          <w:sz w:val="20"/>
          <w:szCs w:val="20"/>
        </w:rPr>
        <w:lastRenderedPageBreak/>
        <w:t>Mehrwert für Unternehmen und MSP</w:t>
      </w:r>
    </w:p>
    <w:p w14:paraId="72719C1B" w14:textId="77777777" w:rsidR="008D1A6A" w:rsidRDefault="00000000">
      <w:pPr>
        <w:pStyle w:val="Textkrper"/>
        <w:spacing w:line="288" w:lineRule="auto"/>
        <w:ind w:right="1134"/>
        <w:rPr>
          <w:b w:val="0"/>
          <w:color w:val="000000" w:themeColor="text1"/>
          <w:sz w:val="20"/>
          <w:szCs w:val="20"/>
        </w:rPr>
      </w:pPr>
      <w:r>
        <w:rPr>
          <w:b w:val="0"/>
          <w:color w:val="000000" w:themeColor="text1"/>
          <w:sz w:val="20"/>
          <w:szCs w:val="20"/>
        </w:rPr>
        <w:t>Das Zero Trust Bundle liefert Sicherheit auf Enterprise-Niveau ohne die damit üblicherweise einhergehende Komplexität. Die Vorteile im Überblick:</w:t>
      </w:r>
    </w:p>
    <w:p w14:paraId="0B7E9F83" w14:textId="77777777" w:rsidR="008D1A6A" w:rsidRDefault="008D1A6A">
      <w:pPr>
        <w:pStyle w:val="Textkrper"/>
        <w:spacing w:line="288" w:lineRule="auto"/>
        <w:ind w:right="1134"/>
        <w:rPr>
          <w:b w:val="0"/>
          <w:color w:val="000000" w:themeColor="text1"/>
          <w:sz w:val="20"/>
          <w:szCs w:val="20"/>
        </w:rPr>
      </w:pPr>
    </w:p>
    <w:p w14:paraId="13BA270E" w14:textId="77777777" w:rsidR="008D1A6A" w:rsidRDefault="00000000">
      <w:pPr>
        <w:pStyle w:val="Textkrper"/>
        <w:numPr>
          <w:ilvl w:val="0"/>
          <w:numId w:val="2"/>
        </w:numPr>
        <w:spacing w:line="288" w:lineRule="auto"/>
        <w:ind w:right="1134"/>
        <w:rPr>
          <w:b w:val="0"/>
          <w:color w:val="000000" w:themeColor="text1"/>
          <w:sz w:val="20"/>
          <w:szCs w:val="20"/>
        </w:rPr>
      </w:pPr>
      <w:r>
        <w:rPr>
          <w:b w:val="0"/>
          <w:color w:val="000000" w:themeColor="text1"/>
          <w:sz w:val="20"/>
          <w:szCs w:val="20"/>
        </w:rPr>
        <w:t xml:space="preserve">genaue, risikobasierte Zugriffsentscheidungen </w:t>
      </w:r>
    </w:p>
    <w:p w14:paraId="6778FBFB" w14:textId="77777777" w:rsidR="008D1A6A" w:rsidRDefault="00000000">
      <w:pPr>
        <w:pStyle w:val="Textkrper"/>
        <w:numPr>
          <w:ilvl w:val="0"/>
          <w:numId w:val="2"/>
        </w:numPr>
        <w:spacing w:line="288" w:lineRule="auto"/>
        <w:ind w:right="1134"/>
        <w:rPr>
          <w:b w:val="0"/>
          <w:color w:val="000000" w:themeColor="text1"/>
          <w:sz w:val="20"/>
          <w:szCs w:val="20"/>
        </w:rPr>
      </w:pPr>
      <w:r>
        <w:rPr>
          <w:b w:val="0"/>
          <w:color w:val="000000" w:themeColor="text1"/>
          <w:sz w:val="20"/>
          <w:szCs w:val="20"/>
        </w:rPr>
        <w:t>gehärtete Geräte, die in einem geprüften, sicheren Zustand bleiben</w:t>
      </w:r>
    </w:p>
    <w:p w14:paraId="2767B95B" w14:textId="77777777" w:rsidR="008D1A6A" w:rsidRDefault="00000000">
      <w:pPr>
        <w:pStyle w:val="Textkrper"/>
        <w:numPr>
          <w:ilvl w:val="0"/>
          <w:numId w:val="2"/>
        </w:numPr>
        <w:spacing w:line="288" w:lineRule="auto"/>
        <w:ind w:right="1134"/>
        <w:rPr>
          <w:b w:val="0"/>
          <w:color w:val="000000" w:themeColor="text1"/>
          <w:sz w:val="20"/>
          <w:szCs w:val="20"/>
        </w:rPr>
      </w:pPr>
      <w:r>
        <w:rPr>
          <w:b w:val="0"/>
          <w:color w:val="000000" w:themeColor="text1"/>
          <w:sz w:val="20"/>
          <w:szCs w:val="20"/>
        </w:rPr>
        <w:t xml:space="preserve">sicherer Zugriff ohne VPN-Engpässe </w:t>
      </w:r>
    </w:p>
    <w:p w14:paraId="513EA47C" w14:textId="77777777" w:rsidR="008D1A6A" w:rsidRDefault="00000000">
      <w:pPr>
        <w:pStyle w:val="Textkrper"/>
        <w:numPr>
          <w:ilvl w:val="0"/>
          <w:numId w:val="2"/>
        </w:numPr>
        <w:spacing w:line="288" w:lineRule="auto"/>
        <w:ind w:right="1134"/>
        <w:rPr>
          <w:b w:val="0"/>
          <w:color w:val="000000" w:themeColor="text1"/>
          <w:sz w:val="20"/>
          <w:szCs w:val="20"/>
        </w:rPr>
      </w:pPr>
      <w:r>
        <w:rPr>
          <w:b w:val="0"/>
          <w:color w:val="000000" w:themeColor="text1"/>
          <w:sz w:val="20"/>
          <w:szCs w:val="20"/>
        </w:rPr>
        <w:t xml:space="preserve">schnellere Eindämmung dank einheitlicher Signale </w:t>
      </w:r>
    </w:p>
    <w:p w14:paraId="6B390D60" w14:textId="77777777" w:rsidR="008D1A6A" w:rsidRDefault="00000000">
      <w:pPr>
        <w:pStyle w:val="Textkrper"/>
        <w:numPr>
          <w:ilvl w:val="0"/>
          <w:numId w:val="2"/>
        </w:numPr>
        <w:spacing w:line="288" w:lineRule="auto"/>
        <w:ind w:right="1134"/>
        <w:rPr>
          <w:b w:val="0"/>
          <w:color w:val="000000" w:themeColor="text1"/>
          <w:sz w:val="20"/>
          <w:szCs w:val="20"/>
        </w:rPr>
      </w:pPr>
      <w:r>
        <w:rPr>
          <w:b w:val="0"/>
          <w:color w:val="000000" w:themeColor="text1"/>
          <w:sz w:val="20"/>
          <w:szCs w:val="20"/>
        </w:rPr>
        <w:t>ein profitables, skalierbares Servicemodell für MSP</w:t>
      </w:r>
    </w:p>
    <w:p w14:paraId="06C2FE09" w14:textId="77777777" w:rsidR="008D1A6A" w:rsidRDefault="008D1A6A">
      <w:pPr>
        <w:pStyle w:val="Textkrper"/>
        <w:spacing w:line="288" w:lineRule="auto"/>
        <w:ind w:left="720" w:right="1134"/>
        <w:rPr>
          <w:b w:val="0"/>
          <w:color w:val="000000" w:themeColor="text1"/>
          <w:sz w:val="20"/>
          <w:szCs w:val="20"/>
        </w:rPr>
      </w:pPr>
    </w:p>
    <w:p w14:paraId="019850CD" w14:textId="56B7B454" w:rsidR="008D1A6A" w:rsidRDefault="00000000">
      <w:pPr>
        <w:pStyle w:val="Textkrper"/>
        <w:spacing w:line="288" w:lineRule="auto"/>
        <w:ind w:right="1134"/>
        <w:rPr>
          <w:b w:val="0"/>
          <w:color w:val="000000" w:themeColor="text1"/>
          <w:sz w:val="20"/>
          <w:szCs w:val="20"/>
        </w:rPr>
      </w:pPr>
      <w:r>
        <w:rPr>
          <w:b w:val="0"/>
          <w:color w:val="000000" w:themeColor="text1"/>
          <w:sz w:val="20"/>
          <w:szCs w:val="20"/>
        </w:rPr>
        <w:t xml:space="preserve">„Durch die Zusammenführung von Identitätsschutz, Gerätevalidierung und Zugriffskontrolle in einem Framework macht WatchGuard Zero Trust schnell implementierbar“, so </w:t>
      </w:r>
      <w:r w:rsidR="00035B1D">
        <w:rPr>
          <w:b w:val="0"/>
          <w:color w:val="000000" w:themeColor="text1"/>
          <w:sz w:val="20"/>
          <w:szCs w:val="20"/>
        </w:rPr>
        <w:t xml:space="preserve">Robert Weber, Geschäftsführer der </w:t>
      </w:r>
      <w:proofErr w:type="spellStart"/>
      <w:r w:rsidR="00035B1D">
        <w:rPr>
          <w:b w:val="0"/>
          <w:color w:val="000000" w:themeColor="text1"/>
          <w:sz w:val="20"/>
          <w:szCs w:val="20"/>
        </w:rPr>
        <w:t>Fornax</w:t>
      </w:r>
      <w:proofErr w:type="spellEnd"/>
      <w:r w:rsidR="00035B1D">
        <w:rPr>
          <w:b w:val="0"/>
          <w:color w:val="000000" w:themeColor="text1"/>
          <w:sz w:val="20"/>
          <w:szCs w:val="20"/>
        </w:rPr>
        <w:t xml:space="preserve"> GmbH</w:t>
      </w:r>
      <w:r>
        <w:rPr>
          <w:b w:val="0"/>
          <w:color w:val="000000" w:themeColor="text1"/>
          <w:sz w:val="20"/>
          <w:szCs w:val="20"/>
        </w:rPr>
        <w:t xml:space="preserve">. „Im Ergebnis bedeutet dies mehr Sicherheit für unsere Kunden ohne zusätzliche Komplexität.“ </w:t>
      </w:r>
    </w:p>
    <w:p w14:paraId="4B607E6C" w14:textId="77777777" w:rsidR="008D1A6A" w:rsidRDefault="008D1A6A">
      <w:pPr>
        <w:pStyle w:val="Textkrper"/>
        <w:spacing w:line="288" w:lineRule="auto"/>
        <w:ind w:right="1134"/>
        <w:rPr>
          <w:b w:val="0"/>
          <w:color w:val="000000" w:themeColor="text1"/>
          <w:sz w:val="20"/>
          <w:szCs w:val="20"/>
        </w:rPr>
      </w:pPr>
    </w:p>
    <w:p w14:paraId="4FDEC6AF" w14:textId="77777777" w:rsidR="008D1A6A" w:rsidRDefault="00000000">
      <w:pPr>
        <w:pStyle w:val="Textkrper"/>
        <w:spacing w:line="288" w:lineRule="auto"/>
        <w:ind w:right="1134"/>
        <w:rPr>
          <w:b w:val="0"/>
          <w:color w:val="000000" w:themeColor="text1"/>
          <w:sz w:val="20"/>
          <w:szCs w:val="20"/>
        </w:rPr>
      </w:pPr>
      <w:r>
        <w:rPr>
          <w:b w:val="0"/>
          <w:color w:val="000000" w:themeColor="text1"/>
          <w:sz w:val="20"/>
          <w:szCs w:val="20"/>
        </w:rPr>
        <w:t xml:space="preserve">Das Zero Trust Bundle ersetzt das bisherige Passport-Angebot und bietet einen skalierbaren, modernen Weg, Zero Trust mit kleinstmöglichem Aufwand einzuführen. </w:t>
      </w:r>
    </w:p>
    <w:p w14:paraId="3078F786" w14:textId="77777777" w:rsidR="008D1A6A" w:rsidRDefault="008D1A6A">
      <w:pPr>
        <w:pStyle w:val="Textkrper"/>
        <w:spacing w:line="288" w:lineRule="auto"/>
        <w:ind w:right="1134"/>
        <w:rPr>
          <w:b w:val="0"/>
          <w:color w:val="000000" w:themeColor="text1"/>
          <w:sz w:val="20"/>
          <w:szCs w:val="20"/>
        </w:rPr>
      </w:pPr>
    </w:p>
    <w:p w14:paraId="2BBCA241" w14:textId="342A9924" w:rsidR="008D1A6A" w:rsidRDefault="00000000">
      <w:pPr>
        <w:pStyle w:val="Textkrper"/>
        <w:spacing w:line="288" w:lineRule="auto"/>
        <w:ind w:right="1134"/>
        <w:rPr>
          <w:b w:val="0"/>
          <w:color w:val="000000" w:themeColor="text1"/>
          <w:sz w:val="20"/>
          <w:szCs w:val="20"/>
        </w:rPr>
      </w:pPr>
      <w:r>
        <w:rPr>
          <w:b w:val="0"/>
          <w:color w:val="000000" w:themeColor="text1"/>
          <w:sz w:val="20"/>
          <w:szCs w:val="20"/>
        </w:rPr>
        <w:t>Weitere Informationen sind online verfügbar</w:t>
      </w:r>
      <w:r w:rsidR="0054062D">
        <w:rPr>
          <w:b w:val="0"/>
          <w:color w:val="000000" w:themeColor="text1"/>
          <w:sz w:val="20"/>
          <w:szCs w:val="20"/>
        </w:rPr>
        <w:t xml:space="preserve">: </w:t>
      </w:r>
      <w:hyperlink r:id="rId13" w:history="1">
        <w:r w:rsidR="0054062D" w:rsidRPr="0054062D">
          <w:rPr>
            <w:rStyle w:val="Hyperlink"/>
            <w:b w:val="0"/>
            <w:sz w:val="20"/>
            <w:szCs w:val="20"/>
          </w:rPr>
          <w:t>WatchGuard Zero Trust Bundle</w:t>
        </w:r>
      </w:hyperlink>
      <w:r>
        <w:rPr>
          <w:b w:val="0"/>
          <w:color w:val="000000" w:themeColor="text1"/>
          <w:sz w:val="20"/>
          <w:szCs w:val="20"/>
        </w:rPr>
        <w:t xml:space="preserve">. </w:t>
      </w:r>
    </w:p>
    <w:p w14:paraId="09DDE12C" w14:textId="77777777" w:rsidR="005C18E7" w:rsidRDefault="005C18E7">
      <w:pPr>
        <w:pStyle w:val="Textkrper"/>
        <w:spacing w:line="288" w:lineRule="auto"/>
        <w:ind w:right="1134"/>
        <w:rPr>
          <w:b w:val="0"/>
          <w:color w:val="000000" w:themeColor="text1"/>
          <w:sz w:val="20"/>
          <w:szCs w:val="20"/>
        </w:rPr>
      </w:pPr>
    </w:p>
    <w:p w14:paraId="29363279" w14:textId="77777777" w:rsidR="005C18E7" w:rsidRDefault="005C18E7" w:rsidP="005C18E7">
      <w:pPr>
        <w:pStyle w:val="Textkrper"/>
        <w:spacing w:line="288" w:lineRule="auto"/>
        <w:ind w:right="567"/>
        <w:rPr>
          <w:rFonts w:eastAsia="MS Mincho"/>
          <w:sz w:val="20"/>
          <w:szCs w:val="20"/>
          <w:lang w:eastAsia="de-DE"/>
        </w:rPr>
      </w:pPr>
      <w:r w:rsidRPr="00B46453">
        <w:rPr>
          <w:rFonts w:eastAsia="MS Mincho"/>
          <w:sz w:val="20"/>
          <w:szCs w:val="20"/>
          <w:lang w:eastAsia="de-DE"/>
        </w:rPr>
        <w:t>Bildmaterial</w:t>
      </w:r>
    </w:p>
    <w:p w14:paraId="1F3B067A" w14:textId="77777777" w:rsidR="005C18E7" w:rsidRDefault="005C18E7" w:rsidP="005C18E7">
      <w:pPr>
        <w:pStyle w:val="Textkrper"/>
        <w:spacing w:line="288" w:lineRule="auto"/>
        <w:ind w:right="567"/>
        <w:rPr>
          <w:rFonts w:eastAsia="MS Mincho"/>
          <w:sz w:val="20"/>
          <w:szCs w:val="20"/>
          <w:lang w:eastAsia="de-DE"/>
        </w:rPr>
      </w:pPr>
    </w:p>
    <w:tbl>
      <w:tblPr>
        <w:tblpPr w:leftFromText="141" w:rightFromText="141" w:vertAnchor="text" w:tblpY="1"/>
        <w:tblOverlap w:val="never"/>
        <w:tblW w:w="6946" w:type="dxa"/>
        <w:tblLayout w:type="fixed"/>
        <w:tblCellMar>
          <w:left w:w="70" w:type="dxa"/>
          <w:right w:w="70" w:type="dxa"/>
        </w:tblCellMar>
        <w:tblLook w:val="00A0" w:firstRow="1" w:lastRow="0" w:firstColumn="1" w:lastColumn="0" w:noHBand="0" w:noVBand="0"/>
      </w:tblPr>
      <w:tblGrid>
        <w:gridCol w:w="6946"/>
      </w:tblGrid>
      <w:tr w:rsidR="005C18E7" w:rsidRPr="00B46453" w14:paraId="026C987B" w14:textId="77777777" w:rsidTr="005C18E7">
        <w:trPr>
          <w:trHeight w:val="1957"/>
        </w:trPr>
        <w:tc>
          <w:tcPr>
            <w:tcW w:w="6946" w:type="dxa"/>
          </w:tcPr>
          <w:p w14:paraId="36744AD7" w14:textId="77777777" w:rsidR="005C18E7" w:rsidRPr="00B46453" w:rsidRDefault="005C18E7" w:rsidP="00B366C9">
            <w:pPr>
              <w:pStyle w:val="Kopfzeile"/>
              <w:ind w:right="-141"/>
            </w:pPr>
          </w:p>
          <w:p w14:paraId="2667EFC0" w14:textId="77777777" w:rsidR="005C18E7" w:rsidRPr="00B46453" w:rsidRDefault="005C18E7" w:rsidP="00B366C9">
            <w:pPr>
              <w:pStyle w:val="Kopfzeile"/>
              <w:ind w:right="-141"/>
            </w:pPr>
            <w:r>
              <w:rPr>
                <w:noProof/>
              </w:rPr>
              <w:drawing>
                <wp:anchor distT="0" distB="0" distL="114300" distR="114300" simplePos="0" relativeHeight="251662336" behindDoc="0" locked="0" layoutInCell="1" allowOverlap="1" wp14:anchorId="67CEDC3F" wp14:editId="05E4456A">
                  <wp:simplePos x="0" y="0"/>
                  <wp:positionH relativeFrom="column">
                    <wp:posOffset>150495</wp:posOffset>
                  </wp:positionH>
                  <wp:positionV relativeFrom="paragraph">
                    <wp:posOffset>1533</wp:posOffset>
                  </wp:positionV>
                  <wp:extent cx="774000" cy="961200"/>
                  <wp:effectExtent l="0" t="0" r="1270" b="4445"/>
                  <wp:wrapSquare wrapText="bothSides"/>
                  <wp:docPr id="62978480" name="Grafik 1" descr="Andrew Yo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drew You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74000" cy="961200"/>
                          </a:xfrm>
                          <a:prstGeom prst="rect">
                            <a:avLst/>
                          </a:prstGeom>
                          <a:noFill/>
                          <a:ln>
                            <a:noFill/>
                          </a:ln>
                        </pic:spPr>
                      </pic:pic>
                    </a:graphicData>
                  </a:graphic>
                  <wp14:sizeRelH relativeFrom="margin">
                    <wp14:pctWidth>0</wp14:pctWidth>
                  </wp14:sizeRelH>
                  <wp14:sizeRelV relativeFrom="margin">
                    <wp14:pctHeight>0</wp14:pctHeight>
                  </wp14:sizeRelV>
                </wp:anchor>
              </w:drawing>
            </w:r>
            <w:r>
              <w:fldChar w:fldCharType="begin"/>
            </w:r>
            <w:r>
              <w:instrText xml:space="preserve"> INCLUDEPICTURE "/Users/rebeccahasert/Library/Group Containers/UBF8T346G9.ms/WebArchiveCopyPasteTempFiles/com.microsoft.Word/andrew_young-sm.jpg" \* MERGEFORMATINET </w:instrText>
            </w:r>
            <w:r>
              <w:fldChar w:fldCharType="separate"/>
            </w:r>
            <w:r>
              <w:fldChar w:fldCharType="end"/>
            </w:r>
          </w:p>
        </w:tc>
      </w:tr>
      <w:tr w:rsidR="005C18E7" w:rsidRPr="00E34D7A" w14:paraId="5FE7D625" w14:textId="77777777" w:rsidTr="005C18E7">
        <w:trPr>
          <w:trHeight w:val="536"/>
        </w:trPr>
        <w:tc>
          <w:tcPr>
            <w:tcW w:w="6946" w:type="dxa"/>
          </w:tcPr>
          <w:p w14:paraId="6C76A74F" w14:textId="79B13872" w:rsidR="005C18E7" w:rsidRDefault="005C18E7" w:rsidP="00B366C9">
            <w:pPr>
              <w:tabs>
                <w:tab w:val="left" w:pos="3828"/>
                <w:tab w:val="left" w:pos="5245"/>
                <w:tab w:val="left" w:pos="7938"/>
              </w:tabs>
              <w:spacing w:line="288" w:lineRule="auto"/>
              <w:ind w:right="222"/>
              <w:rPr>
                <w:rFonts w:ascii="Helvetica" w:hAnsi="Helvetica"/>
                <w:sz w:val="16"/>
                <w:szCs w:val="16"/>
              </w:rPr>
            </w:pPr>
            <w:r w:rsidRPr="0040651F">
              <w:rPr>
                <w:rFonts w:ascii="Helvetica" w:hAnsi="Helvetica"/>
                <w:sz w:val="16"/>
                <w:szCs w:val="16"/>
              </w:rPr>
              <w:t xml:space="preserve">Andrew Young, Chief </w:t>
            </w:r>
            <w:proofErr w:type="spellStart"/>
            <w:r w:rsidRPr="0040651F">
              <w:rPr>
                <w:rFonts w:ascii="Helvetica" w:hAnsi="Helvetica"/>
                <w:sz w:val="16"/>
                <w:szCs w:val="16"/>
              </w:rPr>
              <w:t>Product</w:t>
            </w:r>
            <w:proofErr w:type="spellEnd"/>
            <w:r w:rsidRPr="0040651F">
              <w:rPr>
                <w:rFonts w:ascii="Helvetica" w:hAnsi="Helvetica"/>
                <w:sz w:val="16"/>
                <w:szCs w:val="16"/>
              </w:rPr>
              <w:t xml:space="preserve"> Officer </w:t>
            </w:r>
            <w:r w:rsidRPr="005C18E7">
              <w:rPr>
                <w:rFonts w:ascii="Helvetica" w:hAnsi="Helvetica"/>
                <w:sz w:val="16"/>
                <w:szCs w:val="16"/>
              </w:rPr>
              <w:t xml:space="preserve">und Senior </w:t>
            </w:r>
            <w:proofErr w:type="spellStart"/>
            <w:r w:rsidRPr="005C18E7">
              <w:rPr>
                <w:rFonts w:ascii="Helvetica" w:hAnsi="Helvetica"/>
                <w:sz w:val="16"/>
                <w:szCs w:val="16"/>
              </w:rPr>
              <w:t>Vice</w:t>
            </w:r>
            <w:proofErr w:type="spellEnd"/>
            <w:r w:rsidRPr="005C18E7">
              <w:rPr>
                <w:rFonts w:ascii="Helvetica" w:hAnsi="Helvetica"/>
                <w:sz w:val="16"/>
                <w:szCs w:val="16"/>
              </w:rPr>
              <w:t xml:space="preserve"> </w:t>
            </w:r>
            <w:proofErr w:type="spellStart"/>
            <w:r w:rsidRPr="005C18E7">
              <w:rPr>
                <w:rFonts w:ascii="Helvetica" w:hAnsi="Helvetica"/>
                <w:sz w:val="16"/>
                <w:szCs w:val="16"/>
              </w:rPr>
              <w:t>President</w:t>
            </w:r>
            <w:proofErr w:type="spellEnd"/>
            <w:r w:rsidRPr="005C18E7">
              <w:rPr>
                <w:rFonts w:ascii="Helvetica" w:hAnsi="Helvetica"/>
                <w:sz w:val="16"/>
                <w:szCs w:val="16"/>
              </w:rPr>
              <w:t xml:space="preserve"> </w:t>
            </w:r>
            <w:proofErr w:type="spellStart"/>
            <w:r w:rsidRPr="005C18E7">
              <w:rPr>
                <w:rFonts w:ascii="Helvetica" w:hAnsi="Helvetica"/>
                <w:sz w:val="16"/>
                <w:szCs w:val="16"/>
              </w:rPr>
              <w:t>Product</w:t>
            </w:r>
            <w:proofErr w:type="spellEnd"/>
            <w:r w:rsidRPr="005C18E7">
              <w:rPr>
                <w:rFonts w:ascii="Helvetica" w:hAnsi="Helvetica"/>
                <w:sz w:val="16"/>
                <w:szCs w:val="16"/>
              </w:rPr>
              <w:t xml:space="preserve"> Management</w:t>
            </w:r>
          </w:p>
          <w:p w14:paraId="1B224B2D" w14:textId="15B21906" w:rsidR="005C18E7" w:rsidRPr="0040651F" w:rsidRDefault="005C18E7" w:rsidP="00B366C9">
            <w:pPr>
              <w:tabs>
                <w:tab w:val="left" w:pos="3828"/>
                <w:tab w:val="left" w:pos="5245"/>
                <w:tab w:val="left" w:pos="7938"/>
              </w:tabs>
              <w:spacing w:line="288" w:lineRule="auto"/>
              <w:ind w:right="222"/>
              <w:rPr>
                <w:rFonts w:ascii="Helvetica" w:hAnsi="Helvetica"/>
                <w:sz w:val="16"/>
                <w:szCs w:val="16"/>
              </w:rPr>
            </w:pPr>
            <w:r w:rsidRPr="0040651F">
              <w:rPr>
                <w:rFonts w:ascii="Helvetica" w:hAnsi="Helvetica"/>
                <w:sz w:val="16"/>
                <w:szCs w:val="16"/>
              </w:rPr>
              <w:t>bei WatchGuard Technologies</w:t>
            </w:r>
          </w:p>
        </w:tc>
      </w:tr>
    </w:tbl>
    <w:p w14:paraId="5C0F23E1" w14:textId="77777777" w:rsidR="005C18E7" w:rsidRPr="00DB6AF5" w:rsidRDefault="005C18E7" w:rsidP="005C18E7">
      <w:pPr>
        <w:pStyle w:val="Textkrper"/>
        <w:spacing w:line="288" w:lineRule="auto"/>
        <w:ind w:right="567"/>
        <w:rPr>
          <w:b w:val="0"/>
          <w:color w:val="000000" w:themeColor="text1"/>
          <w:sz w:val="20"/>
          <w:szCs w:val="20"/>
        </w:rPr>
      </w:pPr>
    </w:p>
    <w:p w14:paraId="4BE051CB" w14:textId="77777777" w:rsidR="005C18E7" w:rsidRPr="00C23E65" w:rsidRDefault="005C18E7" w:rsidP="005C18E7">
      <w:pPr>
        <w:spacing w:line="288" w:lineRule="auto"/>
        <w:ind w:right="1134"/>
        <w:rPr>
          <w:rFonts w:ascii="Helvetica" w:hAnsi="Helvetica"/>
          <w:sz w:val="20"/>
          <w:szCs w:val="20"/>
          <w:lang w:val="en-US"/>
        </w:rPr>
      </w:pPr>
    </w:p>
    <w:p w14:paraId="77AEB787" w14:textId="77777777" w:rsidR="005C18E7" w:rsidRPr="001B7B63" w:rsidRDefault="005C18E7" w:rsidP="005C18E7">
      <w:pPr>
        <w:pStyle w:val="Textkrper"/>
        <w:spacing w:line="288" w:lineRule="auto"/>
        <w:ind w:right="1134"/>
        <w:rPr>
          <w:rFonts w:eastAsia="Times New Roman"/>
          <w:bCs/>
          <w:sz w:val="20"/>
          <w:szCs w:val="20"/>
          <w:lang w:eastAsia="de-DE"/>
        </w:rPr>
      </w:pPr>
    </w:p>
    <w:p w14:paraId="04C3ADA2" w14:textId="77777777" w:rsidR="005C18E7" w:rsidRDefault="005C18E7" w:rsidP="005C18E7">
      <w:pPr>
        <w:spacing w:line="288" w:lineRule="auto"/>
        <w:rPr>
          <w:rFonts w:ascii="Helvetica" w:hAnsi="Helvetica"/>
          <w:color w:val="000000" w:themeColor="text1"/>
          <w:sz w:val="20"/>
          <w:szCs w:val="20"/>
        </w:rPr>
      </w:pPr>
    </w:p>
    <w:p w14:paraId="61E8CF6E" w14:textId="77777777" w:rsidR="005C18E7" w:rsidRDefault="005C18E7" w:rsidP="005C18E7">
      <w:pPr>
        <w:spacing w:line="288" w:lineRule="auto"/>
        <w:rPr>
          <w:rFonts w:ascii="Helvetica" w:hAnsi="Helvetica"/>
          <w:color w:val="000000" w:themeColor="text1"/>
          <w:sz w:val="20"/>
          <w:szCs w:val="20"/>
        </w:rPr>
      </w:pPr>
    </w:p>
    <w:p w14:paraId="3B6A95EA" w14:textId="77777777" w:rsidR="005C18E7" w:rsidRDefault="005C18E7" w:rsidP="005C18E7">
      <w:pPr>
        <w:spacing w:line="288" w:lineRule="auto"/>
        <w:rPr>
          <w:rFonts w:ascii="Helvetica" w:hAnsi="Helvetica"/>
          <w:color w:val="000000" w:themeColor="text1"/>
          <w:sz w:val="20"/>
          <w:szCs w:val="20"/>
        </w:rPr>
      </w:pPr>
    </w:p>
    <w:p w14:paraId="0305FB84" w14:textId="77777777" w:rsidR="005C18E7" w:rsidRDefault="005C18E7" w:rsidP="005C18E7">
      <w:pPr>
        <w:spacing w:line="288" w:lineRule="auto"/>
        <w:rPr>
          <w:rFonts w:ascii="Helvetica" w:hAnsi="Helvetica"/>
          <w:color w:val="000000" w:themeColor="text1"/>
          <w:sz w:val="20"/>
          <w:szCs w:val="20"/>
        </w:rPr>
      </w:pPr>
    </w:p>
    <w:p w14:paraId="178EB1B3" w14:textId="77777777" w:rsidR="005C18E7" w:rsidRDefault="005C18E7" w:rsidP="005C18E7">
      <w:pPr>
        <w:spacing w:line="288" w:lineRule="auto"/>
        <w:rPr>
          <w:rFonts w:ascii="Helvetica" w:hAnsi="Helvetica"/>
          <w:color w:val="000000" w:themeColor="text1"/>
          <w:sz w:val="20"/>
          <w:szCs w:val="20"/>
        </w:rPr>
      </w:pPr>
    </w:p>
    <w:p w14:paraId="19A00D04" w14:textId="77777777" w:rsidR="005C18E7" w:rsidRDefault="005C18E7" w:rsidP="005C18E7">
      <w:pPr>
        <w:spacing w:line="288" w:lineRule="auto"/>
        <w:rPr>
          <w:rFonts w:ascii="Helvetica" w:hAnsi="Helvetica"/>
          <w:color w:val="000000" w:themeColor="text1"/>
          <w:sz w:val="20"/>
          <w:szCs w:val="20"/>
        </w:rPr>
      </w:pPr>
    </w:p>
    <w:p w14:paraId="39D7DC96" w14:textId="057883DB" w:rsidR="005C18E7" w:rsidRDefault="005C18E7" w:rsidP="005C18E7">
      <w:pPr>
        <w:spacing w:line="288" w:lineRule="auto"/>
      </w:pPr>
      <w:r w:rsidRPr="00B46453">
        <w:rPr>
          <w:rFonts w:ascii="Helvetica" w:hAnsi="Helvetica"/>
          <w:color w:val="000000" w:themeColor="text1"/>
          <w:sz w:val="20"/>
          <w:szCs w:val="20"/>
        </w:rPr>
        <w:t>Das Bildmaterial zum Download finden Sie in unserem Medienportal press-n-relations.amid-pr.com (Suchbegriff „</w:t>
      </w:r>
      <w:r>
        <w:rPr>
          <w:rFonts w:ascii="Helvetica" w:hAnsi="Helvetica"/>
          <w:color w:val="000000" w:themeColor="text1"/>
          <w:sz w:val="20"/>
          <w:szCs w:val="20"/>
        </w:rPr>
        <w:t>Andrew Young</w:t>
      </w:r>
      <w:r w:rsidRPr="00B46453">
        <w:rPr>
          <w:rFonts w:ascii="Helvetica" w:hAnsi="Helvetica"/>
          <w:color w:val="000000" w:themeColor="text1"/>
          <w:sz w:val="20"/>
          <w:szCs w:val="20"/>
        </w:rPr>
        <w:t>"). Selbstverständlich schicke ich Ihnen die Datei</w:t>
      </w:r>
      <w:r>
        <w:rPr>
          <w:rFonts w:ascii="Helvetica" w:hAnsi="Helvetica"/>
          <w:color w:val="000000" w:themeColor="text1"/>
          <w:sz w:val="20"/>
          <w:szCs w:val="20"/>
        </w:rPr>
        <w:t>en</w:t>
      </w:r>
      <w:r w:rsidRPr="00B46453">
        <w:rPr>
          <w:rFonts w:ascii="Helvetica" w:hAnsi="Helvetica"/>
          <w:color w:val="000000" w:themeColor="text1"/>
          <w:sz w:val="20"/>
          <w:szCs w:val="20"/>
        </w:rPr>
        <w:t xml:space="preserve"> auch gerne per E-Mail zu. Kontakt: </w:t>
      </w:r>
      <w:hyperlink r:id="rId15" w:history="1">
        <w:r w:rsidRPr="005A091F">
          <w:rPr>
            <w:rStyle w:val="Hyperlink"/>
            <w:rFonts w:ascii="Helvetica" w:eastAsia="MS Mincho" w:hAnsi="Helvetica"/>
            <w:sz w:val="20"/>
            <w:szCs w:val="20"/>
          </w:rPr>
          <w:t>rh@press-n-relations.de</w:t>
        </w:r>
      </w:hyperlink>
    </w:p>
    <w:p w14:paraId="3BBFCD0F" w14:textId="77777777" w:rsidR="005C18E7" w:rsidRDefault="005C18E7" w:rsidP="005C18E7">
      <w:pPr>
        <w:spacing w:line="288" w:lineRule="auto"/>
      </w:pPr>
    </w:p>
    <w:p w14:paraId="208C1CFA" w14:textId="77777777" w:rsidR="005C18E7" w:rsidRDefault="005C18E7" w:rsidP="005C18E7">
      <w:pPr>
        <w:spacing w:line="288" w:lineRule="auto"/>
      </w:pPr>
    </w:p>
    <w:p w14:paraId="5283248A" w14:textId="77777777" w:rsidR="005C18E7" w:rsidRDefault="005C18E7" w:rsidP="005C18E7">
      <w:pPr>
        <w:spacing w:line="288" w:lineRule="auto"/>
      </w:pPr>
    </w:p>
    <w:p w14:paraId="657A0233" w14:textId="77777777" w:rsidR="005C18E7" w:rsidRDefault="005C18E7" w:rsidP="005C18E7">
      <w:pPr>
        <w:spacing w:line="288" w:lineRule="auto"/>
      </w:pPr>
    </w:p>
    <w:p w14:paraId="3B7D74B3" w14:textId="77777777" w:rsidR="005C18E7" w:rsidRDefault="005C18E7" w:rsidP="005C18E7">
      <w:pPr>
        <w:spacing w:line="288" w:lineRule="auto"/>
      </w:pPr>
    </w:p>
    <w:p w14:paraId="3AD3B6E0" w14:textId="77777777" w:rsidR="005C18E7" w:rsidRPr="005C18E7" w:rsidRDefault="005C18E7" w:rsidP="005C18E7">
      <w:pPr>
        <w:spacing w:line="288" w:lineRule="auto"/>
      </w:pPr>
    </w:p>
    <w:p w14:paraId="7EA95188" w14:textId="77777777" w:rsidR="008D1A6A" w:rsidRDefault="008D1A6A">
      <w:pPr>
        <w:tabs>
          <w:tab w:val="left" w:pos="3828"/>
          <w:tab w:val="left" w:pos="8364"/>
        </w:tabs>
        <w:spacing w:line="288" w:lineRule="auto"/>
        <w:ind w:right="141"/>
        <w:outlineLvl w:val="0"/>
        <w:rPr>
          <w:rFonts w:ascii="Helvetica" w:hAnsi="Helvetica"/>
          <w:b/>
          <w:color w:val="000000" w:themeColor="text1"/>
          <w:sz w:val="16"/>
          <w:szCs w:val="16"/>
        </w:rPr>
      </w:pPr>
    </w:p>
    <w:tbl>
      <w:tblPr>
        <w:tblW w:w="8717" w:type="dxa"/>
        <w:tblLayout w:type="fixed"/>
        <w:tblCellMar>
          <w:left w:w="70" w:type="dxa"/>
          <w:right w:w="70" w:type="dxa"/>
        </w:tblCellMar>
        <w:tblLook w:val="0000" w:firstRow="0" w:lastRow="0" w:firstColumn="0" w:lastColumn="0" w:noHBand="0" w:noVBand="0"/>
      </w:tblPr>
      <w:tblGrid>
        <w:gridCol w:w="4606"/>
        <w:gridCol w:w="4111"/>
      </w:tblGrid>
      <w:tr w:rsidR="008D1A6A" w14:paraId="42F068B3" w14:textId="77777777">
        <w:trPr>
          <w:trHeight w:val="1436"/>
        </w:trPr>
        <w:tc>
          <w:tcPr>
            <w:tcW w:w="4606" w:type="dxa"/>
          </w:tcPr>
          <w:p w14:paraId="40A9B7E8" w14:textId="77777777" w:rsidR="008D1A6A" w:rsidRDefault="00000000">
            <w:pPr>
              <w:pStyle w:val="Textkrper"/>
              <w:spacing w:line="312" w:lineRule="auto"/>
              <w:ind w:right="426"/>
              <w:rPr>
                <w:bCs/>
                <w:color w:val="000000" w:themeColor="text1"/>
                <w:sz w:val="16"/>
                <w:lang w:val="en-US"/>
              </w:rPr>
            </w:pPr>
            <w:proofErr w:type="spellStart"/>
            <w:r>
              <w:rPr>
                <w:bCs/>
                <w:color w:val="000000" w:themeColor="text1"/>
                <w:sz w:val="16"/>
                <w:lang w:val="en-US"/>
              </w:rPr>
              <w:lastRenderedPageBreak/>
              <w:t>Kontakt</w:t>
            </w:r>
            <w:proofErr w:type="spellEnd"/>
            <w:r>
              <w:rPr>
                <w:bCs/>
                <w:color w:val="000000" w:themeColor="text1"/>
                <w:sz w:val="16"/>
                <w:lang w:val="en-US"/>
              </w:rPr>
              <w:t>:</w:t>
            </w:r>
          </w:p>
          <w:p w14:paraId="4A010F87" w14:textId="77777777" w:rsidR="008D1A6A" w:rsidRDefault="00000000">
            <w:pPr>
              <w:pStyle w:val="Textkrper"/>
              <w:tabs>
                <w:tab w:val="left" w:pos="7513"/>
              </w:tabs>
              <w:spacing w:line="312" w:lineRule="auto"/>
              <w:rPr>
                <w:b w:val="0"/>
                <w:color w:val="000000" w:themeColor="text1"/>
                <w:spacing w:val="-2"/>
                <w:sz w:val="16"/>
                <w:szCs w:val="16"/>
                <w:lang w:val="en-US"/>
              </w:rPr>
            </w:pPr>
            <w:r>
              <w:rPr>
                <w:b w:val="0"/>
                <w:color w:val="000000" w:themeColor="text1"/>
                <w:spacing w:val="-2"/>
                <w:sz w:val="16"/>
                <w:szCs w:val="16"/>
                <w:lang w:val="en-US"/>
              </w:rPr>
              <w:t>WatchGuard Technologies GmbH</w:t>
            </w:r>
          </w:p>
          <w:p w14:paraId="25BD9C7D" w14:textId="77777777" w:rsidR="008D1A6A" w:rsidRDefault="00000000">
            <w:pPr>
              <w:pStyle w:val="Textkrper"/>
              <w:tabs>
                <w:tab w:val="left" w:pos="7513"/>
              </w:tabs>
              <w:spacing w:line="312" w:lineRule="auto"/>
              <w:rPr>
                <w:b w:val="0"/>
                <w:color w:val="000000" w:themeColor="text1"/>
                <w:spacing w:val="-2"/>
                <w:sz w:val="16"/>
                <w:szCs w:val="16"/>
                <w:lang w:val="en-US"/>
              </w:rPr>
            </w:pPr>
            <w:r>
              <w:rPr>
                <w:b w:val="0"/>
                <w:color w:val="000000" w:themeColor="text1"/>
                <w:spacing w:val="-2"/>
                <w:sz w:val="16"/>
                <w:szCs w:val="16"/>
                <w:lang w:val="en-US"/>
              </w:rPr>
              <w:t>Paul Moll – Senior Field Marketing Manager Central Europe</w:t>
            </w:r>
          </w:p>
          <w:p w14:paraId="76293735" w14:textId="77777777" w:rsidR="008D1A6A" w:rsidRDefault="00000000">
            <w:pPr>
              <w:pStyle w:val="Textkrper"/>
              <w:tabs>
                <w:tab w:val="left" w:pos="7513"/>
              </w:tabs>
              <w:spacing w:line="312" w:lineRule="auto"/>
              <w:rPr>
                <w:b w:val="0"/>
                <w:color w:val="000000" w:themeColor="text1"/>
                <w:spacing w:val="-2"/>
                <w:sz w:val="16"/>
                <w:szCs w:val="16"/>
              </w:rPr>
            </w:pPr>
            <w:r>
              <w:rPr>
                <w:b w:val="0"/>
                <w:color w:val="000000" w:themeColor="text1"/>
                <w:spacing w:val="-2"/>
                <w:sz w:val="16"/>
                <w:szCs w:val="16"/>
              </w:rPr>
              <w:t>Dr. Alfred-Herrhausen-Allee 26, 47228 Duisburg</w:t>
            </w:r>
          </w:p>
          <w:p w14:paraId="2637D741" w14:textId="77777777" w:rsidR="008D1A6A" w:rsidRDefault="00000000">
            <w:pPr>
              <w:pStyle w:val="Textkrper"/>
              <w:tabs>
                <w:tab w:val="left" w:pos="7513"/>
              </w:tabs>
              <w:spacing w:line="312" w:lineRule="auto"/>
              <w:rPr>
                <w:b w:val="0"/>
                <w:color w:val="000000" w:themeColor="text1"/>
                <w:spacing w:val="-2"/>
                <w:sz w:val="16"/>
                <w:szCs w:val="16"/>
              </w:rPr>
            </w:pPr>
            <w:r>
              <w:rPr>
                <w:b w:val="0"/>
                <w:color w:val="000000" w:themeColor="text1"/>
                <w:spacing w:val="-2"/>
                <w:sz w:val="16"/>
                <w:szCs w:val="16"/>
              </w:rPr>
              <w:t>Tel.: +49 152 31795040</w:t>
            </w:r>
          </w:p>
          <w:p w14:paraId="47499AC6" w14:textId="77777777" w:rsidR="008D1A6A" w:rsidRDefault="00000000">
            <w:pPr>
              <w:pStyle w:val="Textkrper"/>
              <w:tabs>
                <w:tab w:val="left" w:pos="7513"/>
              </w:tabs>
              <w:spacing w:line="312" w:lineRule="auto"/>
              <w:rPr>
                <w:b w:val="0"/>
                <w:color w:val="000000" w:themeColor="text1"/>
                <w:spacing w:val="-2"/>
                <w:sz w:val="16"/>
                <w:szCs w:val="16"/>
              </w:rPr>
            </w:pPr>
            <w:r>
              <w:rPr>
                <w:b w:val="0"/>
                <w:color w:val="000000" w:themeColor="text1"/>
                <w:spacing w:val="-2"/>
                <w:sz w:val="16"/>
                <w:szCs w:val="16"/>
              </w:rPr>
              <w:t>paul.moll@watchguard.com</w:t>
            </w:r>
          </w:p>
          <w:p w14:paraId="6DC386AD" w14:textId="77777777" w:rsidR="008D1A6A" w:rsidRDefault="008D1A6A">
            <w:pPr>
              <w:pStyle w:val="Textkrper"/>
              <w:tabs>
                <w:tab w:val="left" w:pos="7513"/>
              </w:tabs>
              <w:spacing w:line="312" w:lineRule="auto"/>
              <w:rPr>
                <w:b w:val="0"/>
                <w:color w:val="000000" w:themeColor="text1"/>
                <w:sz w:val="16"/>
              </w:rPr>
            </w:pPr>
            <w:hyperlink r:id="rId16">
              <w:r>
                <w:rPr>
                  <w:b w:val="0"/>
                  <w:spacing w:val="-2"/>
                  <w:sz w:val="16"/>
                  <w:szCs w:val="16"/>
                </w:rPr>
                <w:t>https://www.watchguard.com/de</w:t>
              </w:r>
            </w:hyperlink>
          </w:p>
        </w:tc>
        <w:tc>
          <w:tcPr>
            <w:tcW w:w="4111" w:type="dxa"/>
          </w:tcPr>
          <w:p w14:paraId="01129882" w14:textId="77777777" w:rsidR="008D1A6A" w:rsidRDefault="00000000">
            <w:pPr>
              <w:pStyle w:val="Textkrper"/>
              <w:tabs>
                <w:tab w:val="left" w:pos="7513"/>
              </w:tabs>
              <w:spacing w:line="312" w:lineRule="auto"/>
              <w:ind w:right="426"/>
              <w:rPr>
                <w:bCs/>
                <w:color w:val="000000" w:themeColor="text1"/>
                <w:sz w:val="16"/>
              </w:rPr>
            </w:pPr>
            <w:r>
              <w:rPr>
                <w:bCs/>
                <w:color w:val="000000" w:themeColor="text1"/>
                <w:sz w:val="16"/>
              </w:rPr>
              <w:t>Presse- und Öffentlichkeitsarbeit:</w:t>
            </w:r>
          </w:p>
          <w:p w14:paraId="417157DE" w14:textId="77777777" w:rsidR="008D1A6A" w:rsidRDefault="00000000">
            <w:pPr>
              <w:pStyle w:val="Textkrper"/>
              <w:tabs>
                <w:tab w:val="left" w:pos="7513"/>
              </w:tabs>
              <w:spacing w:line="312" w:lineRule="auto"/>
              <w:ind w:right="426"/>
              <w:rPr>
                <w:b w:val="0"/>
                <w:color w:val="000000" w:themeColor="text1"/>
                <w:spacing w:val="-2"/>
                <w:sz w:val="16"/>
                <w:szCs w:val="16"/>
              </w:rPr>
            </w:pPr>
            <w:proofErr w:type="spellStart"/>
            <w:r>
              <w:rPr>
                <w:b w:val="0"/>
                <w:color w:val="000000" w:themeColor="text1"/>
                <w:spacing w:val="-2"/>
                <w:sz w:val="16"/>
                <w:szCs w:val="16"/>
              </w:rPr>
              <w:t>Press'n'Relations</w:t>
            </w:r>
            <w:proofErr w:type="spellEnd"/>
            <w:r>
              <w:rPr>
                <w:b w:val="0"/>
                <w:color w:val="000000" w:themeColor="text1"/>
                <w:spacing w:val="-2"/>
                <w:sz w:val="16"/>
                <w:szCs w:val="16"/>
              </w:rPr>
              <w:t xml:space="preserve"> GmbH</w:t>
            </w:r>
          </w:p>
          <w:p w14:paraId="3444B2AC" w14:textId="77777777" w:rsidR="008D1A6A" w:rsidRDefault="00000000">
            <w:pPr>
              <w:pStyle w:val="Textkrper"/>
              <w:tabs>
                <w:tab w:val="left" w:pos="7513"/>
              </w:tabs>
              <w:spacing w:line="312" w:lineRule="auto"/>
              <w:ind w:right="426"/>
              <w:rPr>
                <w:b w:val="0"/>
                <w:color w:val="000000" w:themeColor="text1"/>
                <w:spacing w:val="-2"/>
                <w:sz w:val="16"/>
                <w:szCs w:val="16"/>
              </w:rPr>
            </w:pPr>
            <w:r>
              <w:rPr>
                <w:b w:val="0"/>
                <w:color w:val="000000" w:themeColor="text1"/>
                <w:spacing w:val="-2"/>
                <w:sz w:val="16"/>
                <w:szCs w:val="16"/>
              </w:rPr>
              <w:t xml:space="preserve">Rebecca Horn </w:t>
            </w:r>
          </w:p>
          <w:p w14:paraId="4A873950" w14:textId="77777777" w:rsidR="008D1A6A" w:rsidRDefault="00000000">
            <w:pPr>
              <w:pStyle w:val="Textkrper"/>
              <w:tabs>
                <w:tab w:val="left" w:pos="7513"/>
              </w:tabs>
              <w:spacing w:line="312" w:lineRule="auto"/>
              <w:ind w:right="425"/>
              <w:rPr>
                <w:b w:val="0"/>
                <w:color w:val="000000" w:themeColor="text1"/>
                <w:spacing w:val="-2"/>
                <w:sz w:val="16"/>
                <w:szCs w:val="16"/>
              </w:rPr>
            </w:pPr>
            <w:r>
              <w:rPr>
                <w:b w:val="0"/>
                <w:color w:val="000000" w:themeColor="text1"/>
                <w:spacing w:val="-2"/>
                <w:sz w:val="16"/>
                <w:szCs w:val="16"/>
              </w:rPr>
              <w:t>Magirus-Deutz-Str. 14, 89077 Ulm</w:t>
            </w:r>
          </w:p>
          <w:p w14:paraId="40AEA12E" w14:textId="77777777" w:rsidR="008D1A6A" w:rsidRDefault="00000000">
            <w:pPr>
              <w:pStyle w:val="Textkrper"/>
              <w:tabs>
                <w:tab w:val="left" w:pos="7513"/>
              </w:tabs>
              <w:spacing w:line="312" w:lineRule="auto"/>
              <w:ind w:right="425"/>
              <w:rPr>
                <w:b w:val="0"/>
                <w:color w:val="000000" w:themeColor="text1"/>
                <w:spacing w:val="-2"/>
                <w:sz w:val="16"/>
                <w:szCs w:val="16"/>
              </w:rPr>
            </w:pPr>
            <w:r>
              <w:rPr>
                <w:b w:val="0"/>
                <w:color w:val="000000" w:themeColor="text1"/>
                <w:spacing w:val="-2"/>
                <w:sz w:val="16"/>
                <w:szCs w:val="16"/>
              </w:rPr>
              <w:t xml:space="preserve">Tel.: +49 731 146 156-75 </w:t>
            </w:r>
          </w:p>
          <w:p w14:paraId="066A49DD" w14:textId="77777777" w:rsidR="008D1A6A" w:rsidRDefault="008D1A6A">
            <w:pPr>
              <w:pStyle w:val="Textkrper"/>
              <w:tabs>
                <w:tab w:val="left" w:pos="7513"/>
              </w:tabs>
              <w:spacing w:line="312" w:lineRule="auto"/>
              <w:ind w:right="425"/>
              <w:rPr>
                <w:b w:val="0"/>
                <w:color w:val="000000" w:themeColor="text1"/>
                <w:spacing w:val="-2"/>
                <w:sz w:val="16"/>
                <w:szCs w:val="16"/>
              </w:rPr>
            </w:pPr>
            <w:hyperlink r:id="rId17">
              <w:r>
                <w:rPr>
                  <w:b w:val="0"/>
                  <w:spacing w:val="-2"/>
                  <w:sz w:val="16"/>
                  <w:szCs w:val="16"/>
                </w:rPr>
                <w:t>rh@press-n-relations.de</w:t>
              </w:r>
            </w:hyperlink>
            <w:r>
              <w:rPr>
                <w:b w:val="0"/>
                <w:color w:val="000000" w:themeColor="text1"/>
                <w:spacing w:val="-2"/>
                <w:sz w:val="16"/>
                <w:szCs w:val="16"/>
              </w:rPr>
              <w:t xml:space="preserve"> </w:t>
            </w:r>
          </w:p>
          <w:p w14:paraId="36A06932" w14:textId="77777777" w:rsidR="008D1A6A" w:rsidRDefault="008D1A6A">
            <w:pPr>
              <w:pStyle w:val="Textkrper"/>
              <w:tabs>
                <w:tab w:val="left" w:pos="7513"/>
              </w:tabs>
              <w:spacing w:line="312" w:lineRule="auto"/>
              <w:ind w:right="425"/>
              <w:rPr>
                <w:b w:val="0"/>
                <w:bCs/>
                <w:color w:val="000000" w:themeColor="text1"/>
                <w:sz w:val="16"/>
              </w:rPr>
            </w:pPr>
            <w:hyperlink r:id="rId18">
              <w:r>
                <w:rPr>
                  <w:b w:val="0"/>
                  <w:spacing w:val="-2"/>
                  <w:sz w:val="16"/>
                  <w:szCs w:val="16"/>
                </w:rPr>
                <w:t>https://press-n-relations.com</w:t>
              </w:r>
            </w:hyperlink>
            <w:r>
              <w:rPr>
                <w:b w:val="0"/>
                <w:color w:val="000000" w:themeColor="text1"/>
                <w:spacing w:val="-2"/>
                <w:sz w:val="16"/>
                <w:szCs w:val="16"/>
              </w:rPr>
              <w:br/>
            </w:r>
            <w:r>
              <w:rPr>
                <w:b w:val="0"/>
                <w:bCs/>
                <w:color w:val="000000" w:themeColor="text1"/>
                <w:spacing w:val="-2"/>
                <w:sz w:val="16"/>
                <w:szCs w:val="16"/>
              </w:rPr>
              <w:br/>
            </w:r>
            <w:proofErr w:type="spellStart"/>
            <w:r>
              <w:rPr>
                <w:b w:val="0"/>
                <w:bCs/>
                <w:color w:val="000000" w:themeColor="text1"/>
                <w:spacing w:val="-2"/>
                <w:sz w:val="16"/>
                <w:szCs w:val="16"/>
              </w:rPr>
              <w:t>Press'n'Relations</w:t>
            </w:r>
            <w:proofErr w:type="spellEnd"/>
            <w:r>
              <w:rPr>
                <w:b w:val="0"/>
                <w:bCs/>
                <w:color w:val="000000" w:themeColor="text1"/>
                <w:spacing w:val="-2"/>
                <w:sz w:val="16"/>
                <w:szCs w:val="16"/>
              </w:rPr>
              <w:t xml:space="preserve"> Austria GmbH</w:t>
            </w:r>
            <w:r>
              <w:rPr>
                <w:b w:val="0"/>
                <w:bCs/>
                <w:color w:val="000000" w:themeColor="text1"/>
                <w:spacing w:val="-2"/>
                <w:sz w:val="16"/>
                <w:szCs w:val="16"/>
              </w:rPr>
              <w:br/>
              <w:t xml:space="preserve">Mag. Georg </w:t>
            </w:r>
            <w:proofErr w:type="spellStart"/>
            <w:r>
              <w:rPr>
                <w:b w:val="0"/>
                <w:bCs/>
                <w:color w:val="000000" w:themeColor="text1"/>
                <w:spacing w:val="-2"/>
                <w:sz w:val="16"/>
                <w:szCs w:val="16"/>
              </w:rPr>
              <w:t>Dutzi</w:t>
            </w:r>
            <w:proofErr w:type="spellEnd"/>
            <w:r>
              <w:rPr>
                <w:b w:val="0"/>
                <w:bCs/>
                <w:color w:val="000000" w:themeColor="text1"/>
                <w:spacing w:val="-2"/>
                <w:sz w:val="16"/>
                <w:szCs w:val="16"/>
              </w:rPr>
              <w:br/>
              <w:t>Lange Gasse 65/16, A-1080 Wien</w:t>
            </w:r>
            <w:r>
              <w:rPr>
                <w:b w:val="0"/>
                <w:bCs/>
                <w:color w:val="000000" w:themeColor="text1"/>
                <w:spacing w:val="-2"/>
                <w:sz w:val="16"/>
                <w:szCs w:val="16"/>
              </w:rPr>
              <w:br/>
              <w:t>T: +43 1 907 61 48-10</w:t>
            </w:r>
            <w:r>
              <w:rPr>
                <w:b w:val="0"/>
                <w:bCs/>
                <w:color w:val="000000" w:themeColor="text1"/>
                <w:spacing w:val="-2"/>
                <w:sz w:val="16"/>
                <w:szCs w:val="16"/>
              </w:rPr>
              <w:br/>
              <w:t>gd@press-n-relations.at</w:t>
            </w:r>
            <w:r>
              <w:rPr>
                <w:b w:val="0"/>
                <w:bCs/>
                <w:color w:val="000000" w:themeColor="text1"/>
                <w:spacing w:val="-2"/>
                <w:sz w:val="16"/>
                <w:szCs w:val="16"/>
              </w:rPr>
              <w:br/>
            </w:r>
            <w:hyperlink r:id="rId19">
              <w:r>
                <w:rPr>
                  <w:b w:val="0"/>
                  <w:bCs/>
                  <w:spacing w:val="-2"/>
                  <w:sz w:val="16"/>
                  <w:szCs w:val="16"/>
                </w:rPr>
                <w:t>https://press-n-relations.at</w:t>
              </w:r>
            </w:hyperlink>
          </w:p>
        </w:tc>
      </w:tr>
    </w:tbl>
    <w:p w14:paraId="1BED6416" w14:textId="77777777" w:rsidR="008D1A6A" w:rsidRDefault="008D1A6A">
      <w:pPr>
        <w:tabs>
          <w:tab w:val="left" w:pos="3828"/>
          <w:tab w:val="left" w:pos="8364"/>
        </w:tabs>
        <w:spacing w:line="288" w:lineRule="auto"/>
        <w:ind w:right="141"/>
        <w:outlineLvl w:val="0"/>
        <w:rPr>
          <w:rFonts w:ascii="Helvetica" w:hAnsi="Helvetica"/>
          <w:b/>
          <w:color w:val="000000" w:themeColor="text1"/>
          <w:sz w:val="16"/>
          <w:szCs w:val="16"/>
        </w:rPr>
      </w:pPr>
    </w:p>
    <w:p w14:paraId="7D255749" w14:textId="77777777" w:rsidR="008D1A6A" w:rsidRDefault="00000000">
      <w:pPr>
        <w:tabs>
          <w:tab w:val="left" w:pos="3828"/>
        </w:tabs>
        <w:spacing w:line="288" w:lineRule="auto"/>
        <w:ind w:right="567"/>
        <w:outlineLvl w:val="0"/>
        <w:rPr>
          <w:rFonts w:ascii="Helvetica" w:hAnsi="Helvetica"/>
          <w:b/>
          <w:color w:val="000000" w:themeColor="text1"/>
          <w:sz w:val="16"/>
          <w:szCs w:val="16"/>
        </w:rPr>
      </w:pPr>
      <w:r>
        <w:rPr>
          <w:rFonts w:ascii="Helvetica" w:hAnsi="Helvetica"/>
          <w:b/>
          <w:color w:val="000000" w:themeColor="text1"/>
          <w:sz w:val="16"/>
          <w:szCs w:val="16"/>
        </w:rPr>
        <w:t>Über WatchGuard Technologies</w:t>
      </w:r>
    </w:p>
    <w:p w14:paraId="1C928DAC" w14:textId="6605EC9C" w:rsidR="008D1A6A" w:rsidRDefault="00000000">
      <w:pPr>
        <w:tabs>
          <w:tab w:val="left" w:pos="3828"/>
        </w:tabs>
        <w:spacing w:line="288" w:lineRule="auto"/>
        <w:ind w:right="567"/>
        <w:rPr>
          <w:rFonts w:ascii="Helvetica" w:hAnsi="Helvetica"/>
          <w:color w:val="000000" w:themeColor="text1"/>
          <w:spacing w:val="-2"/>
          <w:sz w:val="16"/>
          <w:szCs w:val="16"/>
        </w:rPr>
      </w:pPr>
      <w:r>
        <w:rPr>
          <w:rFonts w:ascii="Helvetica" w:hAnsi="Helvetica"/>
          <w:color w:val="000000" w:themeColor="text1"/>
          <w:spacing w:val="-2"/>
          <w:sz w:val="16"/>
          <w:szCs w:val="16"/>
        </w:rPr>
        <w:t xml:space="preserve">WatchGuard Technologies ist ein weltweit führender Anbieter von einheitlichen Cybersicherheitslösungen, die speziell für </w:t>
      </w:r>
      <w:proofErr w:type="spellStart"/>
      <w:r>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Service Provider entwickelt wurden. Im Gegensatz zu anderen Anbietern bietet WatchGuard mit seiner Unified Security </w:t>
      </w:r>
      <w:proofErr w:type="spellStart"/>
      <w:r>
        <w:rPr>
          <w:rFonts w:ascii="Helvetica" w:hAnsi="Helvetica"/>
          <w:color w:val="000000" w:themeColor="text1"/>
          <w:spacing w:val="-2"/>
          <w:sz w:val="16"/>
          <w:szCs w:val="16"/>
        </w:rPr>
        <w:t>Platform</w:t>
      </w:r>
      <w:proofErr w:type="spellEnd"/>
      <w:r>
        <w:rPr>
          <w:rFonts w:ascii="Helvetica" w:hAnsi="Helvetica"/>
          <w:color w:val="000000" w:themeColor="text1"/>
          <w:spacing w:val="-2"/>
          <w:sz w:val="16"/>
          <w:szCs w:val="16"/>
        </w:rPr>
        <w:t xml:space="preserve">® echte Sicherheit für reale Umgebungen und verbindet die </w:t>
      </w:r>
      <w:r w:rsidR="008D2A3E">
        <w:rPr>
          <w:rFonts w:ascii="Helvetica" w:hAnsi="Helvetica"/>
          <w:color w:val="000000" w:themeColor="text1"/>
          <w:spacing w:val="-2"/>
          <w:sz w:val="16"/>
          <w:szCs w:val="16"/>
        </w:rPr>
        <w:t>Produkte</w:t>
      </w:r>
      <w:r>
        <w:rPr>
          <w:rFonts w:ascii="Helvetica" w:hAnsi="Helvetica"/>
          <w:color w:val="000000" w:themeColor="text1"/>
          <w:spacing w:val="-2"/>
          <w:sz w:val="16"/>
          <w:szCs w:val="16"/>
        </w:rPr>
        <w:t xml:space="preserve"> für Netzwerksicherheit, </w:t>
      </w:r>
      <w:proofErr w:type="spellStart"/>
      <w:r>
        <w:rPr>
          <w:rFonts w:ascii="Helvetica" w:hAnsi="Helvetica"/>
          <w:color w:val="000000" w:themeColor="text1"/>
          <w:spacing w:val="-2"/>
          <w:sz w:val="16"/>
          <w:szCs w:val="16"/>
        </w:rPr>
        <w:t>Endpoint</w:t>
      </w:r>
      <w:proofErr w:type="spellEnd"/>
      <w:r>
        <w:rPr>
          <w:rFonts w:ascii="Helvetica" w:hAnsi="Helvetica"/>
          <w:color w:val="000000" w:themeColor="text1"/>
          <w:spacing w:val="-2"/>
          <w:sz w:val="16"/>
          <w:szCs w:val="16"/>
        </w:rPr>
        <w:t xml:space="preserve"> Security sowie zur Absicherung von Identitäten mit KI- und Zero-Trust-Technologien für einen starken, skalierbaren Schutz.</w:t>
      </w:r>
    </w:p>
    <w:p w14:paraId="3D51C698" w14:textId="77777777" w:rsidR="008D1A6A" w:rsidRDefault="008D1A6A">
      <w:pPr>
        <w:tabs>
          <w:tab w:val="left" w:pos="3828"/>
        </w:tabs>
        <w:spacing w:line="288" w:lineRule="auto"/>
        <w:ind w:right="567"/>
        <w:rPr>
          <w:rFonts w:ascii="Helvetica" w:hAnsi="Helvetica"/>
          <w:color w:val="000000" w:themeColor="text1"/>
          <w:spacing w:val="-2"/>
          <w:sz w:val="16"/>
          <w:szCs w:val="16"/>
        </w:rPr>
      </w:pPr>
    </w:p>
    <w:p w14:paraId="053C7729" w14:textId="77777777" w:rsidR="008D1A6A" w:rsidRDefault="00000000">
      <w:pPr>
        <w:tabs>
          <w:tab w:val="left" w:pos="3828"/>
        </w:tabs>
        <w:spacing w:line="288" w:lineRule="auto"/>
        <w:ind w:right="567"/>
        <w:rPr>
          <w:rFonts w:ascii="Helvetica" w:hAnsi="Helvetica"/>
          <w:color w:val="000000" w:themeColor="text1"/>
          <w:spacing w:val="-2"/>
          <w:sz w:val="16"/>
          <w:szCs w:val="16"/>
        </w:rPr>
      </w:pPr>
      <w:r>
        <w:rPr>
          <w:rFonts w:ascii="Helvetica" w:hAnsi="Helvetica"/>
          <w:color w:val="000000" w:themeColor="text1"/>
          <w:spacing w:val="-2"/>
          <w:sz w:val="16"/>
          <w:szCs w:val="16"/>
        </w:rPr>
        <w:t xml:space="preserve">Mehr als 17.000 Security-Reseller bzw. </w:t>
      </w:r>
      <w:proofErr w:type="spellStart"/>
      <w:r>
        <w:rPr>
          <w:rFonts w:ascii="Helvetica" w:hAnsi="Helvetica"/>
          <w:color w:val="000000" w:themeColor="text1"/>
          <w:spacing w:val="-2"/>
          <w:sz w:val="16"/>
          <w:szCs w:val="16"/>
        </w:rPr>
        <w:t>Managed</w:t>
      </w:r>
      <w:proofErr w:type="spellEnd"/>
      <w:r>
        <w:rPr>
          <w:rFonts w:ascii="Helvetica" w:hAnsi="Helvetica"/>
          <w:color w:val="000000" w:themeColor="text1"/>
          <w:spacing w:val="-2"/>
          <w:sz w:val="16"/>
          <w:szCs w:val="16"/>
        </w:rPr>
        <w:t xml:space="preserve"> Service Provider und 250.000 Kunden weltweit vertrauen auf die ausgeklügelten Schutzmechanismen auf Enterprise-Niveau. Dabei hilft WatchGuard Partnern, schnell zu wachsen, operative Hindernisse zu beseitigen und starke Ergebnisse zu erzielen – alles aus einer Hand und ohne zusätzliche Konsolen oder Komplexität. Neben der Zentrale in Seattle im US-Bundesstaat Washington verfügt WatchGuard über Niederlassungen in ganz Nordamerika, Lateinamerika und Europa sowie im asiatisch-pazifischen Raum.</w:t>
      </w:r>
    </w:p>
    <w:p w14:paraId="7BB40D5F" w14:textId="77777777" w:rsidR="008D1A6A" w:rsidRDefault="008D1A6A">
      <w:pPr>
        <w:tabs>
          <w:tab w:val="left" w:pos="3828"/>
        </w:tabs>
        <w:spacing w:line="288" w:lineRule="auto"/>
        <w:ind w:right="567"/>
        <w:rPr>
          <w:rFonts w:ascii="Helvetica" w:hAnsi="Helvetica"/>
          <w:color w:val="000000" w:themeColor="text1"/>
          <w:spacing w:val="-2"/>
          <w:sz w:val="16"/>
          <w:szCs w:val="16"/>
          <w:highlight w:val="yellow"/>
        </w:rPr>
      </w:pPr>
    </w:p>
    <w:p w14:paraId="4571FF88" w14:textId="77777777" w:rsidR="008D1A6A" w:rsidRDefault="00000000">
      <w:pPr>
        <w:tabs>
          <w:tab w:val="left" w:pos="3828"/>
        </w:tabs>
        <w:spacing w:line="288" w:lineRule="auto"/>
        <w:ind w:right="567"/>
        <w:rPr>
          <w:rFonts w:ascii="Helvetica" w:hAnsi="Helvetica"/>
          <w:sz w:val="16"/>
          <w:szCs w:val="16"/>
        </w:rPr>
      </w:pPr>
      <w:r>
        <w:rPr>
          <w:rFonts w:ascii="Helvetica" w:hAnsi="Helvetica"/>
          <w:color w:val="000000" w:themeColor="text1"/>
          <w:spacing w:val="-2"/>
          <w:sz w:val="16"/>
          <w:szCs w:val="16"/>
        </w:rPr>
        <w:t xml:space="preserve">Aktuelle Informationen, Aktionen und Updates finden Sie auch auf </w:t>
      </w:r>
      <w:hyperlink r:id="rId20">
        <w:r w:rsidR="008D1A6A">
          <w:rPr>
            <w:rFonts w:ascii="Helvetica" w:hAnsi="Helvetica"/>
            <w:spacing w:val="-2"/>
            <w:sz w:val="16"/>
            <w:szCs w:val="16"/>
          </w:rPr>
          <w:t>X</w:t>
        </w:r>
      </w:hyperlink>
      <w:r>
        <w:rPr>
          <w:rFonts w:ascii="Helvetica" w:hAnsi="Helvetica"/>
          <w:color w:val="000000" w:themeColor="text1"/>
          <w:spacing w:val="-2"/>
          <w:sz w:val="16"/>
          <w:szCs w:val="16"/>
        </w:rPr>
        <w:t xml:space="preserve">, </w:t>
      </w:r>
      <w:hyperlink r:id="rId21">
        <w:r w:rsidR="008D1A6A">
          <w:rPr>
            <w:rFonts w:ascii="Helvetica" w:hAnsi="Helvetica"/>
            <w:spacing w:val="-2"/>
            <w:sz w:val="16"/>
            <w:szCs w:val="16"/>
          </w:rPr>
          <w:t>Facebook</w:t>
        </w:r>
      </w:hyperlink>
      <w:r>
        <w:rPr>
          <w:rStyle w:val="Hyperlink"/>
          <w:rFonts w:ascii="Helvetica" w:hAnsi="Helvetica"/>
          <w:spacing w:val="-2"/>
          <w:sz w:val="16"/>
          <w:szCs w:val="16"/>
          <w:u w:val="none"/>
        </w:rPr>
        <w:t xml:space="preserve"> </w:t>
      </w:r>
      <w:r>
        <w:rPr>
          <w:rFonts w:ascii="Helvetica" w:hAnsi="Helvetica"/>
          <w:color w:val="000000" w:themeColor="text1"/>
          <w:spacing w:val="-2"/>
          <w:sz w:val="16"/>
          <w:szCs w:val="16"/>
        </w:rPr>
        <w:t xml:space="preserve">oder </w:t>
      </w:r>
      <w:hyperlink r:id="rId22">
        <w:r w:rsidR="008D1A6A">
          <w:rPr>
            <w:rFonts w:ascii="Helvetica" w:hAnsi="Helvetica"/>
            <w:spacing w:val="-2"/>
            <w:sz w:val="16"/>
            <w:szCs w:val="16"/>
          </w:rPr>
          <w:t>LinkedIn</w:t>
        </w:r>
      </w:hyperlink>
      <w:r>
        <w:rPr>
          <w:color w:val="000000" w:themeColor="text1"/>
        </w:rPr>
        <w:t xml:space="preserve">. </w:t>
      </w:r>
      <w:r>
        <w:rPr>
          <w:rFonts w:ascii="Helvetica" w:hAnsi="Helvetica"/>
          <w:color w:val="000000" w:themeColor="text1"/>
          <w:spacing w:val="-2"/>
          <w:sz w:val="16"/>
          <w:szCs w:val="16"/>
        </w:rPr>
        <w:t xml:space="preserve">Der deutschsprachige </w:t>
      </w:r>
      <w:hyperlink r:id="rId23">
        <w:r w:rsidR="008D1A6A">
          <w:rPr>
            <w:rFonts w:ascii="Helvetica" w:hAnsi="Helvetica"/>
            <w:spacing w:val="-2"/>
            <w:sz w:val="16"/>
            <w:szCs w:val="16"/>
          </w:rPr>
          <w:t>Unternehmensblog</w:t>
        </w:r>
      </w:hyperlink>
      <w:r>
        <w:rPr>
          <w:rFonts w:ascii="Helvetica" w:hAnsi="Helvetica"/>
          <w:color w:val="000000" w:themeColor="text1"/>
          <w:spacing w:val="-2"/>
          <w:sz w:val="16"/>
          <w:szCs w:val="16"/>
        </w:rPr>
        <w:t xml:space="preserve"> beleuchtet zudem regelmäßig aktuelle Trendthemen im Umfeld von IT-Sicherheit. Reinschauen lohnt sich. Oder Sie abonnieren den „443 – Security </w:t>
      </w:r>
      <w:proofErr w:type="spellStart"/>
      <w:r>
        <w:rPr>
          <w:rFonts w:ascii="Helvetica" w:hAnsi="Helvetica"/>
          <w:color w:val="000000" w:themeColor="text1"/>
          <w:spacing w:val="-2"/>
          <w:sz w:val="16"/>
          <w:szCs w:val="16"/>
        </w:rPr>
        <w:t>Simplified</w:t>
      </w:r>
      <w:proofErr w:type="spellEnd"/>
      <w:r>
        <w:rPr>
          <w:rFonts w:ascii="Helvetica" w:hAnsi="Helvetica"/>
          <w:color w:val="000000" w:themeColor="text1"/>
          <w:spacing w:val="-2"/>
          <w:sz w:val="16"/>
          <w:szCs w:val="16"/>
        </w:rPr>
        <w:t xml:space="preserve">“-Podcast über das </w:t>
      </w:r>
      <w:hyperlink r:id="rId24">
        <w:r w:rsidR="008D1A6A">
          <w:rPr>
            <w:rFonts w:ascii="Helvetica" w:hAnsi="Helvetica"/>
            <w:spacing w:val="-2"/>
            <w:sz w:val="16"/>
            <w:szCs w:val="16"/>
          </w:rPr>
          <w:t xml:space="preserve">WatchGuard </w:t>
        </w:r>
        <w:proofErr w:type="spellStart"/>
        <w:r w:rsidR="008D1A6A">
          <w:rPr>
            <w:rFonts w:ascii="Helvetica" w:hAnsi="Helvetica"/>
            <w:spacing w:val="-2"/>
            <w:sz w:val="16"/>
            <w:szCs w:val="16"/>
          </w:rPr>
          <w:t>Cybersecurity</w:t>
        </w:r>
        <w:proofErr w:type="spellEnd"/>
        <w:r w:rsidR="008D1A6A">
          <w:rPr>
            <w:rFonts w:ascii="Helvetica" w:hAnsi="Helvetica"/>
            <w:spacing w:val="-2"/>
            <w:sz w:val="16"/>
            <w:szCs w:val="16"/>
          </w:rPr>
          <w:t xml:space="preserve"> Hub</w:t>
        </w:r>
      </w:hyperlink>
      <w:r>
        <w:rPr>
          <w:rFonts w:ascii="Helvetica" w:hAnsi="Helvetica"/>
          <w:color w:val="000000" w:themeColor="text1"/>
          <w:spacing w:val="-2"/>
          <w:sz w:val="16"/>
          <w:szCs w:val="16"/>
        </w:rPr>
        <w:t xml:space="preserve"> bzw. wo immer Sie Ihre Lieblings-Podcasts finden.</w:t>
      </w:r>
    </w:p>
    <w:p w14:paraId="4164CE36" w14:textId="77777777" w:rsidR="008D1A6A" w:rsidRDefault="008D1A6A">
      <w:pPr>
        <w:tabs>
          <w:tab w:val="left" w:pos="3828"/>
        </w:tabs>
        <w:spacing w:line="288" w:lineRule="auto"/>
        <w:ind w:right="567"/>
        <w:rPr>
          <w:rFonts w:ascii="Helvetica" w:hAnsi="Helvetica"/>
          <w:sz w:val="16"/>
          <w:szCs w:val="16"/>
        </w:rPr>
      </w:pPr>
    </w:p>
    <w:sectPr w:rsidR="008D1A6A">
      <w:headerReference w:type="even" r:id="rId25"/>
      <w:headerReference w:type="default" r:id="rId26"/>
      <w:footerReference w:type="even" r:id="rId27"/>
      <w:footerReference w:type="default" r:id="rId28"/>
      <w:headerReference w:type="first" r:id="rId29"/>
      <w:footerReference w:type="first" r:id="rId30"/>
      <w:pgSz w:w="11906" w:h="16838"/>
      <w:pgMar w:top="1418" w:right="1410" w:bottom="1640" w:left="1418" w:header="709"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3D77E3" w14:textId="77777777" w:rsidR="00395BE7" w:rsidRDefault="00395BE7">
      <w:r>
        <w:separator/>
      </w:r>
    </w:p>
  </w:endnote>
  <w:endnote w:type="continuationSeparator" w:id="0">
    <w:p w14:paraId="5324EC04" w14:textId="77777777" w:rsidR="00395BE7" w:rsidRDefault="00395B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Lucida Grande">
    <w:panose1 w:val="020B0600040502020204"/>
    <w:charset w:val="00"/>
    <w:family w:val="swiss"/>
    <w:pitch w:val="variable"/>
    <w:sig w:usb0="E1000AEF" w:usb1="5000A1FF" w:usb2="00000000" w:usb3="00000000" w:csb0="000001BF" w:csb1="00000000"/>
  </w:font>
  <w:font w:name="Carlito">
    <w:altName w:val="Calibri"/>
    <w:panose1 w:val="020B0604020202020204"/>
    <w:charset w:val="01"/>
    <w:family w:val="swiss"/>
    <w:pitch w:val="variable"/>
  </w:font>
  <w:font w:name="Noto Sans SC Regular">
    <w:panose1 w:val="020B0604020202020204"/>
    <w:charset w:val="00"/>
    <w:family w:val="roman"/>
    <w:notTrueType/>
    <w:pitch w:val="default"/>
  </w:font>
  <w:font w:name="Noto Sans">
    <w:panose1 w:val="020B0502040504020204"/>
    <w:charset w:val="00"/>
    <w:family w:val="swiss"/>
    <w:pitch w:val="variable"/>
    <w:sig w:usb0="E00082FF" w:usb1="400078FF" w:usb2="0000002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5C51E5" w14:textId="77777777" w:rsidR="008D1A6A" w:rsidRDefault="00000000">
    <w:pPr>
      <w:pStyle w:val="Fuzeile"/>
      <w:ind w:right="360"/>
    </w:pPr>
    <w:r>
      <w:rPr>
        <w:noProof/>
      </w:rPr>
      <mc:AlternateContent>
        <mc:Choice Requires="wps">
          <w:drawing>
            <wp:anchor distT="0" distB="0" distL="0" distR="0" simplePos="0" relativeHeight="251659776" behindDoc="1" locked="0" layoutInCell="0" allowOverlap="1" wp14:anchorId="73335774" wp14:editId="13AEF34E">
              <wp:simplePos x="0" y="0"/>
              <wp:positionH relativeFrom="margin">
                <wp:align>right</wp:align>
              </wp:positionH>
              <wp:positionV relativeFrom="paragraph">
                <wp:posOffset>635</wp:posOffset>
              </wp:positionV>
              <wp:extent cx="14605" cy="14605"/>
              <wp:effectExtent l="0" t="0" r="0" b="0"/>
              <wp:wrapSquare wrapText="bothSides"/>
              <wp:docPr id="3" name="Rahmen1"/>
              <wp:cNvGraphicFramePr/>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scrgbClr r="0" g="0" b="0"/>
                      </a:lnRef>
                      <a:fillRef idx="0">
                        <a:scrgbClr r="0" g="0" b="0"/>
                      </a:fillRef>
                      <a:effectRef idx="0">
                        <a:scrgbClr r="0" g="0" b="0"/>
                      </a:effectRef>
                      <a:fontRef idx="minor"/>
                    </wps:style>
                    <wps:txbx>
                      <w:txbxContent>
                        <w:p w14:paraId="6FA5AA49" w14:textId="77777777" w:rsidR="008D1A6A" w:rsidRDefault="00000000">
                          <w:pPr>
                            <w:pStyle w:val="Fuzeile"/>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wps:txbx>
                    <wps:bodyPr lIns="0" tIns="0" rIns="0" bIns="0" anchor="t">
                      <a:spAutoFit/>
                    </wps:bodyPr>
                  </wps:wsp>
                </a:graphicData>
              </a:graphic>
            </wp:anchor>
          </w:drawing>
        </mc:Choice>
        <mc:Fallback>
          <w:pict>
            <v:rect w14:anchorId="73335774" id="Rahmen1" o:spid="_x0000_s1026" style="position:absolute;margin-left:-50.05pt;margin-top:.05pt;width:1.15pt;height:1.15pt;z-index:-251656704;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" o:allowincell="f" filled="f" stroked="f" strokeweight="0">
              <v:textbox style="mso-fit-shape-to-text:t" inset="0,0,0,0">
                <w:txbxContent>
                  <w:p w14:paraId="6FA5AA49" w14:textId="77777777" w:rsidR="008D1A6A" w:rsidRDefault="00000000">
                    <w:pPr>
                      <w:pStyle w:val="Fuzeile"/>
                      <w:rPr>
                        <w:rStyle w:val="Seitenzahl"/>
                      </w:rPr>
                    </w:pPr>
                    <w:r>
                      <w:rPr>
                        <w:rStyle w:val="Seitenzahl"/>
                      </w:rPr>
                      <w:fldChar w:fldCharType="begin"/>
                    </w:r>
                    <w:r>
                      <w:rPr>
                        <w:rStyle w:val="Seitenzahl"/>
                      </w:rPr>
                      <w:instrText xml:space="preserve"> PAGE </w:instrText>
                    </w:r>
                    <w:r>
                      <w:rPr>
                        <w:rStyle w:val="Seitenzahl"/>
                      </w:rPr>
                      <w:fldChar w:fldCharType="separate"/>
                    </w:r>
                    <w:r>
                      <w:rPr>
                        <w:rStyle w:val="Seitenzahl"/>
                      </w:rPr>
                      <w:t>0</w:t>
                    </w:r>
                    <w:r>
                      <w:rPr>
                        <w:rStyle w:val="Seitenzahl"/>
                      </w:rPr>
                      <w:fldChar w:fldCharType="end"/>
                    </w:r>
                  </w:p>
                </w:txbxContent>
              </v:textbox>
              <w10:wrap type="square" anchorx="margin"/>
            </v:rect>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DABA0C" w14:textId="77777777" w:rsidR="008D1A6A" w:rsidRDefault="00000000">
    <w:pPr>
      <w:pStyle w:val="Fuzeile"/>
      <w:ind w:right="360"/>
    </w:pPr>
    <w:r>
      <w:rPr>
        <w:noProof/>
      </w:rPr>
      <mc:AlternateContent>
        <mc:Choice Requires="wps">
          <w:drawing>
            <wp:anchor distT="0" distB="0" distL="0" distR="0" simplePos="0" relativeHeight="251657728" behindDoc="1" locked="0" layoutInCell="0" allowOverlap="1" wp14:anchorId="39B8BC0C" wp14:editId="7F12E17C">
              <wp:simplePos x="0" y="0"/>
              <wp:positionH relativeFrom="margin">
                <wp:align>right</wp:align>
              </wp:positionH>
              <wp:positionV relativeFrom="paragraph">
                <wp:posOffset>635</wp:posOffset>
              </wp:positionV>
              <wp:extent cx="71120" cy="172085"/>
              <wp:effectExtent l="0" t="0" r="0" b="0"/>
              <wp:wrapSquare wrapText="bothSides"/>
              <wp:docPr id="4" name="Rahmen2"/>
              <wp:cNvGraphicFramePr/>
              <a:graphic xmlns:a="http://schemas.openxmlformats.org/drawingml/2006/main">
                <a:graphicData uri="http://schemas.microsoft.com/office/word/2010/wordprocessingShape">
                  <wps:wsp>
                    <wps:cNvSpPr/>
                    <wps:spPr>
                      <a:xfrm>
                        <a:off x="0" y="0"/>
                        <a:ext cx="71280" cy="172080"/>
                      </a:xfrm>
                      <a:prstGeom prst="rect">
                        <a:avLst/>
                      </a:prstGeom>
                      <a:noFill/>
                      <a:ln w="0">
                        <a:noFill/>
                      </a:ln>
                    </wps:spPr>
                    <wps:style>
                      <a:lnRef idx="0">
                        <a:scrgbClr r="0" g="0" b="0"/>
                      </a:lnRef>
                      <a:fillRef idx="0">
                        <a:scrgbClr r="0" g="0" b="0"/>
                      </a:fillRef>
                      <a:effectRef idx="0">
                        <a:scrgbClr r="0" g="0" b="0"/>
                      </a:effectRef>
                      <a:fontRef idx="minor"/>
                    </wps:style>
                    <wps:txbx>
                      <w:txbxContent>
                        <w:p w14:paraId="497A69B8" w14:textId="77777777" w:rsidR="008D1A6A" w:rsidRDefault="00000000">
                          <w:pPr>
                            <w:pStyle w:val="Fuzeile"/>
                            <w:rPr>
                              <w:rStyle w:val="Seitenzahl"/>
                              <w:rFonts w:ascii="Helvetica" w:hAnsi="Helvetica"/>
                              <w:sz w:val="20"/>
                              <w:szCs w:val="20"/>
                            </w:rPr>
                          </w:pPr>
                          <w:r>
                            <w:rPr>
                              <w:rStyle w:val="Seitenzahl"/>
                              <w:rFonts w:ascii="Helvetica" w:hAnsi="Helvetica"/>
                              <w:sz w:val="20"/>
                              <w:szCs w:val="20"/>
                            </w:rPr>
                            <w:fldChar w:fldCharType="begin"/>
                          </w:r>
                          <w:r>
                            <w:rPr>
                              <w:rStyle w:val="Seitenzahl"/>
                              <w:rFonts w:ascii="Helvetica" w:hAnsi="Helvetica"/>
                              <w:sz w:val="20"/>
                              <w:szCs w:val="20"/>
                            </w:rPr>
                            <w:instrText xml:space="preserve"> PAGE </w:instrText>
                          </w:r>
                          <w:r>
                            <w:rPr>
                              <w:rStyle w:val="Seitenzahl"/>
                              <w:rFonts w:ascii="Helvetica" w:hAnsi="Helvetica"/>
                              <w:sz w:val="20"/>
                              <w:szCs w:val="20"/>
                            </w:rPr>
                            <w:fldChar w:fldCharType="separate"/>
                          </w:r>
                          <w:r>
                            <w:rPr>
                              <w:rStyle w:val="Seitenzahl"/>
                              <w:rFonts w:ascii="Helvetica" w:hAnsi="Helvetica"/>
                              <w:sz w:val="20"/>
                              <w:szCs w:val="20"/>
                            </w:rPr>
                            <w:t>4</w:t>
                          </w:r>
                          <w:r>
                            <w:rPr>
                              <w:rStyle w:val="Seitenzahl"/>
                              <w:rFonts w:ascii="Helvetica" w:hAnsi="Helvetica"/>
                              <w:sz w:val="20"/>
                              <w:szCs w:val="20"/>
                            </w:rPr>
                            <w:fldChar w:fldCharType="end"/>
                          </w:r>
                        </w:p>
                      </w:txbxContent>
                    </wps:txbx>
                    <wps:bodyPr lIns="0" tIns="0" rIns="0" bIns="0" anchor="t">
                      <a:spAutoFit/>
                    </wps:bodyPr>
                  </wps:wsp>
                </a:graphicData>
              </a:graphic>
            </wp:anchor>
          </w:drawing>
        </mc:Choice>
        <mc:Fallback>
          <w:pict>
            <v:rect w14:anchorId="39B8BC0C" id="Rahmen2" o:spid="_x0000_s1027" style="position:absolute;margin-left:-45.6pt;margin-top:.05pt;width:5.6pt;height:13.55pt;z-index:-251658752;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" o:allowincell="f" filled="f" stroked="f" strokeweight="0">
              <v:textbox style="mso-fit-shape-to-text:t" inset="0,0,0,0">
                <w:txbxContent>
                  <w:p w14:paraId="497A69B8" w14:textId="77777777" w:rsidR="008D1A6A" w:rsidRDefault="00000000">
                    <w:pPr>
                      <w:pStyle w:val="Fuzeile"/>
                      <w:rPr>
                        <w:rStyle w:val="Seitenzahl"/>
                        <w:rFonts w:ascii="Helvetica" w:hAnsi="Helvetica"/>
                        <w:sz w:val="20"/>
                        <w:szCs w:val="20"/>
                      </w:rPr>
                    </w:pPr>
                    <w:r>
                      <w:rPr>
                        <w:rStyle w:val="Seitenzahl"/>
                        <w:rFonts w:ascii="Helvetica" w:hAnsi="Helvetica"/>
                        <w:sz w:val="20"/>
                        <w:szCs w:val="20"/>
                      </w:rPr>
                      <w:fldChar w:fldCharType="begin"/>
                    </w:r>
                    <w:r>
                      <w:rPr>
                        <w:rStyle w:val="Seitenzahl"/>
                        <w:rFonts w:ascii="Helvetica" w:hAnsi="Helvetica"/>
                        <w:sz w:val="20"/>
                        <w:szCs w:val="20"/>
                      </w:rPr>
                      <w:instrText xml:space="preserve"> PAGE </w:instrText>
                    </w:r>
                    <w:r>
                      <w:rPr>
                        <w:rStyle w:val="Seitenzahl"/>
                        <w:rFonts w:ascii="Helvetica" w:hAnsi="Helvetica"/>
                        <w:sz w:val="20"/>
                        <w:szCs w:val="20"/>
                      </w:rPr>
                      <w:fldChar w:fldCharType="separate"/>
                    </w:r>
                    <w:r>
                      <w:rPr>
                        <w:rStyle w:val="Seitenzahl"/>
                        <w:rFonts w:ascii="Helvetica" w:hAnsi="Helvetica"/>
                        <w:sz w:val="20"/>
                        <w:szCs w:val="20"/>
                      </w:rPr>
                      <w:t>4</w:t>
                    </w:r>
                    <w:r>
                      <w:rPr>
                        <w:rStyle w:val="Seitenzahl"/>
                        <w:rFonts w:ascii="Helvetica" w:hAnsi="Helvetica"/>
                        <w:sz w:val="20"/>
                        <w:szCs w:val="20"/>
                      </w:rPr>
                      <w:fldChar w:fldCharType="end"/>
                    </w:r>
                  </w:p>
                </w:txbxContent>
              </v:textbox>
              <w10:wrap type="square" anchorx="margin"/>
            </v:rect>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21375D" w14:textId="77777777" w:rsidR="008D1A6A" w:rsidRDefault="00000000">
    <w:pPr>
      <w:pStyle w:val="Fuzeile"/>
      <w:ind w:right="360"/>
    </w:pPr>
    <w:r>
      <w:rPr>
        <w:noProof/>
      </w:rPr>
      <mc:AlternateContent>
        <mc:Choice Requires="wps">
          <w:drawing>
            <wp:anchor distT="0" distB="0" distL="0" distR="0" simplePos="0" relativeHeight="251658752" behindDoc="1" locked="0" layoutInCell="0" allowOverlap="1" wp14:anchorId="4355D140" wp14:editId="4E495DF0">
              <wp:simplePos x="0" y="0"/>
              <wp:positionH relativeFrom="margin">
                <wp:align>right</wp:align>
              </wp:positionH>
              <wp:positionV relativeFrom="paragraph">
                <wp:posOffset>635</wp:posOffset>
              </wp:positionV>
              <wp:extent cx="71120" cy="172085"/>
              <wp:effectExtent l="0" t="0" r="0" b="0"/>
              <wp:wrapSquare wrapText="bothSides"/>
              <wp:docPr id="5" name="Rahmen2"/>
              <wp:cNvGraphicFramePr/>
              <a:graphic xmlns:a="http://schemas.openxmlformats.org/drawingml/2006/main">
                <a:graphicData uri="http://schemas.microsoft.com/office/word/2010/wordprocessingShape">
                  <wps:wsp>
                    <wps:cNvSpPr/>
                    <wps:spPr>
                      <a:xfrm>
                        <a:off x="0" y="0"/>
                        <a:ext cx="71280" cy="172080"/>
                      </a:xfrm>
                      <a:prstGeom prst="rect">
                        <a:avLst/>
                      </a:prstGeom>
                      <a:noFill/>
                      <a:ln w="0">
                        <a:noFill/>
                      </a:ln>
                    </wps:spPr>
                    <wps:style>
                      <a:lnRef idx="0">
                        <a:scrgbClr r="0" g="0" b="0"/>
                      </a:lnRef>
                      <a:fillRef idx="0">
                        <a:scrgbClr r="0" g="0" b="0"/>
                      </a:fillRef>
                      <a:effectRef idx="0">
                        <a:scrgbClr r="0" g="0" b="0"/>
                      </a:effectRef>
                      <a:fontRef idx="minor"/>
                    </wps:style>
                    <wps:txbx>
                      <w:txbxContent>
                        <w:p w14:paraId="607CD860" w14:textId="77777777" w:rsidR="008D1A6A" w:rsidRDefault="00000000">
                          <w:pPr>
                            <w:pStyle w:val="Fuzeile"/>
                            <w:rPr>
                              <w:rStyle w:val="Seitenzahl"/>
                              <w:rFonts w:ascii="Helvetica" w:hAnsi="Helvetica"/>
                              <w:sz w:val="20"/>
                              <w:szCs w:val="20"/>
                            </w:rPr>
                          </w:pPr>
                          <w:r>
                            <w:rPr>
                              <w:rStyle w:val="Seitenzahl"/>
                              <w:rFonts w:ascii="Helvetica" w:hAnsi="Helvetica"/>
                              <w:sz w:val="20"/>
                              <w:szCs w:val="20"/>
                            </w:rPr>
                            <w:fldChar w:fldCharType="begin"/>
                          </w:r>
                          <w:r>
                            <w:rPr>
                              <w:rStyle w:val="Seitenzahl"/>
                              <w:rFonts w:ascii="Helvetica" w:hAnsi="Helvetica"/>
                              <w:sz w:val="20"/>
                              <w:szCs w:val="20"/>
                            </w:rPr>
                            <w:instrText xml:space="preserve"> PAGE </w:instrText>
                          </w:r>
                          <w:r>
                            <w:rPr>
                              <w:rStyle w:val="Seitenzahl"/>
                              <w:rFonts w:ascii="Helvetica" w:hAnsi="Helvetica"/>
                              <w:sz w:val="20"/>
                              <w:szCs w:val="20"/>
                            </w:rPr>
                            <w:fldChar w:fldCharType="separate"/>
                          </w:r>
                          <w:r>
                            <w:rPr>
                              <w:rStyle w:val="Seitenzahl"/>
                              <w:rFonts w:ascii="Helvetica" w:hAnsi="Helvetica"/>
                              <w:sz w:val="20"/>
                              <w:szCs w:val="20"/>
                            </w:rPr>
                            <w:t>4</w:t>
                          </w:r>
                          <w:r>
                            <w:rPr>
                              <w:rStyle w:val="Seitenzahl"/>
                              <w:rFonts w:ascii="Helvetica" w:hAnsi="Helvetica"/>
                              <w:sz w:val="20"/>
                              <w:szCs w:val="20"/>
                            </w:rPr>
                            <w:fldChar w:fldCharType="end"/>
                          </w:r>
                        </w:p>
                      </w:txbxContent>
                    </wps:txbx>
                    <wps:bodyPr lIns="0" tIns="0" rIns="0" bIns="0" anchor="t">
                      <a:spAutoFit/>
                    </wps:bodyPr>
                  </wps:wsp>
                </a:graphicData>
              </a:graphic>
            </wp:anchor>
          </w:drawing>
        </mc:Choice>
        <mc:Fallback>
          <w:pict>
            <v:rect w14:anchorId="4355D140" id="_x0000_s1028" style="position:absolute;margin-left:-45.6pt;margin-top:.05pt;width:5.6pt;height:13.55pt;z-index:-251657728;visibility:visible;mso-wrap-style:square;mso-wrap-distance-left:0;mso-wrap-distance-top:0;mso-wrap-distance-right:0;mso-wrap-distance-bottom:0;mso-position-horizontal:right;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" o:allowincell="f" filled="f" stroked="f" strokeweight="0">
              <v:textbox style="mso-fit-shape-to-text:t" inset="0,0,0,0">
                <w:txbxContent>
                  <w:p w14:paraId="607CD860" w14:textId="77777777" w:rsidR="008D1A6A" w:rsidRDefault="00000000">
                    <w:pPr>
                      <w:pStyle w:val="Fuzeile"/>
                      <w:rPr>
                        <w:rStyle w:val="Seitenzahl"/>
                        <w:rFonts w:ascii="Helvetica" w:hAnsi="Helvetica"/>
                        <w:sz w:val="20"/>
                        <w:szCs w:val="20"/>
                      </w:rPr>
                    </w:pPr>
                    <w:r>
                      <w:rPr>
                        <w:rStyle w:val="Seitenzahl"/>
                        <w:rFonts w:ascii="Helvetica" w:hAnsi="Helvetica"/>
                        <w:sz w:val="20"/>
                        <w:szCs w:val="20"/>
                      </w:rPr>
                      <w:fldChar w:fldCharType="begin"/>
                    </w:r>
                    <w:r>
                      <w:rPr>
                        <w:rStyle w:val="Seitenzahl"/>
                        <w:rFonts w:ascii="Helvetica" w:hAnsi="Helvetica"/>
                        <w:sz w:val="20"/>
                        <w:szCs w:val="20"/>
                      </w:rPr>
                      <w:instrText xml:space="preserve"> PAGE </w:instrText>
                    </w:r>
                    <w:r>
                      <w:rPr>
                        <w:rStyle w:val="Seitenzahl"/>
                        <w:rFonts w:ascii="Helvetica" w:hAnsi="Helvetica"/>
                        <w:sz w:val="20"/>
                        <w:szCs w:val="20"/>
                      </w:rPr>
                      <w:fldChar w:fldCharType="separate"/>
                    </w:r>
                    <w:r>
                      <w:rPr>
                        <w:rStyle w:val="Seitenzahl"/>
                        <w:rFonts w:ascii="Helvetica" w:hAnsi="Helvetica"/>
                        <w:sz w:val="20"/>
                        <w:szCs w:val="20"/>
                      </w:rPr>
                      <w:t>4</w:t>
                    </w:r>
                    <w:r>
                      <w:rPr>
                        <w:rStyle w:val="Seitenzahl"/>
                        <w:rFonts w:ascii="Helvetica" w:hAnsi="Helvetica"/>
                        <w:sz w:val="20"/>
                        <w:szCs w:val="20"/>
                      </w:rPr>
                      <w:fldChar w:fldCharType="end"/>
                    </w:r>
                  </w:p>
                </w:txbxContent>
              </v:textbox>
              <w10:wrap type="square" anchorx="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C1D202" w14:textId="77777777" w:rsidR="00395BE7" w:rsidRDefault="00395BE7">
      <w:r>
        <w:separator/>
      </w:r>
    </w:p>
  </w:footnote>
  <w:footnote w:type="continuationSeparator" w:id="0">
    <w:p w14:paraId="5CE07743" w14:textId="77777777" w:rsidR="00395BE7" w:rsidRDefault="00395B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71113" w14:textId="77777777" w:rsidR="008D1A6A" w:rsidRDefault="008D1A6A">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2434C" w14:textId="77777777" w:rsidR="008D1A6A" w:rsidRDefault="00000000">
    <w:pPr>
      <w:pStyle w:val="Kopfzeile"/>
      <w:rPr>
        <w:sz w:val="32"/>
        <w:szCs w:val="32"/>
      </w:rPr>
    </w:pPr>
    <w:r>
      <w:rPr>
        <w:noProof/>
        <w:sz w:val="32"/>
        <w:szCs w:val="32"/>
      </w:rPr>
      <w:drawing>
        <wp:anchor distT="0" distB="0" distL="114300" distR="114300" simplePos="0" relativeHeight="251655680" behindDoc="0" locked="0" layoutInCell="0" allowOverlap="1" wp14:anchorId="2ADBB720" wp14:editId="4A0D16DF">
          <wp:simplePos x="0" y="0"/>
          <wp:positionH relativeFrom="column">
            <wp:posOffset>4000500</wp:posOffset>
          </wp:positionH>
          <wp:positionV relativeFrom="paragraph">
            <wp:posOffset>76200</wp:posOffset>
          </wp:positionV>
          <wp:extent cx="2286000" cy="654685"/>
          <wp:effectExtent l="0" t="0" r="0" b="0"/>
          <wp:wrapThrough wrapText="bothSides">
            <wp:wrapPolygon edited="0">
              <wp:start x="7145" y="0"/>
              <wp:lineTo x="2082" y="0"/>
              <wp:lineTo x="-325" y="4113"/>
              <wp:lineTo x="-325" y="15035"/>
              <wp:lineTo x="1347" y="20850"/>
              <wp:lineTo x="1837" y="20850"/>
              <wp:lineTo x="3511" y="20850"/>
              <wp:lineTo x="6655" y="20850"/>
              <wp:lineTo x="21354" y="15035"/>
              <wp:lineTo x="21354" y="13332"/>
              <wp:lineTo x="21600" y="5815"/>
              <wp:lineTo x="8819" y="0"/>
              <wp:lineTo x="7145"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wgrd_logo_clr"/>
                  <pic:cNvPicPr>
                    <a:picLocks noChangeAspect="1" noChangeArrowheads="1"/>
                  </pic:cNvPicPr>
                </pic:nvPicPr>
                <pic:blipFill>
                  <a:blip r:embed="rId1"/>
                  <a:stretch>
                    <a:fillRect/>
                  </a:stretch>
                </pic:blipFill>
                <pic:spPr bwMode="auto">
                  <a:xfrm>
                    <a:off x="0" y="0"/>
                    <a:ext cx="2286000" cy="654685"/>
                  </a:xfrm>
                  <a:prstGeom prst="rect">
                    <a:avLst/>
                  </a:prstGeom>
                  <a:noFill/>
                </pic:spPr>
              </pic:pic>
            </a:graphicData>
          </a:graphic>
        </wp:anchor>
      </w:drawing>
    </w:r>
  </w:p>
  <w:p w14:paraId="70DC6B4F" w14:textId="77777777" w:rsidR="008D1A6A" w:rsidRDefault="008D1A6A">
    <w:pPr>
      <w:pStyle w:val="Kopfzeile"/>
      <w:rPr>
        <w:sz w:val="32"/>
        <w:szCs w:val="32"/>
      </w:rPr>
    </w:pPr>
  </w:p>
  <w:p w14:paraId="530DB873" w14:textId="77777777" w:rsidR="008D1A6A" w:rsidRDefault="008D1A6A">
    <w:pPr>
      <w:pStyle w:val="Kopfzeile"/>
      <w:rPr>
        <w:sz w:val="32"/>
        <w:szCs w:val="32"/>
      </w:rPr>
    </w:pPr>
  </w:p>
  <w:p w14:paraId="5069EC44" w14:textId="77777777" w:rsidR="008D1A6A" w:rsidRDefault="008D1A6A">
    <w:pPr>
      <w:pStyle w:val="Kopfzeile"/>
      <w:rPr>
        <w:sz w:val="32"/>
        <w:szCs w:val="3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DC19E5" w14:textId="77777777" w:rsidR="008D1A6A" w:rsidRDefault="00000000">
    <w:pPr>
      <w:pStyle w:val="Kopfzeile"/>
      <w:rPr>
        <w:sz w:val="32"/>
        <w:szCs w:val="32"/>
      </w:rPr>
    </w:pPr>
    <w:r>
      <w:rPr>
        <w:noProof/>
        <w:sz w:val="32"/>
        <w:szCs w:val="32"/>
      </w:rPr>
      <w:drawing>
        <wp:anchor distT="0" distB="0" distL="114300" distR="114300" simplePos="0" relativeHeight="251656704" behindDoc="0" locked="0" layoutInCell="0" allowOverlap="1" wp14:anchorId="12615D0B" wp14:editId="3C3B2060">
          <wp:simplePos x="0" y="0"/>
          <wp:positionH relativeFrom="column">
            <wp:posOffset>4000500</wp:posOffset>
          </wp:positionH>
          <wp:positionV relativeFrom="paragraph">
            <wp:posOffset>76200</wp:posOffset>
          </wp:positionV>
          <wp:extent cx="2286000" cy="654685"/>
          <wp:effectExtent l="0" t="0" r="0" b="0"/>
          <wp:wrapThrough wrapText="bothSides">
            <wp:wrapPolygon edited="0">
              <wp:start x="7145" y="0"/>
              <wp:lineTo x="2082" y="0"/>
              <wp:lineTo x="-325" y="4113"/>
              <wp:lineTo x="-325" y="15035"/>
              <wp:lineTo x="1347" y="20850"/>
              <wp:lineTo x="1837" y="20850"/>
              <wp:lineTo x="3511" y="20850"/>
              <wp:lineTo x="6655" y="20850"/>
              <wp:lineTo x="21354" y="15035"/>
              <wp:lineTo x="21354" y="13332"/>
              <wp:lineTo x="21600" y="5815"/>
              <wp:lineTo x="8819" y="0"/>
              <wp:lineTo x="7145" y="0"/>
            </wp:wrapPolygon>
          </wp:wrapThrough>
          <wp:docPr id="2"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wgrd_logo_clr"/>
                  <pic:cNvPicPr>
                    <a:picLocks noChangeAspect="1" noChangeArrowheads="1"/>
                  </pic:cNvPicPr>
                </pic:nvPicPr>
                <pic:blipFill>
                  <a:blip r:embed="rId1"/>
                  <a:stretch>
                    <a:fillRect/>
                  </a:stretch>
                </pic:blipFill>
                <pic:spPr bwMode="auto">
                  <a:xfrm>
                    <a:off x="0" y="0"/>
                    <a:ext cx="2286000" cy="654685"/>
                  </a:xfrm>
                  <a:prstGeom prst="rect">
                    <a:avLst/>
                  </a:prstGeom>
                  <a:noFill/>
                </pic:spPr>
              </pic:pic>
            </a:graphicData>
          </a:graphic>
        </wp:anchor>
      </w:drawing>
    </w:r>
  </w:p>
  <w:p w14:paraId="78DA44BF" w14:textId="77777777" w:rsidR="008D1A6A" w:rsidRDefault="008D1A6A">
    <w:pPr>
      <w:pStyle w:val="Kopfzeile"/>
      <w:rPr>
        <w:sz w:val="32"/>
        <w:szCs w:val="32"/>
      </w:rPr>
    </w:pPr>
  </w:p>
  <w:p w14:paraId="688C5C6E" w14:textId="77777777" w:rsidR="008D1A6A" w:rsidRDefault="008D1A6A">
    <w:pPr>
      <w:pStyle w:val="Kopfzeile"/>
      <w:rPr>
        <w:sz w:val="32"/>
        <w:szCs w:val="32"/>
      </w:rPr>
    </w:pPr>
  </w:p>
  <w:p w14:paraId="6BC2CA57" w14:textId="77777777" w:rsidR="008D1A6A" w:rsidRDefault="008D1A6A">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3EE51AB"/>
    <w:multiLevelType w:val="multilevel"/>
    <w:tmpl w:val="AFD4C35C"/>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74BF1F37"/>
    <w:multiLevelType w:val="multilevel"/>
    <w:tmpl w:val="5DCA67AE"/>
    <w:lvl w:ilvl="0">
      <w:numFmt w:val="bullet"/>
      <w:lvlText w:val=""/>
      <w:lvlJc w:val="left"/>
      <w:pPr>
        <w:tabs>
          <w:tab w:val="num" w:pos="0"/>
        </w:tabs>
        <w:ind w:left="1060" w:hanging="70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7CF92311"/>
    <w:multiLevelType w:val="multilevel"/>
    <w:tmpl w:val="D382D68C"/>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1407730690">
    <w:abstractNumId w:val="1"/>
  </w:num>
  <w:num w:numId="2" w16cid:durableId="1036850412">
    <w:abstractNumId w:val="2"/>
  </w:num>
  <w:num w:numId="3" w16cid:durableId="20237738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embedSystemFonts/>
  <w:proofState w:spelling="clean" w:grammar="clean"/>
  <w:defaultTabStop w:val="709"/>
  <w:autoHyphenation/>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1A6A"/>
    <w:rsid w:val="00035B1D"/>
    <w:rsid w:val="00184DC9"/>
    <w:rsid w:val="002047C6"/>
    <w:rsid w:val="00304B94"/>
    <w:rsid w:val="00367675"/>
    <w:rsid w:val="00395BE7"/>
    <w:rsid w:val="004D39F9"/>
    <w:rsid w:val="0054062D"/>
    <w:rsid w:val="00557D97"/>
    <w:rsid w:val="005C18E7"/>
    <w:rsid w:val="006F0B90"/>
    <w:rsid w:val="008B5AD2"/>
    <w:rsid w:val="008D1A6A"/>
    <w:rsid w:val="008D2A3E"/>
    <w:rsid w:val="009254DA"/>
    <w:rsid w:val="00931791"/>
    <w:rsid w:val="00956541"/>
    <w:rsid w:val="009E5605"/>
    <w:rsid w:val="00A241BB"/>
    <w:rsid w:val="00A37D8E"/>
    <w:rsid w:val="00A921BB"/>
    <w:rsid w:val="00AA21D0"/>
    <w:rsid w:val="00C21843"/>
    <w:rsid w:val="00CD23A6"/>
    <w:rsid w:val="00DF0AE2"/>
    <w:rsid w:val="00DF6FC6"/>
    <w:rsid w:val="00E2420A"/>
    <w:rsid w:val="00E556B8"/>
    <w:rsid w:val="00E82557"/>
    <w:rsid w:val="00EF34E0"/>
  </w:rsids>
  <m:mathPr>
    <m:mathFont m:val="Cambria Math"/>
    <m:brkBin m:val="before"/>
    <m:brkBinSub m:val="--"/>
    <m:smallFrac m:val="0"/>
    <m:dispDef/>
    <m:lMargin m:val="0"/>
    <m:rMargin m:val="0"/>
    <m:defJc m:val="centerGroup"/>
    <m:wrapIndent m:val="1440"/>
    <m:intLim m:val="subSup"/>
    <m:naryLim m:val="undOvr"/>
  </m:mathPr>
  <w:themeFontLang w:val="de-DE" w:eastAsia="ja-JP"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5654F"/>
  <w15:docId w15:val="{83E39142-E169-804C-89E8-3AEBE96157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qFormat/>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qFormat/>
    <w:rsid w:val="00C82E0F"/>
    <w:pPr>
      <w:keepNext/>
      <w:keepLines/>
      <w:spacing w:before="20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qFormat/>
    <w:rsid w:val="00BD2D7B"/>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qFormat/>
    <w:rsid w:val="00C428F6"/>
    <w:rPr>
      <w:rFonts w:ascii="Cambria" w:eastAsia="MS Mincho" w:hAnsi="Cambria" w:cs="Times New Roman"/>
      <w:sz w:val="20"/>
      <w:szCs w:val="20"/>
    </w:rPr>
  </w:style>
  <w:style w:type="character" w:customStyle="1" w:styleId="KopfzeileZeichen1">
    <w:name w:val="Kopfzeile Zeichen1"/>
    <w:basedOn w:val="Absatz-Standardschriftart"/>
    <w:uiPriority w:val="99"/>
    <w:semiHidden/>
    <w:qFormat/>
    <w:rsid w:val="00C428F6"/>
    <w:rPr>
      <w:rFonts w:ascii="Cambria" w:eastAsia="MS Mincho" w:hAnsi="Cambria" w:cs="Times New Roman"/>
      <w:lang w:eastAsia="de-DE"/>
    </w:rPr>
  </w:style>
  <w:style w:type="character" w:customStyle="1" w:styleId="TextkrperZchn">
    <w:name w:val="Textkörper Zchn"/>
    <w:link w:val="Textkrper"/>
    <w:qFormat/>
    <w:rsid w:val="00C428F6"/>
    <w:rPr>
      <w:rFonts w:ascii="Helvetica" w:eastAsia="SimSun" w:hAnsi="Helvetica" w:cs="Times New Roman"/>
      <w:b/>
      <w:sz w:val="22"/>
      <w:szCs w:val="22"/>
    </w:rPr>
  </w:style>
  <w:style w:type="character" w:customStyle="1" w:styleId="TextkrperZeichen1">
    <w:name w:val="Textkörper Zeichen1"/>
    <w:basedOn w:val="Absatz-Standardschriftart"/>
    <w:uiPriority w:val="99"/>
    <w:semiHidden/>
    <w:qFormat/>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character" w:customStyle="1" w:styleId="KommentartextZchn">
    <w:name w:val="Kommentartext Zchn"/>
    <w:basedOn w:val="Absatz-Standardschriftart"/>
    <w:link w:val="Kommentartext"/>
    <w:uiPriority w:val="99"/>
    <w:semiHidden/>
    <w:qFormat/>
    <w:rsid w:val="00C428F6"/>
    <w:rPr>
      <w:rFonts w:ascii="Cambria" w:eastAsia="MS Mincho" w:hAnsi="Cambria" w:cs="Times New Roman"/>
      <w:lang w:eastAsia="de-DE"/>
    </w:rPr>
  </w:style>
  <w:style w:type="character" w:customStyle="1" w:styleId="SprechblasentextZchn">
    <w:name w:val="Sprechblasentext Zchn"/>
    <w:basedOn w:val="Absatz-Standardschriftart"/>
    <w:link w:val="Sprechblasentext"/>
    <w:uiPriority w:val="99"/>
    <w:semiHidden/>
    <w:qFormat/>
    <w:rsid w:val="00C428F6"/>
    <w:rPr>
      <w:rFonts w:ascii="Lucida Grande" w:eastAsia="MS Mincho" w:hAnsi="Lucida Grande" w:cs="Lucida Grande"/>
      <w:sz w:val="18"/>
      <w:szCs w:val="18"/>
      <w:lang w:eastAsia="de-DE"/>
    </w:rPr>
  </w:style>
  <w:style w:type="character" w:customStyle="1" w:styleId="KommentarthemaZchn">
    <w:name w:val="Kommentarthema Zchn"/>
    <w:basedOn w:val="KommentartextZchn"/>
    <w:link w:val="Kommentarthema"/>
    <w:qFormat/>
    <w:rsid w:val="00C428F6"/>
    <w:rPr>
      <w:rFonts w:ascii="Cambria" w:eastAsia="MS Mincho" w:hAnsi="Cambria" w:cs="Times New Roman"/>
      <w:b/>
      <w:bCs/>
      <w:sz w:val="20"/>
      <w:szCs w:val="20"/>
      <w:lang w:eastAsia="de-DE"/>
    </w:rPr>
  </w:style>
  <w:style w:type="character" w:customStyle="1" w:styleId="EndnotentextZchn">
    <w:name w:val="Endnotentext Zchn"/>
    <w:basedOn w:val="Absatz-Standardschriftart"/>
    <w:link w:val="Endnotentext"/>
    <w:uiPriority w:val="99"/>
    <w:qFormat/>
    <w:rsid w:val="00C428F6"/>
    <w:rPr>
      <w:rFonts w:eastAsiaTheme="minorEastAsia"/>
      <w:lang w:val="en-US"/>
    </w:rPr>
  </w:style>
  <w:style w:type="character" w:styleId="Endnotenzeichen">
    <w:name w:val="endnote reference"/>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character" w:customStyle="1" w:styleId="FuzeileZchn">
    <w:name w:val="Fußzeile Zchn"/>
    <w:basedOn w:val="Absatz-Standardschriftart"/>
    <w:link w:val="Fuzeile"/>
    <w:uiPriority w:val="99"/>
    <w:qFormat/>
    <w:rsid w:val="00C428F6"/>
    <w:rPr>
      <w:rFonts w:ascii="Cambria" w:eastAsia="MS Mincho" w:hAnsi="Cambria" w:cs="Times New Roman"/>
      <w:lang w:eastAsia="de-DE"/>
    </w:rPr>
  </w:style>
  <w:style w:type="character" w:customStyle="1" w:styleId="FunotentextZchn">
    <w:name w:val="Fußnotentext Zchn"/>
    <w:basedOn w:val="Absatz-Standardschriftart"/>
    <w:link w:val="Funotentext"/>
    <w:qFormat/>
    <w:rsid w:val="00C428F6"/>
    <w:rPr>
      <w:rFonts w:ascii="Cambria" w:eastAsia="MS Mincho" w:hAnsi="Cambria" w:cs="Times New Roman"/>
      <w:lang w:eastAsia="de-DE"/>
    </w:rPr>
  </w:style>
  <w:style w:type="character" w:styleId="Funotenzeichen">
    <w:name w:val="footnote reference"/>
    <w:rPr>
      <w:vertAlign w:val="superscript"/>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qFormat/>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qFormat/>
    <w:rsid w:val="00736069"/>
    <w:rPr>
      <w:sz w:val="18"/>
      <w:szCs w:val="18"/>
    </w:rPr>
  </w:style>
  <w:style w:type="character" w:customStyle="1" w:styleId="berschrift1Zchn">
    <w:name w:val="Überschrift 1 Zchn"/>
    <w:basedOn w:val="Absatz-Standardschriftart"/>
    <w:link w:val="berschrift1"/>
    <w:qFormat/>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qFormat/>
    <w:rsid w:val="009A7882"/>
  </w:style>
  <w:style w:type="character" w:customStyle="1" w:styleId="NichtaufgelsteErwhnung1">
    <w:name w:val="Nicht aufgelöste Erwähnung1"/>
    <w:basedOn w:val="Absatz-Standardschriftart"/>
    <w:qFormat/>
    <w:rsid w:val="00CF3503"/>
    <w:rPr>
      <w:color w:val="808080"/>
      <w:shd w:val="clear" w:color="auto" w:fill="E6E6E6"/>
    </w:rPr>
  </w:style>
  <w:style w:type="character" w:styleId="NichtaufgelsteErwhnung">
    <w:name w:val="Unresolved Mention"/>
    <w:basedOn w:val="Absatz-Standardschriftart"/>
    <w:uiPriority w:val="99"/>
    <w:semiHidden/>
    <w:unhideWhenUsed/>
    <w:qFormat/>
    <w:rsid w:val="002F643B"/>
    <w:rPr>
      <w:color w:val="605E5C"/>
      <w:shd w:val="clear" w:color="auto" w:fill="E1DFDD"/>
    </w:rPr>
  </w:style>
  <w:style w:type="character" w:customStyle="1" w:styleId="normaltextrun">
    <w:name w:val="normaltextrun"/>
    <w:basedOn w:val="Absatz-Standardschriftart"/>
    <w:qFormat/>
    <w:rsid w:val="00F76BCB"/>
  </w:style>
  <w:style w:type="character" w:customStyle="1" w:styleId="berschrift4Zchn">
    <w:name w:val="Überschrift 4 Zchn"/>
    <w:basedOn w:val="Absatz-Standardschriftart"/>
    <w:link w:val="berschrift4"/>
    <w:qFormat/>
    <w:rsid w:val="00BD2D7B"/>
    <w:rPr>
      <w:rFonts w:asciiTheme="majorHAnsi" w:eastAsiaTheme="majorEastAsia" w:hAnsiTheme="majorHAnsi" w:cstheme="majorBidi"/>
      <w:i/>
      <w:iCs/>
      <w:color w:val="365F91" w:themeColor="accent1" w:themeShade="BF"/>
      <w:lang w:eastAsia="de-DE"/>
    </w:rPr>
  </w:style>
  <w:style w:type="paragraph" w:customStyle="1" w:styleId="berschrift">
    <w:name w:val="Überschrift"/>
    <w:basedOn w:val="Standard"/>
    <w:next w:val="Textkrper"/>
    <w:qFormat/>
    <w:pPr>
      <w:keepNext/>
      <w:spacing w:before="240" w:after="120"/>
    </w:pPr>
    <w:rPr>
      <w:rFonts w:ascii="Carlito" w:eastAsia="Noto Sans SC Regular" w:hAnsi="Carlito" w:cs="Noto Sans"/>
      <w:sz w:val="28"/>
      <w:szCs w:val="28"/>
    </w:rPr>
  </w:style>
  <w:style w:type="paragraph" w:styleId="Textkrper">
    <w:name w:val="Body Text"/>
    <w:basedOn w:val="Standard"/>
    <w:link w:val="TextkrperZchn"/>
    <w:rsid w:val="00C428F6"/>
    <w:rPr>
      <w:rFonts w:ascii="Helvetica" w:eastAsia="SimSun" w:hAnsi="Helvetica"/>
      <w:b/>
      <w:sz w:val="22"/>
      <w:szCs w:val="22"/>
      <w:lang w:eastAsia="en-US"/>
    </w:rPr>
  </w:style>
  <w:style w:type="paragraph" w:styleId="Liste">
    <w:name w:val="List"/>
    <w:basedOn w:val="Textkrper"/>
    <w:rPr>
      <w:rFonts w:cs="Noto Sans"/>
    </w:rPr>
  </w:style>
  <w:style w:type="paragraph" w:styleId="Beschriftung">
    <w:name w:val="caption"/>
    <w:basedOn w:val="Standard"/>
    <w:qFormat/>
    <w:pPr>
      <w:suppressLineNumbers/>
      <w:spacing w:before="120" w:after="120"/>
    </w:pPr>
    <w:rPr>
      <w:rFonts w:cs="Noto Sans"/>
      <w:i/>
      <w:iCs/>
    </w:rPr>
  </w:style>
  <w:style w:type="paragraph" w:customStyle="1" w:styleId="Verzeichnis">
    <w:name w:val="Verzeichnis"/>
    <w:basedOn w:val="Standard"/>
    <w:qFormat/>
    <w:pPr>
      <w:suppressLineNumbers/>
    </w:pPr>
    <w:rPr>
      <w:rFonts w:cs="Noto Sans"/>
    </w:rPr>
  </w:style>
  <w:style w:type="paragraph" w:customStyle="1" w:styleId="berschriftuser">
    <w:name w:val="Überschrift (user)"/>
    <w:basedOn w:val="Standard"/>
    <w:next w:val="Textkrper"/>
    <w:qFormat/>
    <w:pPr>
      <w:keepNext/>
      <w:spacing w:before="240" w:after="120"/>
    </w:pPr>
    <w:rPr>
      <w:rFonts w:ascii="Carlito" w:eastAsia="Noto Sans SC Regular" w:hAnsi="Carlito" w:cs="Noto Sans"/>
      <w:sz w:val="28"/>
      <w:szCs w:val="28"/>
    </w:rPr>
  </w:style>
  <w:style w:type="paragraph" w:customStyle="1" w:styleId="Verzeichnisuser">
    <w:name w:val="Verzeichnis (user)"/>
    <w:basedOn w:val="Standard"/>
    <w:qFormat/>
    <w:pPr>
      <w:suppressLineNumbers/>
    </w:pPr>
    <w:rPr>
      <w:rFonts w:cs="Noto Sans"/>
    </w:rPr>
  </w:style>
  <w:style w:type="paragraph" w:customStyle="1" w:styleId="Kopf-Fuzeileuser">
    <w:name w:val="Kopf-/Fußzeile (user)"/>
    <w:basedOn w:val="Standard"/>
    <w:qFormat/>
  </w:style>
  <w:style w:type="paragraph" w:customStyle="1" w:styleId="Kopf-Fuzeile">
    <w:name w:val="Kopf-/Fußzeile"/>
    <w:basedOn w:val="Standard"/>
    <w:qFormat/>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paragraph" w:styleId="Kommentartext">
    <w:name w:val="annotation text"/>
    <w:basedOn w:val="Standard"/>
    <w:link w:val="KommentartextZchn"/>
    <w:uiPriority w:val="99"/>
    <w:semiHidden/>
    <w:unhideWhenUsed/>
    <w:rsid w:val="00C428F6"/>
  </w:style>
  <w:style w:type="paragraph" w:styleId="Sprechblasentext">
    <w:name w:val="Balloon Text"/>
    <w:basedOn w:val="Standard"/>
    <w:link w:val="SprechblasentextZchn"/>
    <w:uiPriority w:val="99"/>
    <w:semiHidden/>
    <w:unhideWhenUsed/>
    <w:qFormat/>
    <w:rsid w:val="00C428F6"/>
    <w:rPr>
      <w:rFonts w:ascii="Lucida Grande" w:hAnsi="Lucida Grande" w:cs="Lucida Grande"/>
      <w:sz w:val="18"/>
      <w:szCs w:val="18"/>
    </w:rPr>
  </w:style>
  <w:style w:type="paragraph" w:styleId="Kommentarthema">
    <w:name w:val="annotation subject"/>
    <w:basedOn w:val="Kommentartext"/>
    <w:next w:val="Kommentartext"/>
    <w:link w:val="KommentarthemaZchn"/>
    <w:qFormat/>
    <w:rsid w:val="00C428F6"/>
    <w:rPr>
      <w:b/>
      <w:bCs/>
      <w:sz w:val="20"/>
      <w:szCs w:val="20"/>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paragraph" w:styleId="Fuzeile">
    <w:name w:val="footer"/>
    <w:basedOn w:val="Standard"/>
    <w:link w:val="FuzeileZchn"/>
    <w:uiPriority w:val="99"/>
    <w:unhideWhenUsed/>
    <w:rsid w:val="00C428F6"/>
    <w:pPr>
      <w:tabs>
        <w:tab w:val="center" w:pos="4536"/>
        <w:tab w:val="right" w:pos="9072"/>
      </w:tabs>
    </w:pPr>
  </w:style>
  <w:style w:type="paragraph" w:styleId="Funotentext">
    <w:name w:val="footnote text"/>
    <w:basedOn w:val="Standard"/>
    <w:link w:val="FunotentextZchn"/>
    <w:rsid w:val="00C428F6"/>
  </w:style>
  <w:style w:type="paragraph" w:styleId="KeinLeerraum">
    <w:name w:val="No Spacing"/>
    <w:uiPriority w:val="1"/>
    <w:qFormat/>
    <w:rsid w:val="00C428F6"/>
    <w:rPr>
      <w:rFonts w:ascii="Calibri" w:hAnsi="Calibri" w:cs="Times New Roman"/>
      <w:sz w:val="22"/>
      <w:szCs w:val="22"/>
      <w:lang w:val="en-US"/>
    </w:rPr>
  </w:style>
  <w:style w:type="paragraph" w:styleId="berarbeitung">
    <w:name w:val="Revision"/>
    <w:semiHidden/>
    <w:qFormat/>
    <w:rsid w:val="005942C4"/>
    <w:rPr>
      <w:rFonts w:eastAsia="MS Mincho" w:cs="Times New Roman"/>
      <w:lang w:eastAsia="de-DE"/>
    </w:rPr>
  </w:style>
  <w:style w:type="paragraph" w:styleId="StandardWeb">
    <w:name w:val="Normal (Web)"/>
    <w:basedOn w:val="Standard"/>
    <w:uiPriority w:val="99"/>
    <w:semiHidden/>
    <w:unhideWhenUsed/>
    <w:qFormat/>
    <w:rsid w:val="000834F2"/>
    <w:pPr>
      <w:spacing w:beforeAutospacing="1" w:afterAutospacing="1"/>
    </w:pPr>
  </w:style>
  <w:style w:type="paragraph" w:customStyle="1" w:styleId="Rahmeninhaltuser">
    <w:name w:val="Rahmeninhalt (user)"/>
    <w:basedOn w:val="Standard"/>
    <w:qFormat/>
  </w:style>
  <w:style w:type="paragraph" w:customStyle="1" w:styleId="Rahmeninhalt">
    <w:name w:val="Rahmeninhalt"/>
    <w:basedOn w:val="Standard"/>
    <w:qFormat/>
  </w:style>
  <w:style w:type="table" w:styleId="Tabellenraster">
    <w:name w:val="Table Grid"/>
    <w:basedOn w:val="NormaleTabelle"/>
    <w:rsid w:val="00AD00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www.watchguard.com/de/wgrd-resource-center/security-report-q2-2025" TargetMode="External"/><Relationship Id="rId13" Type="http://schemas.openxmlformats.org/officeDocument/2006/relationships/hyperlink" Target="https://www.watchguard.com/de/wgrd-products/zero-trust-bundle" TargetMode="External"/><Relationship Id="rId18" Type="http://schemas.openxmlformats.org/officeDocument/2006/relationships/hyperlink" Target="https://press-n-relations.com/" TargetMode="External"/><Relationship Id="rId26" Type="http://schemas.openxmlformats.org/officeDocument/2006/relationships/header" Target="header2.xml"/><Relationship Id="rId3" Type="http://schemas.openxmlformats.org/officeDocument/2006/relationships/styles" Target="styles.xml"/><Relationship Id="rId21" Type="http://schemas.openxmlformats.org/officeDocument/2006/relationships/hyperlink" Target="https://de-de.facebook.com/WatchGuardSichersein/" TargetMode="External"/><Relationship Id="rId7" Type="http://schemas.openxmlformats.org/officeDocument/2006/relationships/endnotes" Target="endnotes.xml"/><Relationship Id="rId12" Type="http://schemas.openxmlformats.org/officeDocument/2006/relationships/hyperlink" Target="https://www.watchguard.com/de/wgrd-products/sase/firecloud-total-access" TargetMode="External"/><Relationship Id="rId17" Type="http://schemas.openxmlformats.org/officeDocument/2006/relationships/hyperlink" Target="mailto:rh@press-n-relations.de"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watchguard.com/de" TargetMode="External"/><Relationship Id="rId20" Type="http://schemas.openxmlformats.org/officeDocument/2006/relationships/hyperlink" Target="https://twitter.com/sichersein" TargetMode="External"/><Relationship Id="rId29"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watchguard.com/de/wgrd-products/watchguard-endpoint-epdr" TargetMode="External"/><Relationship Id="rId24" Type="http://schemas.openxmlformats.org/officeDocument/2006/relationships/hyperlink" Target="https://www.watchguard.com/wgrd-security-hub/podcast-the-443"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mailto:rh@press-n-relations.de" TargetMode="External"/><Relationship Id="rId23" Type="http://schemas.openxmlformats.org/officeDocument/2006/relationships/hyperlink" Target="https://www.watchguard.com/de/wgrd-news/blog" TargetMode="External"/><Relationship Id="rId28" Type="http://schemas.openxmlformats.org/officeDocument/2006/relationships/footer" Target="footer2.xml"/><Relationship Id="rId10" Type="http://schemas.openxmlformats.org/officeDocument/2006/relationships/hyperlink" Target="https://www.watchguard.com/de/wgrd-products/total-identity-security" TargetMode="External"/><Relationship Id="rId19" Type="http://schemas.openxmlformats.org/officeDocument/2006/relationships/hyperlink" Target="https://press-n-relations.at/"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watchguard.com/de/wgrd-products/sase/firecloud-total-access" TargetMode="External"/><Relationship Id="rId14" Type="http://schemas.openxmlformats.org/officeDocument/2006/relationships/image" Target="media/image1.jpeg"/><Relationship Id="rId22" Type="http://schemas.openxmlformats.org/officeDocument/2006/relationships/hyperlink" Target="https://www.linkedin.com/company/watchguard-technologies/" TargetMode="External"/><Relationship Id="rId27" Type="http://schemas.openxmlformats.org/officeDocument/2006/relationships/footer" Target="footer1.xml"/><Relationship Id="rId30"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majorFont>
      <a:minorFont>
        <a:latin typeface="Cambria"/>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76377D-415F-BC41-A028-3E22943F3E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1383</Words>
  <Characters>8718</Characters>
  <Application>Microsoft Office Word</Application>
  <DocSecurity>0</DocSecurity>
  <Lines>72</Lines>
  <Paragraphs>20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10081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Horn</dc:creator>
  <dc:description>_x005f_x000d_</dc:description>
  <cp:lastModifiedBy>Rebecca Horn</cp:lastModifiedBy>
  <cp:revision>2</cp:revision>
  <cp:lastPrinted>2025-10-14T10:06:00Z</cp:lastPrinted>
  <dcterms:created xsi:type="dcterms:W3CDTF">2025-12-17T07:52:00Z</dcterms:created>
  <dcterms:modified xsi:type="dcterms:W3CDTF">2025-12-17T07:52:00Z</dcterms:modified>
  <dc:language>de-DE</dc:language>
</cp:coreProperties>
</file>