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990C68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990C68">
        <w:rPr>
          <w:rFonts w:ascii="Helvetica" w:hAnsi="Helvetica"/>
          <w:b/>
        </w:rPr>
        <w:t>P</w:t>
      </w:r>
      <w:r w:rsidR="00037D09" w:rsidRPr="00990C68">
        <w:rPr>
          <w:rFonts w:ascii="Helvetica" w:hAnsi="Helvetica"/>
          <w:b/>
        </w:rPr>
        <w:t>RESSEINFORMATION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80C7DED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4644B5">
        <w:rPr>
          <w:rFonts w:ascii="Helvetica" w:hAnsi="Helvetica"/>
          <w:sz w:val="20"/>
          <w:szCs w:val="20"/>
        </w:rPr>
        <w:t>26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4644B5">
        <w:rPr>
          <w:rFonts w:ascii="Helvetica" w:hAnsi="Helvetica"/>
          <w:sz w:val="20"/>
          <w:szCs w:val="20"/>
        </w:rPr>
        <w:t>März 2026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6EDECB46" w14:textId="0D90DAD2" w:rsidR="00844FC6" w:rsidRPr="00990C68" w:rsidRDefault="00844FC6" w:rsidP="00750889">
      <w:pPr>
        <w:spacing w:line="288" w:lineRule="auto"/>
        <w:ind w:right="1134"/>
        <w:rPr>
          <w:rFonts w:ascii="Helvetica" w:eastAsia="SimSun" w:hAnsi="Helvetica"/>
          <w:b/>
          <w:sz w:val="28"/>
          <w:szCs w:val="28"/>
          <w:lang w:eastAsia="en-US"/>
        </w:rPr>
      </w:pPr>
      <w:r w:rsidRPr="00990C68">
        <w:rPr>
          <w:rFonts w:ascii="Helvetica" w:eastAsia="SimSun" w:hAnsi="Helvetica"/>
          <w:b/>
          <w:sz w:val="28"/>
          <w:szCs w:val="28"/>
          <w:lang w:eastAsia="en-US"/>
        </w:rPr>
        <w:t xml:space="preserve">WatchGuard </w:t>
      </w:r>
      <w:r w:rsidR="009E3E41">
        <w:rPr>
          <w:rFonts w:ascii="Helvetica" w:eastAsia="SimSun" w:hAnsi="Helvetica"/>
          <w:b/>
          <w:sz w:val="28"/>
          <w:szCs w:val="28"/>
          <w:lang w:eastAsia="en-US"/>
        </w:rPr>
        <w:t>erweitert NDR-Funktion</w:t>
      </w:r>
      <w:r w:rsidR="000773CA">
        <w:rPr>
          <w:rFonts w:ascii="Helvetica" w:eastAsia="SimSun" w:hAnsi="Helvetica"/>
          <w:b/>
          <w:sz w:val="28"/>
          <w:szCs w:val="28"/>
          <w:lang w:eastAsia="en-US"/>
        </w:rPr>
        <w:t>alität</w:t>
      </w:r>
    </w:p>
    <w:p w14:paraId="7BE9587C" w14:textId="1958751C" w:rsidR="009E3E41" w:rsidRDefault="009E3E41" w:rsidP="00157564">
      <w:pPr>
        <w:spacing w:line="288" w:lineRule="auto"/>
        <w:ind w:right="992"/>
        <w:rPr>
          <w:rFonts w:ascii="Helvetica" w:hAnsi="Helvetica"/>
          <w:sz w:val="20"/>
          <w:szCs w:val="20"/>
        </w:rPr>
      </w:pPr>
      <w:r w:rsidRPr="009E3E41">
        <w:rPr>
          <w:rFonts w:ascii="Helvetica" w:hAnsi="Helvetica"/>
          <w:sz w:val="20"/>
          <w:szCs w:val="20"/>
        </w:rPr>
        <w:t xml:space="preserve">Integrierte Erkennung, </w:t>
      </w:r>
      <w:proofErr w:type="spellStart"/>
      <w:r w:rsidRPr="009E3E41">
        <w:rPr>
          <w:rFonts w:ascii="Helvetica" w:hAnsi="Helvetica"/>
          <w:sz w:val="20"/>
          <w:szCs w:val="20"/>
        </w:rPr>
        <w:t>Managed</w:t>
      </w:r>
      <w:proofErr w:type="spellEnd"/>
      <w:r w:rsidRPr="009E3E41">
        <w:rPr>
          <w:rFonts w:ascii="Helvetica" w:hAnsi="Helvetica"/>
          <w:sz w:val="20"/>
          <w:szCs w:val="20"/>
        </w:rPr>
        <w:t xml:space="preserve"> Services und automatisierte Reaktion </w:t>
      </w:r>
      <w:r>
        <w:rPr>
          <w:rFonts w:ascii="Helvetica" w:hAnsi="Helvetica"/>
          <w:sz w:val="20"/>
          <w:szCs w:val="20"/>
        </w:rPr>
        <w:t>erleichtern</w:t>
      </w:r>
      <w:r w:rsidRPr="009E3E41">
        <w:rPr>
          <w:rFonts w:ascii="Helvetica" w:hAnsi="Helvetica"/>
          <w:sz w:val="20"/>
          <w:szCs w:val="20"/>
        </w:rPr>
        <w:t xml:space="preserve"> die Einführung von </w:t>
      </w:r>
      <w:r>
        <w:rPr>
          <w:rFonts w:ascii="Helvetica" w:hAnsi="Helvetica"/>
          <w:sz w:val="20"/>
          <w:szCs w:val="20"/>
        </w:rPr>
        <w:t xml:space="preserve">Network </w:t>
      </w:r>
      <w:proofErr w:type="spellStart"/>
      <w:r>
        <w:rPr>
          <w:rFonts w:ascii="Helvetica" w:hAnsi="Helvetica"/>
          <w:sz w:val="20"/>
          <w:szCs w:val="20"/>
        </w:rPr>
        <w:t>Detection</w:t>
      </w:r>
      <w:proofErr w:type="spellEnd"/>
      <w:r>
        <w:rPr>
          <w:rFonts w:ascii="Helvetica" w:hAnsi="Helvetica"/>
          <w:sz w:val="20"/>
          <w:szCs w:val="20"/>
        </w:rPr>
        <w:t xml:space="preserve"> and Response (</w:t>
      </w:r>
      <w:r w:rsidRPr="009E3E41">
        <w:rPr>
          <w:rFonts w:ascii="Helvetica" w:hAnsi="Helvetica"/>
          <w:sz w:val="20"/>
          <w:szCs w:val="20"/>
        </w:rPr>
        <w:t>NDR</w:t>
      </w:r>
      <w:r>
        <w:rPr>
          <w:rFonts w:ascii="Helvetica" w:hAnsi="Helvetica"/>
          <w:sz w:val="20"/>
          <w:szCs w:val="20"/>
        </w:rPr>
        <w:t>)</w:t>
      </w:r>
      <w:r w:rsidRPr="009E3E41">
        <w:rPr>
          <w:rFonts w:ascii="Helvetica" w:hAnsi="Helvetica"/>
          <w:sz w:val="20"/>
          <w:szCs w:val="20"/>
        </w:rPr>
        <w:t xml:space="preserve"> für KMU und MSP</w:t>
      </w:r>
    </w:p>
    <w:p w14:paraId="5C98B66A" w14:textId="77777777" w:rsidR="000773CA" w:rsidRDefault="000773CA" w:rsidP="006B5688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769A4446" w14:textId="307F14F3" w:rsidR="000773CA" w:rsidRDefault="000773CA" w:rsidP="00701A20">
      <w:pPr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Mit </w:t>
      </w:r>
      <w:r w:rsidRPr="000773CA">
        <w:rPr>
          <w:rFonts w:ascii="Helvetica" w:hAnsi="Helvetica"/>
          <w:b/>
          <w:bCs/>
          <w:sz w:val="20"/>
          <w:szCs w:val="20"/>
        </w:rPr>
        <w:t xml:space="preserve">„WatchGuard NDR </w:t>
      </w:r>
      <w:proofErr w:type="spellStart"/>
      <w:r w:rsidRPr="000773CA">
        <w:rPr>
          <w:rFonts w:ascii="Helvetica" w:hAnsi="Helvetica"/>
          <w:b/>
          <w:bCs/>
          <w:sz w:val="20"/>
          <w:szCs w:val="20"/>
        </w:rPr>
        <w:t>for</w:t>
      </w:r>
      <w:proofErr w:type="spellEnd"/>
      <w:r w:rsidRPr="000773CA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Pr="000773CA">
        <w:rPr>
          <w:rFonts w:ascii="Helvetica" w:hAnsi="Helvetica"/>
          <w:b/>
          <w:bCs/>
          <w:sz w:val="20"/>
          <w:szCs w:val="20"/>
        </w:rPr>
        <w:t>Firebox</w:t>
      </w:r>
      <w:proofErr w:type="spellEnd"/>
      <w:r w:rsidRPr="000773CA">
        <w:rPr>
          <w:rFonts w:ascii="Helvetica" w:hAnsi="Helvetica"/>
          <w:b/>
          <w:bCs/>
          <w:sz w:val="20"/>
          <w:szCs w:val="20"/>
        </w:rPr>
        <w:t>“, „</w:t>
      </w:r>
      <w:proofErr w:type="spellStart"/>
      <w:r w:rsidRPr="000773CA">
        <w:rPr>
          <w:rFonts w:ascii="Helvetica" w:hAnsi="Helvetica"/>
          <w:b/>
          <w:bCs/>
          <w:sz w:val="20"/>
          <w:szCs w:val="20"/>
        </w:rPr>
        <w:t>Managed</w:t>
      </w:r>
      <w:proofErr w:type="spellEnd"/>
      <w:r w:rsidRPr="000773CA">
        <w:rPr>
          <w:rFonts w:ascii="Helvetica" w:hAnsi="Helvetica"/>
          <w:b/>
          <w:bCs/>
          <w:sz w:val="20"/>
          <w:szCs w:val="20"/>
        </w:rPr>
        <w:t xml:space="preserve"> NDR“ und „Total NDR“ </w:t>
      </w:r>
      <w:r>
        <w:rPr>
          <w:rFonts w:ascii="Helvetica" w:hAnsi="Helvetica"/>
          <w:b/>
          <w:bCs/>
          <w:sz w:val="20"/>
          <w:szCs w:val="20"/>
        </w:rPr>
        <w:t xml:space="preserve">hat </w:t>
      </w:r>
      <w:hyperlink r:id="rId7" w:history="1">
        <w:r w:rsidRPr="000773CA">
          <w:rPr>
            <w:rStyle w:val="Hyperlink"/>
            <w:rFonts w:ascii="Helvetica" w:hAnsi="Helvetica"/>
            <w:b/>
            <w:bCs/>
            <w:sz w:val="20"/>
            <w:szCs w:val="20"/>
          </w:rPr>
          <w:t>WatchGuard Technologies</w:t>
        </w:r>
      </w:hyperlink>
      <w:r>
        <w:rPr>
          <w:rFonts w:ascii="Helvetica" w:hAnsi="Helvetica"/>
          <w:b/>
          <w:bCs/>
          <w:sz w:val="20"/>
          <w:szCs w:val="20"/>
        </w:rPr>
        <w:t xml:space="preserve"> </w:t>
      </w:r>
      <w:r w:rsidR="00C44BDE">
        <w:rPr>
          <w:rFonts w:ascii="Helvetica" w:hAnsi="Helvetica"/>
          <w:b/>
          <w:bCs/>
          <w:sz w:val="20"/>
          <w:szCs w:val="20"/>
        </w:rPr>
        <w:t xml:space="preserve">heute </w:t>
      </w:r>
      <w:r>
        <w:rPr>
          <w:rFonts w:ascii="Helvetica" w:hAnsi="Helvetica"/>
          <w:b/>
          <w:bCs/>
          <w:sz w:val="20"/>
          <w:szCs w:val="20"/>
        </w:rPr>
        <w:t xml:space="preserve">drei neue Lösungen </w:t>
      </w:r>
      <w:r w:rsidRPr="000773CA">
        <w:rPr>
          <w:rFonts w:ascii="Helvetica" w:hAnsi="Helvetica"/>
          <w:b/>
          <w:bCs/>
          <w:sz w:val="20"/>
          <w:szCs w:val="20"/>
        </w:rPr>
        <w:t xml:space="preserve">vorgestellt, </w:t>
      </w:r>
      <w:r w:rsidR="00ED3811">
        <w:rPr>
          <w:rFonts w:ascii="Helvetica" w:hAnsi="Helvetica"/>
          <w:b/>
          <w:bCs/>
          <w:sz w:val="20"/>
          <w:szCs w:val="20"/>
        </w:rPr>
        <w:t>die</w:t>
      </w:r>
      <w:r w:rsidRPr="000773CA">
        <w:rPr>
          <w:rFonts w:ascii="Helvetica" w:hAnsi="Helvetica"/>
          <w:b/>
          <w:bCs/>
          <w:sz w:val="20"/>
          <w:szCs w:val="20"/>
        </w:rPr>
        <w:t xml:space="preserve"> Unternehmen </w:t>
      </w:r>
      <w:r w:rsidR="00ED3811">
        <w:rPr>
          <w:rFonts w:ascii="Helvetica" w:hAnsi="Helvetica"/>
          <w:b/>
          <w:bCs/>
          <w:sz w:val="20"/>
          <w:szCs w:val="20"/>
        </w:rPr>
        <w:t>mit geringem</w:t>
      </w:r>
      <w:r w:rsidR="00716604">
        <w:rPr>
          <w:rFonts w:ascii="Helvetica" w:hAnsi="Helvetica"/>
          <w:b/>
          <w:bCs/>
          <w:sz w:val="20"/>
          <w:szCs w:val="20"/>
        </w:rPr>
        <w:t xml:space="preserve"> Aufwand </w:t>
      </w:r>
      <w:r w:rsidR="00ED3811">
        <w:rPr>
          <w:rFonts w:ascii="Helvetica" w:hAnsi="Helvetica"/>
          <w:b/>
          <w:bCs/>
          <w:sz w:val="20"/>
          <w:szCs w:val="20"/>
        </w:rPr>
        <w:t>den Einsatz von</w:t>
      </w:r>
      <w:r w:rsidRPr="000773CA">
        <w:rPr>
          <w:rFonts w:ascii="Helvetica" w:hAnsi="Helvetica"/>
          <w:b/>
          <w:bCs/>
          <w:sz w:val="20"/>
          <w:szCs w:val="20"/>
        </w:rPr>
        <w:t xml:space="preserve"> KI-gestützte</w:t>
      </w:r>
      <w:r w:rsidR="00ED3811">
        <w:rPr>
          <w:rFonts w:ascii="Helvetica" w:hAnsi="Helvetica"/>
          <w:b/>
          <w:bCs/>
          <w:sz w:val="20"/>
          <w:szCs w:val="20"/>
        </w:rPr>
        <w:t>r</w:t>
      </w:r>
      <w:r w:rsidRPr="000773CA">
        <w:rPr>
          <w:rFonts w:ascii="Helvetica" w:hAnsi="Helvetica"/>
          <w:b/>
          <w:bCs/>
          <w:sz w:val="20"/>
          <w:szCs w:val="20"/>
        </w:rPr>
        <w:t xml:space="preserve"> Bedrohungserkennung </w:t>
      </w:r>
      <w:r w:rsidR="00EB0759">
        <w:rPr>
          <w:rFonts w:ascii="Helvetica" w:hAnsi="Helvetica"/>
          <w:b/>
          <w:bCs/>
          <w:sz w:val="20"/>
          <w:szCs w:val="20"/>
        </w:rPr>
        <w:t xml:space="preserve">im Netzwerk </w:t>
      </w:r>
      <w:r w:rsidR="00ED3811">
        <w:rPr>
          <w:rFonts w:ascii="Helvetica" w:hAnsi="Helvetica"/>
          <w:b/>
          <w:bCs/>
          <w:sz w:val="20"/>
          <w:szCs w:val="20"/>
        </w:rPr>
        <w:t>ermöglichen</w:t>
      </w:r>
      <w:r w:rsidR="00716604">
        <w:rPr>
          <w:rFonts w:ascii="Helvetica" w:hAnsi="Helvetica"/>
          <w:b/>
          <w:bCs/>
          <w:sz w:val="20"/>
          <w:szCs w:val="20"/>
        </w:rPr>
        <w:t>. Sie sind damit in der Lage</w:t>
      </w:r>
      <w:r>
        <w:rPr>
          <w:rFonts w:ascii="Helvetica" w:hAnsi="Helvetica"/>
          <w:b/>
          <w:bCs/>
          <w:sz w:val="20"/>
          <w:szCs w:val="20"/>
        </w:rPr>
        <w:t xml:space="preserve">, </w:t>
      </w:r>
      <w:r w:rsidRPr="000773CA">
        <w:rPr>
          <w:rFonts w:ascii="Helvetica" w:hAnsi="Helvetica"/>
          <w:b/>
          <w:bCs/>
          <w:sz w:val="20"/>
          <w:szCs w:val="20"/>
        </w:rPr>
        <w:t>böswillige Aktivitäten auf</w:t>
      </w:r>
      <w:r>
        <w:rPr>
          <w:rFonts w:ascii="Helvetica" w:hAnsi="Helvetica"/>
          <w:b/>
          <w:bCs/>
          <w:sz w:val="20"/>
          <w:szCs w:val="20"/>
        </w:rPr>
        <w:t>zu</w:t>
      </w:r>
      <w:r w:rsidRPr="000773CA">
        <w:rPr>
          <w:rFonts w:ascii="Helvetica" w:hAnsi="Helvetica"/>
          <w:b/>
          <w:bCs/>
          <w:sz w:val="20"/>
          <w:szCs w:val="20"/>
        </w:rPr>
        <w:t>deck</w:t>
      </w:r>
      <w:r>
        <w:rPr>
          <w:rFonts w:ascii="Helvetica" w:hAnsi="Helvetica"/>
          <w:b/>
          <w:bCs/>
          <w:sz w:val="20"/>
          <w:szCs w:val="20"/>
        </w:rPr>
        <w:t>en</w:t>
      </w:r>
      <w:r w:rsidRPr="000773CA">
        <w:rPr>
          <w:rFonts w:ascii="Helvetica" w:hAnsi="Helvetica"/>
          <w:b/>
          <w:bCs/>
          <w:sz w:val="20"/>
          <w:szCs w:val="20"/>
        </w:rPr>
        <w:t xml:space="preserve">, </w:t>
      </w:r>
      <w:r>
        <w:rPr>
          <w:rFonts w:ascii="Helvetica" w:hAnsi="Helvetica"/>
          <w:b/>
          <w:bCs/>
          <w:sz w:val="20"/>
          <w:szCs w:val="20"/>
        </w:rPr>
        <w:t xml:space="preserve">zu </w:t>
      </w:r>
      <w:r w:rsidRPr="000773CA">
        <w:rPr>
          <w:rFonts w:ascii="Helvetica" w:hAnsi="Helvetica"/>
          <w:b/>
          <w:bCs/>
          <w:sz w:val="20"/>
          <w:szCs w:val="20"/>
        </w:rPr>
        <w:t>untersuch</w:t>
      </w:r>
      <w:r>
        <w:rPr>
          <w:rFonts w:ascii="Helvetica" w:hAnsi="Helvetica"/>
          <w:b/>
          <w:bCs/>
          <w:sz w:val="20"/>
          <w:szCs w:val="20"/>
        </w:rPr>
        <w:t>en</w:t>
      </w:r>
      <w:r w:rsidRPr="000773CA">
        <w:rPr>
          <w:rFonts w:ascii="Helvetica" w:hAnsi="Helvetica"/>
          <w:b/>
          <w:bCs/>
          <w:sz w:val="20"/>
          <w:szCs w:val="20"/>
        </w:rPr>
        <w:t xml:space="preserve"> und ein</w:t>
      </w:r>
      <w:r>
        <w:rPr>
          <w:rFonts w:ascii="Helvetica" w:hAnsi="Helvetica"/>
          <w:b/>
          <w:bCs/>
          <w:sz w:val="20"/>
          <w:szCs w:val="20"/>
        </w:rPr>
        <w:t>zu</w:t>
      </w:r>
      <w:r w:rsidRPr="000773CA">
        <w:rPr>
          <w:rFonts w:ascii="Helvetica" w:hAnsi="Helvetica"/>
          <w:b/>
          <w:bCs/>
          <w:sz w:val="20"/>
          <w:szCs w:val="20"/>
        </w:rPr>
        <w:t>dämm</w:t>
      </w:r>
      <w:r>
        <w:rPr>
          <w:rFonts w:ascii="Helvetica" w:hAnsi="Helvetica"/>
          <w:b/>
          <w:bCs/>
          <w:sz w:val="20"/>
          <w:szCs w:val="20"/>
        </w:rPr>
        <w:t>en</w:t>
      </w:r>
      <w:r w:rsidR="00716604">
        <w:rPr>
          <w:rFonts w:ascii="Helvetica" w:hAnsi="Helvetica"/>
          <w:b/>
          <w:bCs/>
          <w:sz w:val="20"/>
          <w:szCs w:val="20"/>
        </w:rPr>
        <w:t xml:space="preserve"> – ganz ohne komplexe Betriebs- und Administrationsaufgaben.</w:t>
      </w:r>
      <w:r w:rsidRPr="000773CA">
        <w:rPr>
          <w:rFonts w:ascii="Helvetica" w:hAnsi="Helvetica"/>
          <w:b/>
          <w:bCs/>
          <w:sz w:val="20"/>
          <w:szCs w:val="20"/>
        </w:rPr>
        <w:t xml:space="preserve"> </w:t>
      </w:r>
      <w:r w:rsidR="00716604">
        <w:rPr>
          <w:rFonts w:ascii="Helvetica" w:hAnsi="Helvetica"/>
          <w:b/>
          <w:bCs/>
          <w:sz w:val="20"/>
          <w:szCs w:val="20"/>
        </w:rPr>
        <w:t>Mit d</w:t>
      </w:r>
      <w:r w:rsidR="00C44BDE">
        <w:rPr>
          <w:rFonts w:ascii="Helvetica" w:hAnsi="Helvetica"/>
          <w:b/>
          <w:bCs/>
          <w:sz w:val="20"/>
          <w:szCs w:val="20"/>
        </w:rPr>
        <w:t>ieser</w:t>
      </w:r>
      <w:r w:rsidRPr="000773CA">
        <w:rPr>
          <w:rFonts w:ascii="Helvetica" w:hAnsi="Helvetica"/>
          <w:b/>
          <w:bCs/>
          <w:sz w:val="20"/>
          <w:szCs w:val="20"/>
        </w:rPr>
        <w:t xml:space="preserve"> Erweiterung der </w:t>
      </w:r>
      <w:r w:rsidR="007055D3">
        <w:rPr>
          <w:rFonts w:ascii="Helvetica" w:hAnsi="Helvetica"/>
          <w:b/>
          <w:bCs/>
          <w:sz w:val="20"/>
          <w:szCs w:val="20"/>
        </w:rPr>
        <w:t>bewährten</w:t>
      </w:r>
      <w:r w:rsidRPr="000773CA">
        <w:rPr>
          <w:rFonts w:ascii="Helvetica" w:hAnsi="Helvetica"/>
          <w:b/>
          <w:bCs/>
          <w:sz w:val="20"/>
          <w:szCs w:val="20"/>
        </w:rPr>
        <w:t xml:space="preserve"> NDR-Funktionen (</w:t>
      </w:r>
      <w:hyperlink r:id="rId8" w:history="1">
        <w:r w:rsidRPr="00602EAF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Network </w:t>
        </w:r>
        <w:proofErr w:type="spellStart"/>
        <w:r w:rsidRPr="00602EAF">
          <w:rPr>
            <w:rStyle w:val="Hyperlink"/>
            <w:rFonts w:ascii="Helvetica" w:hAnsi="Helvetica"/>
            <w:b/>
            <w:bCs/>
            <w:sz w:val="20"/>
            <w:szCs w:val="20"/>
          </w:rPr>
          <w:t>Detection</w:t>
        </w:r>
        <w:proofErr w:type="spellEnd"/>
        <w:r w:rsidRPr="00602EAF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 and Response</w:t>
        </w:r>
      </w:hyperlink>
      <w:r w:rsidRPr="000773CA">
        <w:rPr>
          <w:rFonts w:ascii="Helvetica" w:hAnsi="Helvetica"/>
          <w:b/>
          <w:bCs/>
          <w:sz w:val="20"/>
          <w:szCs w:val="20"/>
        </w:rPr>
        <w:t xml:space="preserve">) </w:t>
      </w:r>
      <w:r w:rsidR="00716604">
        <w:rPr>
          <w:rFonts w:ascii="Helvetica" w:hAnsi="Helvetica"/>
          <w:b/>
          <w:bCs/>
          <w:sz w:val="20"/>
          <w:szCs w:val="20"/>
        </w:rPr>
        <w:t>können</w:t>
      </w:r>
      <w:r w:rsidRPr="000773CA">
        <w:rPr>
          <w:rFonts w:ascii="Helvetica" w:hAnsi="Helvetica"/>
          <w:b/>
          <w:bCs/>
          <w:sz w:val="20"/>
          <w:szCs w:val="20"/>
        </w:rPr>
        <w:t xml:space="preserve"> kleine und mittlere Unternehmen (KMU) sowie </w:t>
      </w:r>
      <w:proofErr w:type="spellStart"/>
      <w:r w:rsidRPr="000773CA">
        <w:rPr>
          <w:rFonts w:ascii="Helvetica" w:hAnsi="Helvetica"/>
          <w:b/>
          <w:bCs/>
          <w:sz w:val="20"/>
          <w:szCs w:val="20"/>
        </w:rPr>
        <w:t>Managed</w:t>
      </w:r>
      <w:proofErr w:type="spellEnd"/>
      <w:r w:rsidRPr="000773CA">
        <w:rPr>
          <w:rFonts w:ascii="Helvetica" w:hAnsi="Helvetica"/>
          <w:b/>
          <w:bCs/>
          <w:sz w:val="20"/>
          <w:szCs w:val="20"/>
        </w:rPr>
        <w:t xml:space="preserve"> Service Provider (MSP) kritische Sicherheitslücken im Netzwerk </w:t>
      </w:r>
      <w:r w:rsidR="00171F0B">
        <w:rPr>
          <w:rFonts w:ascii="Helvetica" w:hAnsi="Helvetica"/>
          <w:b/>
          <w:bCs/>
          <w:sz w:val="20"/>
          <w:szCs w:val="20"/>
        </w:rPr>
        <w:t>gezielt</w:t>
      </w:r>
      <w:r w:rsidR="00C44BDE">
        <w:rPr>
          <w:rFonts w:ascii="Helvetica" w:hAnsi="Helvetica"/>
          <w:b/>
          <w:bCs/>
          <w:sz w:val="20"/>
          <w:szCs w:val="20"/>
        </w:rPr>
        <w:t xml:space="preserve"> </w:t>
      </w:r>
      <w:r w:rsidRPr="000773CA">
        <w:rPr>
          <w:rFonts w:ascii="Helvetica" w:hAnsi="Helvetica"/>
          <w:b/>
          <w:bCs/>
          <w:sz w:val="20"/>
          <w:szCs w:val="20"/>
        </w:rPr>
        <w:t>schließen</w:t>
      </w:r>
      <w:r w:rsidR="00716604">
        <w:rPr>
          <w:rFonts w:ascii="Helvetica" w:hAnsi="Helvetica"/>
          <w:b/>
          <w:bCs/>
          <w:sz w:val="20"/>
          <w:szCs w:val="20"/>
        </w:rPr>
        <w:t xml:space="preserve"> und sich gegen </w:t>
      </w:r>
      <w:r w:rsidRPr="000773CA">
        <w:rPr>
          <w:rFonts w:ascii="Helvetica" w:hAnsi="Helvetica"/>
          <w:b/>
          <w:bCs/>
          <w:sz w:val="20"/>
          <w:szCs w:val="20"/>
        </w:rPr>
        <w:t xml:space="preserve">moderne Angriffe </w:t>
      </w:r>
      <w:r w:rsidR="00716604">
        <w:rPr>
          <w:rFonts w:ascii="Helvetica" w:hAnsi="Helvetica"/>
          <w:b/>
          <w:bCs/>
          <w:sz w:val="20"/>
          <w:szCs w:val="20"/>
        </w:rPr>
        <w:t>wappnen</w:t>
      </w:r>
      <w:r w:rsidRPr="000773CA">
        <w:rPr>
          <w:rFonts w:ascii="Helvetica" w:hAnsi="Helvetica"/>
          <w:b/>
          <w:bCs/>
          <w:sz w:val="20"/>
          <w:szCs w:val="20"/>
        </w:rPr>
        <w:t xml:space="preserve">.   </w:t>
      </w:r>
    </w:p>
    <w:p w14:paraId="7BDCC1E4" w14:textId="77777777" w:rsidR="00716604" w:rsidRDefault="00716604" w:rsidP="00701A20">
      <w:pPr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</w:p>
    <w:p w14:paraId="33244685" w14:textId="6E356473" w:rsidR="00716604" w:rsidRPr="00716604" w:rsidRDefault="00716604" w:rsidP="00701A20">
      <w:pPr>
        <w:spacing w:line="288" w:lineRule="auto"/>
        <w:ind w:right="850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71660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„Unternehmen sind sich bewusst, dass sie Erkennungslösungen benötigen, die über die Firewall hinausgehen, doch die Komplexität des Betriebs hat die Einführung bisher gebremst“, so Andrew Young, Chief </w:t>
      </w:r>
      <w:proofErr w:type="spellStart"/>
      <w:r w:rsidRPr="0071660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Product</w:t>
      </w:r>
      <w:proofErr w:type="spellEnd"/>
      <w:r w:rsidRPr="0071660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Officer bei WatchGuard. „Wir vereinfachen die Bereitstellung und Verwaltung fortschrittlicher </w:t>
      </w:r>
      <w:r w:rsidR="005365E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NDR-Funktionalität</w:t>
      </w:r>
      <w:r w:rsidRPr="0071660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, damit MSP und IT-Teams </w:t>
      </w:r>
      <w:r w:rsidR="005365E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diese</w:t>
      </w:r>
      <w:r w:rsidRPr="0071660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implementieren können, ohne zusätzliche Infrastruktur, Kosten oder Fachpersonal aufwenden zu müssen.“</w:t>
      </w:r>
    </w:p>
    <w:p w14:paraId="3E3AE233" w14:textId="77777777" w:rsidR="00844FC6" w:rsidRPr="00424240" w:rsidRDefault="00844FC6" w:rsidP="00701A20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6F226E91" w14:textId="44B47E07" w:rsidR="00493FFE" w:rsidRDefault="00A97F7C" w:rsidP="00701A20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Folgende Lösungen ergänzen ab sofort das WatchGuard-Portfolio:</w:t>
      </w:r>
    </w:p>
    <w:p w14:paraId="1AD3FAA8" w14:textId="77777777" w:rsidR="00064F30" w:rsidRPr="00424240" w:rsidRDefault="00064F30" w:rsidP="00701A20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0B741180" w14:textId="520D3C89" w:rsidR="005F7AA2" w:rsidRDefault="000E3B8D" w:rsidP="00701A20">
      <w:pPr>
        <w:pStyle w:val="Textkrper"/>
        <w:numPr>
          <w:ilvl w:val="0"/>
          <w:numId w:val="18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0E3B8D">
        <w:rPr>
          <w:bCs/>
          <w:color w:val="000000" w:themeColor="text1"/>
          <w:sz w:val="20"/>
          <w:szCs w:val="20"/>
        </w:rPr>
        <w:t xml:space="preserve">WatchGuard NDR </w:t>
      </w:r>
      <w:proofErr w:type="spellStart"/>
      <w:r w:rsidRPr="000E3B8D">
        <w:rPr>
          <w:bCs/>
          <w:color w:val="000000" w:themeColor="text1"/>
          <w:sz w:val="20"/>
          <w:szCs w:val="20"/>
        </w:rPr>
        <w:t>for</w:t>
      </w:r>
      <w:proofErr w:type="spellEnd"/>
      <w:r w:rsidRPr="000E3B8D">
        <w:rPr>
          <w:bCs/>
          <w:color w:val="000000" w:themeColor="text1"/>
          <w:sz w:val="20"/>
          <w:szCs w:val="20"/>
        </w:rPr>
        <w:t xml:space="preserve"> </w:t>
      </w:r>
      <w:proofErr w:type="spellStart"/>
      <w:r w:rsidRPr="000E3B8D">
        <w:rPr>
          <w:bCs/>
          <w:color w:val="000000" w:themeColor="text1"/>
          <w:sz w:val="20"/>
          <w:szCs w:val="20"/>
        </w:rPr>
        <w:t>Firebox</w:t>
      </w:r>
      <w:proofErr w:type="spellEnd"/>
      <w:r w:rsidR="005F7AA2">
        <w:rPr>
          <w:bCs/>
          <w:color w:val="000000" w:themeColor="text1"/>
          <w:sz w:val="20"/>
          <w:szCs w:val="20"/>
        </w:rPr>
        <w:t xml:space="preserve"> </w:t>
      </w:r>
      <w:r w:rsidR="005F7AA2" w:rsidRPr="005F7AA2">
        <w:rPr>
          <w:b w:val="0"/>
          <w:color w:val="000000" w:themeColor="text1"/>
          <w:sz w:val="20"/>
          <w:szCs w:val="20"/>
        </w:rPr>
        <w:t>integriert fortschrittliche Erkennung direkt in bestehende Firewall-Umgebungen, sodass keine eigenständigen Sensoren oder neue Hardware erforderlich sind. Unternehmen erhalten –</w:t>
      </w:r>
      <w:r w:rsidR="005F7AA2">
        <w:rPr>
          <w:b w:val="0"/>
          <w:color w:val="000000" w:themeColor="text1"/>
          <w:sz w:val="20"/>
          <w:szCs w:val="20"/>
        </w:rPr>
        <w:t xml:space="preserve"> </w:t>
      </w:r>
      <w:r w:rsidR="005F7AA2" w:rsidRPr="005F7AA2">
        <w:rPr>
          <w:b w:val="0"/>
          <w:color w:val="000000" w:themeColor="text1"/>
          <w:sz w:val="20"/>
          <w:szCs w:val="20"/>
        </w:rPr>
        <w:t>auf Basis der in ihren Netzwerken bereits vorhandenen Telemetriedaten –</w:t>
      </w:r>
      <w:r w:rsidR="005F7AA2">
        <w:rPr>
          <w:b w:val="0"/>
          <w:color w:val="000000" w:themeColor="text1"/>
          <w:sz w:val="20"/>
          <w:szCs w:val="20"/>
        </w:rPr>
        <w:t xml:space="preserve"> </w:t>
      </w:r>
      <w:r w:rsidR="005F7AA2" w:rsidRPr="005F7AA2">
        <w:rPr>
          <w:b w:val="0"/>
          <w:color w:val="000000" w:themeColor="text1"/>
          <w:sz w:val="20"/>
          <w:szCs w:val="20"/>
        </w:rPr>
        <w:t>umfassende Einblicke in den Datenverkehr</w:t>
      </w:r>
      <w:r w:rsidR="005F7AA2">
        <w:rPr>
          <w:b w:val="0"/>
          <w:color w:val="000000" w:themeColor="text1"/>
          <w:sz w:val="20"/>
          <w:szCs w:val="20"/>
        </w:rPr>
        <w:t xml:space="preserve">, ergänzt um gezielte </w:t>
      </w:r>
      <w:r w:rsidR="005F7AA2" w:rsidRPr="005F7AA2">
        <w:rPr>
          <w:b w:val="0"/>
          <w:color w:val="000000" w:themeColor="text1"/>
          <w:sz w:val="20"/>
          <w:szCs w:val="20"/>
        </w:rPr>
        <w:t>Verhaltensanalysen. Dank einheitliche</w:t>
      </w:r>
      <w:r w:rsidR="005F7AA2">
        <w:rPr>
          <w:b w:val="0"/>
          <w:color w:val="000000" w:themeColor="text1"/>
          <w:sz w:val="20"/>
          <w:szCs w:val="20"/>
        </w:rPr>
        <w:t>r</w:t>
      </w:r>
      <w:r w:rsidR="005F7AA2" w:rsidRPr="005F7AA2">
        <w:rPr>
          <w:b w:val="0"/>
          <w:color w:val="000000" w:themeColor="text1"/>
          <w:sz w:val="20"/>
          <w:szCs w:val="20"/>
        </w:rPr>
        <w:t xml:space="preserve"> Verwaltungsoberfläche und der Integration in die WatchGuard Unified Security </w:t>
      </w:r>
      <w:proofErr w:type="spellStart"/>
      <w:r w:rsidR="005F7AA2" w:rsidRPr="005F7AA2">
        <w:rPr>
          <w:b w:val="0"/>
          <w:color w:val="000000" w:themeColor="text1"/>
          <w:sz w:val="20"/>
          <w:szCs w:val="20"/>
        </w:rPr>
        <w:t>Platform</w:t>
      </w:r>
      <w:proofErr w:type="spellEnd"/>
      <w:r w:rsidR="005F7AA2" w:rsidRPr="005F7AA2">
        <w:rPr>
          <w:b w:val="0"/>
          <w:color w:val="000000" w:themeColor="text1"/>
          <w:sz w:val="20"/>
          <w:szCs w:val="20"/>
        </w:rPr>
        <w:t xml:space="preserve"> </w:t>
      </w:r>
      <w:r w:rsidR="005F7AA2">
        <w:rPr>
          <w:b w:val="0"/>
          <w:color w:val="000000" w:themeColor="text1"/>
          <w:sz w:val="20"/>
          <w:szCs w:val="20"/>
        </w:rPr>
        <w:t xml:space="preserve">erweitert die Lösung </w:t>
      </w:r>
      <w:r w:rsidR="005F7AA2" w:rsidRPr="005F7AA2">
        <w:rPr>
          <w:b w:val="0"/>
          <w:color w:val="000000" w:themeColor="text1"/>
          <w:sz w:val="20"/>
          <w:szCs w:val="20"/>
        </w:rPr>
        <w:t xml:space="preserve">bestehende Sicherheitsabläufe </w:t>
      </w:r>
      <w:r w:rsidR="005F7AA2">
        <w:rPr>
          <w:b w:val="0"/>
          <w:color w:val="000000" w:themeColor="text1"/>
          <w:sz w:val="20"/>
          <w:szCs w:val="20"/>
        </w:rPr>
        <w:t xml:space="preserve">durch umfassende </w:t>
      </w:r>
      <w:r w:rsidR="005F7AA2" w:rsidRPr="005F7AA2">
        <w:rPr>
          <w:b w:val="0"/>
          <w:color w:val="000000" w:themeColor="text1"/>
          <w:sz w:val="20"/>
          <w:szCs w:val="20"/>
        </w:rPr>
        <w:t>Erkennung</w:t>
      </w:r>
      <w:r w:rsidR="005F7AA2">
        <w:rPr>
          <w:b w:val="0"/>
          <w:color w:val="000000" w:themeColor="text1"/>
          <w:sz w:val="20"/>
          <w:szCs w:val="20"/>
        </w:rPr>
        <w:t>, ohne zusätzlichen Aufwand.</w:t>
      </w:r>
    </w:p>
    <w:p w14:paraId="463228BE" w14:textId="77777777" w:rsidR="005F7AA2" w:rsidRDefault="005F7AA2" w:rsidP="00701A20">
      <w:pPr>
        <w:pStyle w:val="Textkrper"/>
        <w:spacing w:line="288" w:lineRule="auto"/>
        <w:ind w:left="720" w:right="850"/>
        <w:rPr>
          <w:b w:val="0"/>
          <w:color w:val="000000" w:themeColor="text1"/>
          <w:sz w:val="20"/>
          <w:szCs w:val="20"/>
        </w:rPr>
      </w:pPr>
    </w:p>
    <w:p w14:paraId="39FAC4E8" w14:textId="60D822AB" w:rsidR="005F7AA2" w:rsidRDefault="005F7AA2" w:rsidP="00701A20">
      <w:pPr>
        <w:pStyle w:val="Textkrper"/>
        <w:numPr>
          <w:ilvl w:val="0"/>
          <w:numId w:val="18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 xml:space="preserve">WatchGuard </w:t>
      </w:r>
      <w:proofErr w:type="spellStart"/>
      <w:r>
        <w:rPr>
          <w:bCs/>
          <w:color w:val="000000" w:themeColor="text1"/>
          <w:sz w:val="20"/>
          <w:szCs w:val="20"/>
        </w:rPr>
        <w:t>Managed</w:t>
      </w:r>
      <w:proofErr w:type="spellEnd"/>
      <w:r>
        <w:rPr>
          <w:bCs/>
          <w:color w:val="000000" w:themeColor="text1"/>
          <w:sz w:val="20"/>
          <w:szCs w:val="20"/>
        </w:rPr>
        <w:t xml:space="preserve"> NDR </w:t>
      </w:r>
      <w:r w:rsidRPr="005F7AA2">
        <w:rPr>
          <w:b w:val="0"/>
          <w:color w:val="000000" w:themeColor="text1"/>
          <w:sz w:val="20"/>
          <w:szCs w:val="20"/>
        </w:rPr>
        <w:t xml:space="preserve">richtet </w:t>
      </w:r>
      <w:r>
        <w:rPr>
          <w:b w:val="0"/>
          <w:color w:val="000000" w:themeColor="text1"/>
          <w:sz w:val="20"/>
          <w:szCs w:val="20"/>
        </w:rPr>
        <w:t xml:space="preserve">sich insbesondere an Unternehmen </w:t>
      </w:r>
      <w:r w:rsidRPr="005F7AA2">
        <w:rPr>
          <w:b w:val="0"/>
          <w:color w:val="000000" w:themeColor="text1"/>
          <w:sz w:val="20"/>
          <w:szCs w:val="20"/>
        </w:rPr>
        <w:t>ohne eigenes Sicherheitsteam</w:t>
      </w:r>
      <w:r>
        <w:rPr>
          <w:b w:val="0"/>
          <w:color w:val="000000" w:themeColor="text1"/>
          <w:sz w:val="20"/>
          <w:szCs w:val="20"/>
        </w:rPr>
        <w:t>. Die kontinuierliche Überwachung de</w:t>
      </w:r>
      <w:r w:rsidR="00E02043">
        <w:rPr>
          <w:b w:val="0"/>
          <w:color w:val="000000" w:themeColor="text1"/>
          <w:sz w:val="20"/>
          <w:szCs w:val="20"/>
        </w:rPr>
        <w:t xml:space="preserve">s </w:t>
      </w:r>
      <w:r>
        <w:rPr>
          <w:b w:val="0"/>
          <w:color w:val="000000" w:themeColor="text1"/>
          <w:sz w:val="20"/>
          <w:szCs w:val="20"/>
        </w:rPr>
        <w:t xml:space="preserve">Netzwerkverkehrs und </w:t>
      </w:r>
      <w:r w:rsidR="00E02043">
        <w:rPr>
          <w:b w:val="0"/>
          <w:color w:val="000000" w:themeColor="text1"/>
          <w:sz w:val="20"/>
          <w:szCs w:val="20"/>
        </w:rPr>
        <w:t xml:space="preserve">dessen </w:t>
      </w:r>
      <w:r>
        <w:rPr>
          <w:b w:val="0"/>
          <w:color w:val="000000" w:themeColor="text1"/>
          <w:sz w:val="20"/>
          <w:szCs w:val="20"/>
        </w:rPr>
        <w:t xml:space="preserve">Analyse </w:t>
      </w:r>
      <w:r w:rsidR="00E02043">
        <w:rPr>
          <w:b w:val="0"/>
          <w:color w:val="000000" w:themeColor="text1"/>
          <w:sz w:val="20"/>
          <w:szCs w:val="20"/>
        </w:rPr>
        <w:t xml:space="preserve">übernimmt das </w:t>
      </w:r>
      <w:r w:rsidRPr="005F7AA2">
        <w:rPr>
          <w:b w:val="0"/>
          <w:color w:val="000000" w:themeColor="text1"/>
          <w:sz w:val="20"/>
          <w:szCs w:val="20"/>
        </w:rPr>
        <w:t xml:space="preserve">WatchGuard Security </w:t>
      </w:r>
      <w:proofErr w:type="spellStart"/>
      <w:r w:rsidRPr="005F7AA2">
        <w:rPr>
          <w:b w:val="0"/>
          <w:color w:val="000000" w:themeColor="text1"/>
          <w:sz w:val="20"/>
          <w:szCs w:val="20"/>
        </w:rPr>
        <w:t>Operations</w:t>
      </w:r>
      <w:proofErr w:type="spellEnd"/>
      <w:r w:rsidRPr="005F7AA2">
        <w:rPr>
          <w:b w:val="0"/>
          <w:color w:val="000000" w:themeColor="text1"/>
          <w:sz w:val="20"/>
          <w:szCs w:val="20"/>
        </w:rPr>
        <w:t xml:space="preserve"> Center (SOC)</w:t>
      </w:r>
      <w:r w:rsidR="00E02043">
        <w:rPr>
          <w:b w:val="0"/>
          <w:color w:val="000000" w:themeColor="text1"/>
          <w:sz w:val="20"/>
          <w:szCs w:val="20"/>
        </w:rPr>
        <w:t xml:space="preserve">. Dieses unterstützt im Ernstfall auch bei der Reaktion und </w:t>
      </w:r>
      <w:r w:rsidR="00B9602B">
        <w:rPr>
          <w:b w:val="0"/>
          <w:color w:val="000000" w:themeColor="text1"/>
          <w:sz w:val="20"/>
          <w:szCs w:val="20"/>
        </w:rPr>
        <w:t>gibt Handlungsempfehlungen</w:t>
      </w:r>
      <w:r w:rsidR="00E02043">
        <w:rPr>
          <w:b w:val="0"/>
          <w:color w:val="000000" w:themeColor="text1"/>
          <w:sz w:val="20"/>
          <w:szCs w:val="20"/>
        </w:rPr>
        <w:t xml:space="preserve">. </w:t>
      </w:r>
      <w:r w:rsidRPr="005F7AA2">
        <w:rPr>
          <w:b w:val="0"/>
          <w:color w:val="000000" w:themeColor="text1"/>
          <w:sz w:val="20"/>
          <w:szCs w:val="20"/>
        </w:rPr>
        <w:t>So können MSP und KMU fortschrittliche Erkennungsfunktionen nutzen, ohne ein internes SOC aufbauen oder mit Personal ausstatten zu müssen.</w:t>
      </w:r>
    </w:p>
    <w:p w14:paraId="029F0854" w14:textId="77777777" w:rsidR="0042156E" w:rsidRDefault="0042156E" w:rsidP="00701A20">
      <w:pPr>
        <w:pStyle w:val="Listenabsatz"/>
        <w:ind w:right="850"/>
        <w:rPr>
          <w:b/>
          <w:color w:val="000000" w:themeColor="text1"/>
          <w:sz w:val="20"/>
          <w:szCs w:val="20"/>
        </w:rPr>
      </w:pPr>
    </w:p>
    <w:p w14:paraId="29535FA5" w14:textId="7CCE706D" w:rsidR="00425CDC" w:rsidRDefault="0042156E" w:rsidP="00701A20">
      <w:pPr>
        <w:pStyle w:val="Textkrper"/>
        <w:numPr>
          <w:ilvl w:val="0"/>
          <w:numId w:val="18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42156E">
        <w:rPr>
          <w:bCs/>
          <w:color w:val="000000" w:themeColor="text1"/>
          <w:sz w:val="20"/>
          <w:szCs w:val="20"/>
        </w:rPr>
        <w:lastRenderedPageBreak/>
        <w:t>WatchGuard Total NDR</w:t>
      </w:r>
      <w:r w:rsidRPr="0042156E">
        <w:rPr>
          <w:b w:val="0"/>
          <w:color w:val="000000" w:themeColor="text1"/>
          <w:sz w:val="20"/>
          <w:szCs w:val="20"/>
        </w:rPr>
        <w:t xml:space="preserve"> </w:t>
      </w:r>
      <w:r>
        <w:rPr>
          <w:b w:val="0"/>
          <w:color w:val="000000" w:themeColor="text1"/>
          <w:sz w:val="20"/>
          <w:szCs w:val="20"/>
        </w:rPr>
        <w:t xml:space="preserve">legt die Messlatte noch ein Stück höher und maximiert den Schutz </w:t>
      </w:r>
      <w:r w:rsidRPr="0042156E">
        <w:rPr>
          <w:b w:val="0"/>
          <w:color w:val="000000" w:themeColor="text1"/>
          <w:sz w:val="20"/>
          <w:szCs w:val="20"/>
        </w:rPr>
        <w:t xml:space="preserve">durch die Integration mit </w:t>
      </w:r>
      <w:proofErr w:type="spellStart"/>
      <w:r w:rsidRPr="0042156E">
        <w:rPr>
          <w:b w:val="0"/>
          <w:color w:val="000000" w:themeColor="text1"/>
          <w:sz w:val="20"/>
          <w:szCs w:val="20"/>
        </w:rPr>
        <w:t>ThreatSync</w:t>
      </w:r>
      <w:proofErr w:type="spellEnd"/>
      <w:r w:rsidRPr="0042156E">
        <w:rPr>
          <w:b w:val="0"/>
          <w:color w:val="000000" w:themeColor="text1"/>
          <w:sz w:val="20"/>
          <w:szCs w:val="20"/>
        </w:rPr>
        <w:t xml:space="preserve"> XDR. </w:t>
      </w:r>
      <w:r w:rsidR="00602EAF">
        <w:rPr>
          <w:b w:val="0"/>
          <w:color w:val="000000" w:themeColor="text1"/>
          <w:sz w:val="20"/>
          <w:szCs w:val="20"/>
        </w:rPr>
        <w:t xml:space="preserve">Dies </w:t>
      </w:r>
      <w:r w:rsidRPr="0042156E">
        <w:rPr>
          <w:b w:val="0"/>
          <w:color w:val="000000" w:themeColor="text1"/>
          <w:sz w:val="20"/>
          <w:szCs w:val="20"/>
        </w:rPr>
        <w:t xml:space="preserve">ermöglicht die automatische IP-Sperrung </w:t>
      </w:r>
      <w:r w:rsidR="00B9602B">
        <w:rPr>
          <w:b w:val="0"/>
          <w:color w:val="000000" w:themeColor="text1"/>
          <w:sz w:val="20"/>
          <w:szCs w:val="20"/>
        </w:rPr>
        <w:t xml:space="preserve">auch </w:t>
      </w:r>
      <w:r w:rsidRPr="0042156E">
        <w:rPr>
          <w:b w:val="0"/>
          <w:color w:val="000000" w:themeColor="text1"/>
          <w:sz w:val="20"/>
          <w:szCs w:val="20"/>
        </w:rPr>
        <w:t>über Firewalls von Drittanbietern wie Fortinet, Palo Alto Networks und Check Point hinweg</w:t>
      </w:r>
      <w:r w:rsidR="005237AF">
        <w:rPr>
          <w:b w:val="0"/>
          <w:color w:val="000000" w:themeColor="text1"/>
          <w:sz w:val="20"/>
          <w:szCs w:val="20"/>
        </w:rPr>
        <w:t xml:space="preserve">. </w:t>
      </w:r>
      <w:r w:rsidR="00B9602B">
        <w:rPr>
          <w:b w:val="0"/>
          <w:color w:val="000000" w:themeColor="text1"/>
          <w:sz w:val="20"/>
          <w:szCs w:val="20"/>
        </w:rPr>
        <w:t xml:space="preserve">Die </w:t>
      </w:r>
      <w:r w:rsidR="005237AF">
        <w:rPr>
          <w:b w:val="0"/>
          <w:color w:val="000000" w:themeColor="text1"/>
          <w:sz w:val="20"/>
          <w:szCs w:val="20"/>
        </w:rPr>
        <w:t xml:space="preserve">Unterstützung verschiedener Hersteller </w:t>
      </w:r>
      <w:r w:rsidR="00B9602B">
        <w:rPr>
          <w:b w:val="0"/>
          <w:color w:val="000000" w:themeColor="text1"/>
          <w:sz w:val="20"/>
          <w:szCs w:val="20"/>
        </w:rPr>
        <w:t xml:space="preserve">ermöglicht eine </w:t>
      </w:r>
      <w:r w:rsidRPr="0042156E">
        <w:rPr>
          <w:b w:val="0"/>
          <w:color w:val="000000" w:themeColor="text1"/>
          <w:sz w:val="20"/>
          <w:szCs w:val="20"/>
        </w:rPr>
        <w:t xml:space="preserve">koordinierte Durchsetzung </w:t>
      </w:r>
      <w:r w:rsidR="005237AF">
        <w:rPr>
          <w:b w:val="0"/>
          <w:color w:val="000000" w:themeColor="text1"/>
          <w:sz w:val="20"/>
          <w:szCs w:val="20"/>
        </w:rPr>
        <w:t>von Sicherheitsregeln</w:t>
      </w:r>
      <w:r w:rsidR="00B9602B">
        <w:rPr>
          <w:b w:val="0"/>
          <w:color w:val="000000" w:themeColor="text1"/>
          <w:sz w:val="20"/>
          <w:szCs w:val="20"/>
        </w:rPr>
        <w:t>,</w:t>
      </w:r>
      <w:r w:rsidR="005237AF">
        <w:rPr>
          <w:b w:val="0"/>
          <w:color w:val="000000" w:themeColor="text1"/>
          <w:sz w:val="20"/>
          <w:szCs w:val="20"/>
        </w:rPr>
        <w:t xml:space="preserve"> selbst in heterogenen Produktlandschaften</w:t>
      </w:r>
      <w:r w:rsidR="00B9602B">
        <w:rPr>
          <w:b w:val="0"/>
          <w:color w:val="000000" w:themeColor="text1"/>
          <w:sz w:val="20"/>
          <w:szCs w:val="20"/>
        </w:rPr>
        <w:t>,</w:t>
      </w:r>
      <w:r w:rsidR="005237AF">
        <w:rPr>
          <w:b w:val="0"/>
          <w:color w:val="000000" w:themeColor="text1"/>
          <w:sz w:val="20"/>
          <w:szCs w:val="20"/>
        </w:rPr>
        <w:t xml:space="preserve"> </w:t>
      </w:r>
      <w:r w:rsidR="00B9602B">
        <w:rPr>
          <w:b w:val="0"/>
          <w:color w:val="000000" w:themeColor="text1"/>
          <w:sz w:val="20"/>
          <w:szCs w:val="20"/>
        </w:rPr>
        <w:t>und</w:t>
      </w:r>
      <w:r w:rsidR="005237AF">
        <w:rPr>
          <w:b w:val="0"/>
          <w:color w:val="000000" w:themeColor="text1"/>
          <w:sz w:val="20"/>
          <w:szCs w:val="20"/>
        </w:rPr>
        <w:t xml:space="preserve"> beschleunigt</w:t>
      </w:r>
      <w:r w:rsidR="00B9602B">
        <w:rPr>
          <w:b w:val="0"/>
          <w:color w:val="000000" w:themeColor="text1"/>
          <w:sz w:val="20"/>
          <w:szCs w:val="20"/>
        </w:rPr>
        <w:t xml:space="preserve"> gleichzeitig die</w:t>
      </w:r>
      <w:r w:rsidR="005237AF">
        <w:rPr>
          <w:b w:val="0"/>
          <w:color w:val="000000" w:themeColor="text1"/>
          <w:sz w:val="20"/>
          <w:szCs w:val="20"/>
        </w:rPr>
        <w:t xml:space="preserve"> Eindämmung potenzieller</w:t>
      </w:r>
      <w:r w:rsidRPr="0042156E">
        <w:rPr>
          <w:b w:val="0"/>
          <w:color w:val="000000" w:themeColor="text1"/>
          <w:sz w:val="20"/>
          <w:szCs w:val="20"/>
        </w:rPr>
        <w:t xml:space="preserve"> Bedrohungen.</w:t>
      </w:r>
    </w:p>
    <w:p w14:paraId="7BD8B2B8" w14:textId="77777777" w:rsidR="00425CDC" w:rsidRDefault="00425CDC" w:rsidP="00701A20">
      <w:pPr>
        <w:pStyle w:val="Textkrper"/>
        <w:spacing w:line="288" w:lineRule="auto"/>
        <w:ind w:left="360" w:right="850"/>
        <w:rPr>
          <w:bCs/>
          <w:color w:val="000000" w:themeColor="text1"/>
          <w:sz w:val="20"/>
          <w:szCs w:val="20"/>
        </w:rPr>
      </w:pPr>
    </w:p>
    <w:p w14:paraId="48E031F2" w14:textId="5917A9C4" w:rsidR="004F52EE" w:rsidRPr="00425CDC" w:rsidRDefault="004F52EE" w:rsidP="00701A20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425CDC">
        <w:rPr>
          <w:bCs/>
          <w:color w:val="000000" w:themeColor="text1"/>
          <w:sz w:val="20"/>
          <w:szCs w:val="20"/>
        </w:rPr>
        <w:t xml:space="preserve">Von der </w:t>
      </w:r>
      <w:r w:rsidR="00425CDC" w:rsidRPr="00425CDC">
        <w:rPr>
          <w:bCs/>
          <w:color w:val="000000" w:themeColor="text1"/>
          <w:sz w:val="20"/>
          <w:szCs w:val="20"/>
        </w:rPr>
        <w:t>Speziall</w:t>
      </w:r>
      <w:r w:rsidRPr="00425CDC">
        <w:rPr>
          <w:bCs/>
          <w:color w:val="000000" w:themeColor="text1"/>
          <w:sz w:val="20"/>
          <w:szCs w:val="20"/>
        </w:rPr>
        <w:t>ösung zum integralen Bestandteil der Sicherheitsarchitektur</w:t>
      </w:r>
    </w:p>
    <w:p w14:paraId="0F261B22" w14:textId="05F330CC" w:rsidR="005F7AA2" w:rsidRDefault="00AE48A7" w:rsidP="00701A20">
      <w:pPr>
        <w:spacing w:line="288" w:lineRule="auto"/>
        <w:ind w:right="850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Durch die Kombination </w:t>
      </w:r>
      <w:r w:rsidR="00E4451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von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integrierter Erkennung, </w:t>
      </w:r>
      <w:r w:rsidR="00515C99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administrativer Expertise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und automatisierte</w:t>
      </w:r>
      <w:r w:rsidR="00E4451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r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plattformübergreifende</w:t>
      </w:r>
      <w:r w:rsidR="00E4451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r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Reaktion </w:t>
      </w:r>
      <w:r w:rsidR="00E4451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entwickelt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WatchGuard die </w:t>
      </w:r>
      <w:r w:rsidR="00515C99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NDR-Mechanismen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E4451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gezielt weiter – weg 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von einer spezialisierten Funktion </w:t>
      </w:r>
      <w:r w:rsidR="00E4451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und hin zu einem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E4451D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einfach </w:t>
      </w:r>
      <w:r w:rsidR="00D63B42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zugänglichen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, skalierbaren Bestandteil moderner Sicherheitsabläufe. Angreifer nutzen regelmäßig verschlüsselten Datenverkehr, gestohlene Anmeldedaten und vertrauenswürdige Administrationstools aus, um sich innerhalb eines Netzwerks seitlich zu bewegen und unentdeckt zu bleiben. </w:t>
      </w:r>
      <w:r w:rsidR="00A649D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Im Zuge dessen hat sich 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NDR als entscheidende Ebene zur Aufdeckung schwerwiegender</w:t>
      </w:r>
      <w:r w:rsidR="009D2572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Bedrohungen erwiesen</w:t>
      </w:r>
      <w:r w:rsidR="00A649D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, </w:t>
      </w:r>
      <w:r w:rsidR="009D2572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die sich </w:t>
      </w:r>
      <w:r w:rsidR="00A649D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im legitimen Netzwerkverkehr </w:t>
      </w:r>
      <w:r w:rsidR="009D2572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verbergen</w:t>
      </w:r>
      <w:r w:rsidR="001664E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.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1664EF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och die für die Wartung älterer Lösungen erforderlichen technischen und personellen Ressourcen haben eine breite Einführung bei MSP und KMU </w:t>
      </w:r>
      <w:r w:rsidR="00425CD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bisher </w:t>
      </w:r>
      <w:r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verhindert.</w:t>
      </w:r>
    </w:p>
    <w:p w14:paraId="653A6A55" w14:textId="77777777" w:rsidR="00AE48A7" w:rsidRDefault="00AE48A7" w:rsidP="00701A20">
      <w:pPr>
        <w:spacing w:line="288" w:lineRule="auto"/>
        <w:ind w:right="850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75D36318" w14:textId="1BDEB782" w:rsidR="00AE48A7" w:rsidRDefault="001664EF" w:rsidP="00701A20">
      <w:pPr>
        <w:spacing w:line="288" w:lineRule="auto"/>
        <w:ind w:right="850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Genau diese Ebene lässt sich jetzt jedoch ohne viel Aufwand etablieren. </w:t>
      </w:r>
      <w:r w:rsidR="00AE48A7"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Die NDR-Funktionen von WatchGuard analysieren Verhaltensmuster bei Benutzern, Geräten und Verbindungen, um böswillige Absichten frühzeitig zu erkennen, die Verweildauer von Angreifern zu verkürzen und die Auswirkungen von Sicherheitsverletzungen zu begrenzen. </w:t>
      </w:r>
      <w:r w:rsidR="007177E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Die</w:t>
      </w:r>
      <w:r w:rsidR="00AE48A7"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Erweiterung </w:t>
      </w:r>
      <w:r w:rsidR="007177E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basiert auf der</w:t>
      </w:r>
      <w:r w:rsidR="00AE48A7"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bewährten</w:t>
      </w:r>
      <w:r w:rsidR="00AE48A7"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NDR-Lösung </w:t>
      </w:r>
      <w:r w:rsidR="007177E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von WatchGuard</w:t>
      </w:r>
      <w:r w:rsidR="00AE48A7"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,</w:t>
      </w:r>
      <w:r w:rsidR="007177E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die bereits mehrfach als marktführen</w:t>
      </w:r>
      <w:r w:rsidR="00D77EAB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</w:t>
      </w:r>
      <w:r w:rsidR="007177EC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ausgezeichnet wurde, beispielsweise in der </w:t>
      </w:r>
      <w:hyperlink r:id="rId9" w:history="1">
        <w:r w:rsidR="00AE48A7" w:rsidRPr="00D77EAB">
          <w:rPr>
            <w:rStyle w:val="Hyperlink"/>
            <w:rFonts w:ascii="Helvetica" w:eastAsia="SimSun" w:hAnsi="Helvetica"/>
            <w:sz w:val="20"/>
            <w:szCs w:val="20"/>
            <w:lang w:eastAsia="en-US"/>
          </w:rPr>
          <w:t>SPARK Matrix</w:t>
        </w:r>
      </w:hyperlink>
      <w:r w:rsidR="00AE48A7"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  <w:r w:rsidR="00D77EAB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für NDR. Durch die neuen </w:t>
      </w:r>
      <w:r w:rsidR="00701A2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Optionen</w:t>
      </w:r>
      <w:r w:rsidR="00D77EAB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ist NDR nun noch besser </w:t>
      </w:r>
      <w:r w:rsidR="00AE48A7"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für den täglichen Einsatz und Betrieb </w:t>
      </w:r>
      <w:r w:rsidR="00D77EAB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geeignet</w:t>
      </w:r>
      <w:r w:rsidR="00AE48A7" w:rsidRPr="00AE48A7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.</w:t>
      </w:r>
    </w:p>
    <w:p w14:paraId="202AE17B" w14:textId="77777777" w:rsidR="00AE48A7" w:rsidRDefault="00AE48A7" w:rsidP="00701A20">
      <w:pPr>
        <w:spacing w:line="288" w:lineRule="auto"/>
        <w:ind w:right="850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6140CB02" w14:textId="636AA81B" w:rsidR="00AE48A7" w:rsidRPr="00AE48A7" w:rsidRDefault="00AE48A7" w:rsidP="00701A20">
      <w:pPr>
        <w:spacing w:line="288" w:lineRule="auto"/>
        <w:ind w:right="850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Weitere Informationen zu WatchGuard NDR und dem jüngst erweiterten Funktionsumfang gibt es </w:t>
      </w:r>
      <w:hyperlink r:id="rId10" w:history="1">
        <w:r w:rsidRPr="00AE48A7">
          <w:rPr>
            <w:rStyle w:val="Hyperlink"/>
            <w:rFonts w:ascii="Helvetica" w:eastAsia="SimSun" w:hAnsi="Helvetica"/>
            <w:sz w:val="20"/>
            <w:szCs w:val="20"/>
            <w:lang w:eastAsia="en-US"/>
          </w:rPr>
          <w:t>online</w:t>
        </w:r>
      </w:hyperlink>
      <w:r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.</w:t>
      </w:r>
    </w:p>
    <w:p w14:paraId="387D8470" w14:textId="77777777" w:rsidR="00716604" w:rsidRDefault="00716604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912142B" w14:textId="77777777" w:rsidR="00716604" w:rsidRPr="00990C68" w:rsidRDefault="00716604" w:rsidP="00716604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 w:rsidRPr="00424240">
        <w:rPr>
          <w:rFonts w:eastAsia="MS Mincho"/>
          <w:sz w:val="20"/>
          <w:szCs w:val="20"/>
          <w:lang w:eastAsia="de-DE"/>
        </w:rPr>
        <w:t>Bildmaterial</w:t>
      </w:r>
    </w:p>
    <w:p w14:paraId="259CA0EC" w14:textId="77777777" w:rsidR="00716604" w:rsidRPr="00990C68" w:rsidRDefault="00716604" w:rsidP="00716604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240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</w:tblGrid>
      <w:tr w:rsidR="00716604" w:rsidRPr="00990C68" w14:paraId="1501ED03" w14:textId="77777777" w:rsidTr="00716604">
        <w:trPr>
          <w:trHeight w:val="1957"/>
        </w:trPr>
        <w:tc>
          <w:tcPr>
            <w:tcW w:w="2405" w:type="dxa"/>
          </w:tcPr>
          <w:p w14:paraId="04D63569" w14:textId="77777777" w:rsidR="00716604" w:rsidRPr="00990C68" w:rsidRDefault="00716604" w:rsidP="00C00FE9">
            <w:pPr>
              <w:pStyle w:val="Kopfzeile"/>
              <w:ind w:right="-141"/>
            </w:pPr>
          </w:p>
          <w:p w14:paraId="28CBAF0C" w14:textId="77777777" w:rsidR="00716604" w:rsidRPr="00990C68" w:rsidRDefault="00716604" w:rsidP="00C00FE9">
            <w:pPr>
              <w:pStyle w:val="Kopfzeile"/>
              <w:ind w:right="-141"/>
            </w:pPr>
            <w:r w:rsidRPr="00990C68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81D433B" wp14:editId="15A9392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1533</wp:posOffset>
                  </wp:positionV>
                  <wp:extent cx="774000" cy="961200"/>
                  <wp:effectExtent l="0" t="0" r="1270" b="4445"/>
                  <wp:wrapSquare wrapText="bothSides"/>
                  <wp:docPr id="62978480" name="Grafik 1" descr="Andrew Yo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w Yo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00" cy="96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0C68">
              <w:fldChar w:fldCharType="begin"/>
            </w:r>
            <w:r w:rsidRPr="00990C68">
              <w:instrText xml:space="preserve"> INCLUDEPICTURE "/Users/rebeccahasert/Library/Group Containers/UBF8T346G9.ms/WebArchiveCopyPasteTempFiles/com.microsoft.Word/andrew_young-sm.jpg" \* MERGEFORMATINET </w:instrText>
            </w:r>
            <w:r w:rsidRPr="00990C68">
              <w:fldChar w:fldCharType="separate"/>
            </w:r>
            <w:r w:rsidRPr="00990C68">
              <w:fldChar w:fldCharType="end"/>
            </w:r>
          </w:p>
        </w:tc>
      </w:tr>
      <w:tr w:rsidR="00716604" w:rsidRPr="00990C68" w14:paraId="3251BF2B" w14:textId="77777777" w:rsidTr="00716604">
        <w:trPr>
          <w:trHeight w:val="536"/>
        </w:trPr>
        <w:tc>
          <w:tcPr>
            <w:tcW w:w="2405" w:type="dxa"/>
          </w:tcPr>
          <w:p w14:paraId="05EE5274" w14:textId="77777777" w:rsidR="00716604" w:rsidRPr="00990C68" w:rsidRDefault="00716604" w:rsidP="00C00FE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990C68">
              <w:rPr>
                <w:rFonts w:ascii="Helvetica" w:hAnsi="Helvetica"/>
                <w:sz w:val="16"/>
                <w:szCs w:val="16"/>
              </w:rPr>
              <w:t xml:space="preserve">Andrew Young, Chief </w:t>
            </w:r>
            <w:proofErr w:type="spellStart"/>
            <w:r w:rsidRPr="00990C68">
              <w:rPr>
                <w:rFonts w:ascii="Helvetica" w:hAnsi="Helvetica"/>
                <w:sz w:val="16"/>
                <w:szCs w:val="16"/>
              </w:rPr>
              <w:t>Product</w:t>
            </w:r>
            <w:proofErr w:type="spellEnd"/>
            <w:r w:rsidRPr="00990C68">
              <w:rPr>
                <w:rFonts w:ascii="Helvetica" w:hAnsi="Helvetica"/>
                <w:sz w:val="16"/>
                <w:szCs w:val="16"/>
              </w:rPr>
              <w:t xml:space="preserve"> Officer bei WatchGuard Technologies</w:t>
            </w:r>
          </w:p>
        </w:tc>
      </w:tr>
    </w:tbl>
    <w:p w14:paraId="051FB489" w14:textId="77777777" w:rsidR="00716604" w:rsidRPr="00990C68" w:rsidRDefault="00716604" w:rsidP="00716604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2C5D8C11" w14:textId="77777777" w:rsidR="00716604" w:rsidRPr="00990C68" w:rsidRDefault="00716604" w:rsidP="00716604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1BD326AB" w14:textId="77777777" w:rsidR="00716604" w:rsidRPr="00990C68" w:rsidRDefault="00716604" w:rsidP="00716604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0E7F3455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1075BEC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25E4BAB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689BE49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D559DDB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895C243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8B04BB" w14:textId="77777777" w:rsidR="00716604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041671A" w14:textId="29101876" w:rsidR="00716604" w:rsidRPr="00990C68" w:rsidRDefault="00716604" w:rsidP="00716604">
      <w:pPr>
        <w:spacing w:line="288" w:lineRule="auto"/>
      </w:pPr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12" w:history="1">
        <w:r w:rsidRPr="00853609">
          <w:rPr>
            <w:rStyle w:val="Hyperlink"/>
            <w:rFonts w:ascii="Helvetica" w:hAnsi="Helvetica"/>
            <w:sz w:val="20"/>
            <w:szCs w:val="20"/>
          </w:rPr>
          <w:t>press-n-relations.amid-pr.com</w:t>
        </w:r>
      </w:hyperlink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 (Suchbegriff „</w:t>
      </w:r>
      <w:hyperlink r:id="rId13" w:history="1">
        <w:r w:rsidRPr="00853609">
          <w:rPr>
            <w:rStyle w:val="Hyperlink"/>
            <w:rFonts w:ascii="Helvetica" w:hAnsi="Helvetica"/>
            <w:sz w:val="20"/>
            <w:szCs w:val="20"/>
          </w:rPr>
          <w:t>WatchGuard NDR</w:t>
        </w:r>
      </w:hyperlink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hyperlink r:id="rId14" w:history="1">
        <w:r w:rsidRPr="00990C68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583735A6" w14:textId="77777777" w:rsidR="00716604" w:rsidRPr="00424240" w:rsidRDefault="00716604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396149CA" w14:textId="77777777" w:rsidR="00844FC6" w:rsidRPr="00990C68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73AB0A5" w14:textId="77777777" w:rsidR="00793933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90C68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90C6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5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1D9843E5" w14:textId="4B4C899D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>/ Nikolai Schneider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4C27EF91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/-73</w:t>
            </w:r>
          </w:p>
          <w:p w14:paraId="3A5689C6" w14:textId="16BD3056" w:rsidR="001B7B6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6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hyperlink r:id="rId17" w:history="1">
              <w:r w:rsidR="004644B5"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nis@press-n-relations.de</w:t>
              </w:r>
            </w:hyperlink>
          </w:p>
          <w:p w14:paraId="24F03AA9" w14:textId="00E93512" w:rsidR="001B7B63" w:rsidRPr="00990C68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8" w:history="1">
              <w:r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="001B7B63"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</w:p>
        </w:tc>
      </w:tr>
    </w:tbl>
    <w:p w14:paraId="2EAA44FC" w14:textId="77777777" w:rsidR="001B7B63" w:rsidRPr="00990C6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151E075" w14:textId="45619C8D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entwickelt wurden.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it seiner Unified Security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®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sorgt WatchGuard für umfassende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 und verbindet die Produkte für Netzwerksicherheit,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01FDEAB5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25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.000 Security-Reseller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über 1</w:t>
      </w:r>
      <w:r w:rsidR="006457F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5 Millionen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6977CFEE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3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4"/>
      <w:footerReference w:type="even" r:id="rId25"/>
      <w:footerReference w:type="default" r:id="rId26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71771" w14:textId="77777777" w:rsidR="004C12B1" w:rsidRDefault="004C12B1">
      <w:r>
        <w:separator/>
      </w:r>
    </w:p>
  </w:endnote>
  <w:endnote w:type="continuationSeparator" w:id="0">
    <w:p w14:paraId="3BC5279A" w14:textId="77777777" w:rsidR="004C12B1" w:rsidRDefault="004C1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2D5CB" w14:textId="77777777" w:rsidR="004C12B1" w:rsidRDefault="004C12B1">
      <w:r>
        <w:separator/>
      </w:r>
    </w:p>
  </w:footnote>
  <w:footnote w:type="continuationSeparator" w:id="0">
    <w:p w14:paraId="32E8A79D" w14:textId="77777777" w:rsidR="004C12B1" w:rsidRDefault="004C12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8"/>
  </w:num>
  <w:num w:numId="2" w16cid:durableId="236479808">
    <w:abstractNumId w:val="8"/>
  </w:num>
  <w:num w:numId="3" w16cid:durableId="263462634">
    <w:abstractNumId w:val="14"/>
  </w:num>
  <w:num w:numId="4" w16cid:durableId="1557155916">
    <w:abstractNumId w:val="13"/>
  </w:num>
  <w:num w:numId="5" w16cid:durableId="1662852035">
    <w:abstractNumId w:val="10"/>
  </w:num>
  <w:num w:numId="6" w16cid:durableId="1371341374">
    <w:abstractNumId w:val="6"/>
  </w:num>
  <w:num w:numId="7" w16cid:durableId="445347788">
    <w:abstractNumId w:val="2"/>
  </w:num>
  <w:num w:numId="8" w16cid:durableId="2057654158">
    <w:abstractNumId w:val="12"/>
  </w:num>
  <w:num w:numId="9" w16cid:durableId="1748113854">
    <w:abstractNumId w:val="11"/>
  </w:num>
  <w:num w:numId="10" w16cid:durableId="2146192462">
    <w:abstractNumId w:val="1"/>
  </w:num>
  <w:num w:numId="11" w16cid:durableId="458766763">
    <w:abstractNumId w:val="4"/>
  </w:num>
  <w:num w:numId="12" w16cid:durableId="872154263">
    <w:abstractNumId w:val="5"/>
  </w:num>
  <w:num w:numId="13" w16cid:durableId="473564952">
    <w:abstractNumId w:val="16"/>
  </w:num>
  <w:num w:numId="14" w16cid:durableId="1753576861">
    <w:abstractNumId w:val="7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9"/>
  </w:num>
  <w:num w:numId="18" w16cid:durableId="851066249">
    <w:abstractNumId w:val="15"/>
  </w:num>
  <w:num w:numId="19" w16cid:durableId="1114445951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B35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E51"/>
    <w:rsid w:val="000B1386"/>
    <w:rsid w:val="000B1A5C"/>
    <w:rsid w:val="000B1DD7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29E8"/>
    <w:rsid w:val="0010335C"/>
    <w:rsid w:val="00103607"/>
    <w:rsid w:val="001037FB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78D"/>
    <w:rsid w:val="001573F5"/>
    <w:rsid w:val="00157564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DC"/>
    <w:rsid w:val="001D7071"/>
    <w:rsid w:val="001D7114"/>
    <w:rsid w:val="001D7D9E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D9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370"/>
    <w:rsid w:val="003C0F20"/>
    <w:rsid w:val="003C1AA8"/>
    <w:rsid w:val="003C1EC2"/>
    <w:rsid w:val="003C2D0F"/>
    <w:rsid w:val="003C3144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040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5C75"/>
    <w:rsid w:val="00416514"/>
    <w:rsid w:val="0041701C"/>
    <w:rsid w:val="0041752C"/>
    <w:rsid w:val="00417618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F7F"/>
    <w:rsid w:val="0048515C"/>
    <w:rsid w:val="00485732"/>
    <w:rsid w:val="00485A2E"/>
    <w:rsid w:val="00485ACF"/>
    <w:rsid w:val="00486657"/>
    <w:rsid w:val="00486B90"/>
    <w:rsid w:val="00486D51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143F"/>
    <w:rsid w:val="004A1554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0BDA"/>
    <w:rsid w:val="004F1395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AA2"/>
    <w:rsid w:val="0060056D"/>
    <w:rsid w:val="00600D4A"/>
    <w:rsid w:val="00602EAF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93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0DF6"/>
    <w:rsid w:val="00611384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17C0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5FC"/>
    <w:rsid w:val="00733AB4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784"/>
    <w:rsid w:val="0081080F"/>
    <w:rsid w:val="008114A1"/>
    <w:rsid w:val="00811AB7"/>
    <w:rsid w:val="00814BC5"/>
    <w:rsid w:val="00814BD0"/>
    <w:rsid w:val="0081544B"/>
    <w:rsid w:val="0081652A"/>
    <w:rsid w:val="008166F1"/>
    <w:rsid w:val="00816AA4"/>
    <w:rsid w:val="00817463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4FC6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765"/>
    <w:rsid w:val="00892CEC"/>
    <w:rsid w:val="00894B2E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4F4D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C7"/>
    <w:rsid w:val="00906B71"/>
    <w:rsid w:val="00906FD9"/>
    <w:rsid w:val="009077CF"/>
    <w:rsid w:val="00907998"/>
    <w:rsid w:val="00907EA5"/>
    <w:rsid w:val="00911668"/>
    <w:rsid w:val="00911CE3"/>
    <w:rsid w:val="00911FDB"/>
    <w:rsid w:val="009126F5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6148"/>
    <w:rsid w:val="009664EB"/>
    <w:rsid w:val="009664F2"/>
    <w:rsid w:val="00966D4B"/>
    <w:rsid w:val="00966E8E"/>
    <w:rsid w:val="00967439"/>
    <w:rsid w:val="009675F1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C3"/>
    <w:rsid w:val="009A46B4"/>
    <w:rsid w:val="009A46D0"/>
    <w:rsid w:val="009A4D62"/>
    <w:rsid w:val="009A542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5D9"/>
    <w:rsid w:val="00A46AC2"/>
    <w:rsid w:val="00A46CCE"/>
    <w:rsid w:val="00A47074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9DF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3A7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C2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B7"/>
    <w:rsid w:val="00C836C7"/>
    <w:rsid w:val="00C838A5"/>
    <w:rsid w:val="00C839B2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87A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61B9"/>
    <w:rsid w:val="00D8693C"/>
    <w:rsid w:val="00D86AF0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2CE4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424"/>
    <w:rsid w:val="00E625D5"/>
    <w:rsid w:val="00E62752"/>
    <w:rsid w:val="00E63005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CFE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119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B99"/>
    <w:rsid w:val="00F71F03"/>
    <w:rsid w:val="00F7374A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total-ndr" TargetMode="External"/><Relationship Id="rId13" Type="http://schemas.openxmlformats.org/officeDocument/2006/relationships/hyperlink" Target="https://press-n-relations.amid-pr.com/AMID-PR/searchresult/searchresult.xhtml?searchString=WatchGuard+NDR&amp;searchId=4&amp;searchType=detailed" TargetMode="External"/><Relationship Id="rId18" Type="http://schemas.openxmlformats.org/officeDocument/2006/relationships/hyperlink" Target="https://press-n-relations.com" TargetMode="External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hyperlink" Target="https://www.linkedin.com/company/watchguard-technologies/" TargetMode="External"/><Relationship Id="rId7" Type="http://schemas.openxmlformats.org/officeDocument/2006/relationships/hyperlink" Target="https://www.watchguard.com/de" TargetMode="External"/><Relationship Id="rId12" Type="http://schemas.openxmlformats.org/officeDocument/2006/relationships/hyperlink" Target="https://press-n-relations.amid-pr.com/AMID-PR/de/instance/ko/Willkommen.xhtml?oid=1904" TargetMode="External"/><Relationship Id="rId17" Type="http://schemas.openxmlformats.org/officeDocument/2006/relationships/hyperlink" Target="mailto:nis@press-n-relations.de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mailto:rh@press-n-relations.de" TargetMode="External"/><Relationship Id="rId20" Type="http://schemas.openxmlformats.org/officeDocument/2006/relationships/hyperlink" Target="https://www.facebook.com/watchguardtechnologie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" TargetMode="External"/><Relationship Id="rId23" Type="http://schemas.openxmlformats.org/officeDocument/2006/relationships/hyperlink" Target="https://www.watchguard.com/wgrd-security-hub/podcast-the-443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watchguard.com/de/wgrd-partners/blog/ein-schaerferer-blick-auf-das-netzwerk-5-neue-moeglichkeiten-wie-watchguard" TargetMode="External"/><Relationship Id="rId19" Type="http://schemas.openxmlformats.org/officeDocument/2006/relationships/hyperlink" Target="https://x.com/watchguar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news/blog/watchguard-named-leader-2025-spark-matrix-ndr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yperlink" Target="https://www.watchguard.com/de/wgrd-news/blog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1104</Words>
  <Characters>6962</Characters>
  <Application>Microsoft Office Word</Application>
  <DocSecurity>0</DocSecurity>
  <Lines>58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8050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Nikolai Schneider</cp:lastModifiedBy>
  <cp:revision>37</cp:revision>
  <cp:lastPrinted>2025-10-14T10:06:00Z</cp:lastPrinted>
  <dcterms:created xsi:type="dcterms:W3CDTF">2026-03-25T06:50:00Z</dcterms:created>
  <dcterms:modified xsi:type="dcterms:W3CDTF">2026-03-26T08:46:00Z</dcterms:modified>
  <cp:category/>
</cp:coreProperties>
</file>