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52538" w14:textId="77777777" w:rsidR="00A74E72" w:rsidRDefault="00000000">
      <w:pPr>
        <w:spacing w:line="288" w:lineRule="auto"/>
        <w:outlineLvl w:val="0"/>
        <w:rPr>
          <w:rFonts w:ascii="Helvetica" w:hAnsi="Helvetica"/>
          <w:b/>
        </w:rPr>
      </w:pPr>
      <w:r>
        <w:rPr>
          <w:rFonts w:ascii="Helvetica" w:hAnsi="Helvetica"/>
          <w:b/>
        </w:rPr>
        <w:t>PRESSEINFORMATION</w:t>
      </w:r>
    </w:p>
    <w:p w14:paraId="1481A79E" w14:textId="77777777" w:rsidR="00A74E72" w:rsidRDefault="00A74E72">
      <w:pPr>
        <w:spacing w:line="288" w:lineRule="auto"/>
        <w:rPr>
          <w:rFonts w:ascii="Helvetica" w:hAnsi="Helvetica"/>
          <w:b/>
        </w:rPr>
      </w:pPr>
    </w:p>
    <w:p w14:paraId="4D081CCF" w14:textId="77777777" w:rsidR="00A74E72" w:rsidRDefault="00000000">
      <w:pPr>
        <w:spacing w:line="288" w:lineRule="auto"/>
        <w:rPr>
          <w:rFonts w:ascii="Helvetica" w:hAnsi="Helvetica"/>
          <w:sz w:val="20"/>
          <w:szCs w:val="20"/>
        </w:rPr>
      </w:pPr>
      <w:r>
        <w:rPr>
          <w:rFonts w:ascii="Helvetica" w:hAnsi="Helvetica"/>
          <w:sz w:val="20"/>
          <w:szCs w:val="20"/>
        </w:rPr>
        <w:t>Duisburg, 24. Februar 2026</w:t>
      </w:r>
    </w:p>
    <w:p w14:paraId="4B4604D2" w14:textId="77777777" w:rsidR="00A74E72" w:rsidRDefault="00A74E72">
      <w:pPr>
        <w:pStyle w:val="Textkrper"/>
        <w:spacing w:line="288" w:lineRule="auto"/>
        <w:ind w:right="1559"/>
        <w:rPr>
          <w:bCs/>
          <w:sz w:val="28"/>
          <w:szCs w:val="28"/>
        </w:rPr>
      </w:pPr>
    </w:p>
    <w:p w14:paraId="5833BB0A" w14:textId="53FEB9D5" w:rsidR="00A74E72" w:rsidRDefault="00000000">
      <w:pPr>
        <w:spacing w:line="288" w:lineRule="auto"/>
        <w:ind w:right="1134"/>
        <w:rPr>
          <w:rFonts w:ascii="Helvetica" w:eastAsia="SimSun" w:hAnsi="Helvetica"/>
          <w:b/>
          <w:sz w:val="28"/>
          <w:szCs w:val="28"/>
          <w:lang w:eastAsia="en-US"/>
        </w:rPr>
      </w:pPr>
      <w:r>
        <w:rPr>
          <w:rFonts w:ascii="Helvetica" w:eastAsia="SimSun" w:hAnsi="Helvetica"/>
          <w:b/>
          <w:sz w:val="28"/>
          <w:szCs w:val="28"/>
          <w:lang w:eastAsia="en-US"/>
        </w:rPr>
        <w:t xml:space="preserve">Drei Jahrzehnte WatchGuard: </w:t>
      </w:r>
      <w:r w:rsidR="00083D65">
        <w:rPr>
          <w:rFonts w:ascii="Helvetica" w:eastAsia="SimSun" w:hAnsi="Helvetica"/>
          <w:b/>
          <w:sz w:val="28"/>
          <w:szCs w:val="28"/>
          <w:lang w:eastAsia="en-US"/>
        </w:rPr>
        <w:t>verlässliche</w:t>
      </w:r>
      <w:r>
        <w:rPr>
          <w:rFonts w:ascii="Helvetica" w:eastAsia="SimSun" w:hAnsi="Helvetica"/>
          <w:b/>
          <w:sz w:val="28"/>
          <w:szCs w:val="28"/>
          <w:lang w:eastAsia="en-US"/>
        </w:rPr>
        <w:t xml:space="preserve"> Sicherheit auf ganzer Linie</w:t>
      </w:r>
    </w:p>
    <w:p w14:paraId="539B44CD" w14:textId="77777777" w:rsidR="00A74E72" w:rsidRDefault="00000000">
      <w:pPr>
        <w:spacing w:line="288" w:lineRule="auto"/>
        <w:ind w:right="992"/>
        <w:rPr>
          <w:rFonts w:ascii="Helvetica" w:hAnsi="Helvetica"/>
          <w:sz w:val="20"/>
          <w:szCs w:val="20"/>
        </w:rPr>
      </w:pPr>
      <w:r>
        <w:rPr>
          <w:rFonts w:ascii="Helvetica" w:hAnsi="Helvetica"/>
          <w:sz w:val="20"/>
          <w:szCs w:val="20"/>
        </w:rPr>
        <w:t xml:space="preserve">Als einer der führenden Anbieter im Bereich Cybersicherheit hilft WatchGuard Partnern, IT-Komplexität zu reduzieren, Schutz zu skalieren und nachhaltig zu wachsen. </w:t>
      </w:r>
    </w:p>
    <w:p w14:paraId="06AB41F8" w14:textId="77777777" w:rsidR="00A74E72" w:rsidRDefault="00A74E72">
      <w:pPr>
        <w:spacing w:line="288" w:lineRule="auto"/>
        <w:ind w:right="1134"/>
        <w:rPr>
          <w:rFonts w:ascii="Helvetica" w:hAnsi="Helvetica"/>
          <w:b/>
          <w:bCs/>
          <w:sz w:val="20"/>
          <w:szCs w:val="20"/>
        </w:rPr>
      </w:pPr>
    </w:p>
    <w:p w14:paraId="730E843C" w14:textId="32ECF873" w:rsidR="00A74E72" w:rsidRDefault="00972440">
      <w:pPr>
        <w:pStyle w:val="Textkrper"/>
        <w:spacing w:line="288" w:lineRule="auto"/>
        <w:ind w:right="1134"/>
        <w:rPr>
          <w:rFonts w:eastAsia="Times New Roman"/>
          <w:bCs/>
          <w:sz w:val="20"/>
          <w:szCs w:val="20"/>
          <w:lang w:eastAsia="de-DE"/>
        </w:rPr>
      </w:pPr>
      <w:hyperlink r:id="rId6" w:history="1">
        <w:r w:rsidRPr="00972440">
          <w:rPr>
            <w:rStyle w:val="Hyperlink"/>
            <w:rFonts w:eastAsia="Times New Roman"/>
            <w:bCs/>
            <w:sz w:val="20"/>
            <w:szCs w:val="20"/>
            <w:lang w:eastAsia="de-DE"/>
          </w:rPr>
          <w:t>WatchGuard Technologies</w:t>
        </w:r>
      </w:hyperlink>
      <w:r>
        <w:rPr>
          <w:rFonts w:eastAsia="Times New Roman"/>
          <w:bCs/>
          <w:sz w:val="20"/>
          <w:szCs w:val="20"/>
          <w:lang w:eastAsia="de-DE"/>
        </w:rPr>
        <w:t xml:space="preserve"> feiert 30 Jahre Unternehmensgeschichte. Seit jeher steht d</w:t>
      </w:r>
      <w:r w:rsidR="001F75A1">
        <w:rPr>
          <w:rFonts w:eastAsia="Times New Roman"/>
          <w:bCs/>
          <w:sz w:val="20"/>
          <w:szCs w:val="20"/>
          <w:lang w:eastAsia="de-DE"/>
        </w:rPr>
        <w:t xml:space="preserve">er </w:t>
      </w:r>
      <w:r w:rsidR="00545EED">
        <w:rPr>
          <w:rFonts w:eastAsia="Times New Roman"/>
          <w:bCs/>
          <w:sz w:val="20"/>
          <w:szCs w:val="20"/>
          <w:lang w:eastAsia="de-DE"/>
        </w:rPr>
        <w:t>Spezialist für IT-Security</w:t>
      </w:r>
      <w:r w:rsidR="001F75A1">
        <w:rPr>
          <w:rFonts w:eastAsia="Times New Roman"/>
          <w:bCs/>
          <w:sz w:val="20"/>
          <w:szCs w:val="20"/>
          <w:lang w:eastAsia="de-DE"/>
        </w:rPr>
        <w:t xml:space="preserve"> Partnern und Unternehmen </w:t>
      </w:r>
      <w:r>
        <w:rPr>
          <w:rFonts w:eastAsia="Times New Roman"/>
          <w:bCs/>
          <w:sz w:val="20"/>
          <w:szCs w:val="20"/>
          <w:lang w:eastAsia="de-DE"/>
        </w:rPr>
        <w:t>zur Seite und bietet Schutz über jegliche Veränderung der Bedrohungslandschaft hinweg. In einer Branche, die von Innovation und stetigem Wettbewerb geprägt ist, hat sich WatchGuard einen seltenen Ruf erarbeitet: Durchhaltevermögen, das sich durch echte Sicherheit für die reale Welt auszahlt.</w:t>
      </w:r>
    </w:p>
    <w:p w14:paraId="0EF3D408" w14:textId="77777777" w:rsidR="00A74E72" w:rsidRDefault="00A74E72">
      <w:pPr>
        <w:pStyle w:val="Textkrper"/>
        <w:spacing w:line="288" w:lineRule="auto"/>
        <w:ind w:right="1134"/>
        <w:rPr>
          <w:b w:val="0"/>
          <w:color w:val="000000" w:themeColor="text1"/>
          <w:sz w:val="20"/>
          <w:szCs w:val="20"/>
        </w:rPr>
      </w:pPr>
    </w:p>
    <w:p w14:paraId="3B19EF7A" w14:textId="3524D7B2" w:rsidR="00A74E72" w:rsidRDefault="00000000">
      <w:pPr>
        <w:pStyle w:val="Textkrper"/>
        <w:spacing w:line="288" w:lineRule="auto"/>
        <w:ind w:right="1134"/>
        <w:rPr>
          <w:b w:val="0"/>
          <w:color w:val="000000" w:themeColor="text1"/>
          <w:sz w:val="20"/>
          <w:szCs w:val="20"/>
        </w:rPr>
      </w:pPr>
      <w:r>
        <w:rPr>
          <w:b w:val="0"/>
          <w:color w:val="000000" w:themeColor="text1"/>
          <w:sz w:val="20"/>
          <w:szCs w:val="20"/>
        </w:rPr>
        <w:t>„Seit 30 Jahren haben wir uns das Vertrauen im Markt erarbeitet: indem wir Sicherheit auf Enterprise-Niveau bieten, uns schnell anpassen und immer zur Stelle sind, wenn man uns braucht“, sagt Joe Smolarski, CEO von WatchGuard Technologies. „Unser Ziel ist klar: optimalen Schutz liefern, Abläufe durch Automatisierung und weniger Störsignale vereinfachen und Partnern dabei helfen, ihr Sicherheitsgeschäft gewinnbringend zu erweitern. Langlebigkeit allein reicht nicht – entscheidend ist es, Fahrt aufzunehmen. Indem wir mit unseren Partnern und nicht neben ihnen arbeiten, können sie ihre Kunden unabhängig von Veränderungen in der Bedrohungslandschaft schützen.“</w:t>
      </w:r>
    </w:p>
    <w:p w14:paraId="6D04FA7A" w14:textId="77777777" w:rsidR="00A74E72" w:rsidRDefault="00A74E72">
      <w:pPr>
        <w:pStyle w:val="Textkrper"/>
        <w:spacing w:line="288" w:lineRule="auto"/>
        <w:ind w:right="1134"/>
        <w:rPr>
          <w:b w:val="0"/>
          <w:color w:val="000000" w:themeColor="text1"/>
          <w:sz w:val="20"/>
          <w:szCs w:val="20"/>
        </w:rPr>
      </w:pPr>
    </w:p>
    <w:p w14:paraId="730A0E62" w14:textId="77777777" w:rsidR="00A74E72" w:rsidRDefault="00000000">
      <w:pPr>
        <w:pStyle w:val="Textkrper"/>
        <w:spacing w:line="288" w:lineRule="auto"/>
        <w:ind w:right="1134"/>
        <w:rPr>
          <w:bCs/>
          <w:color w:val="000000" w:themeColor="text1"/>
          <w:sz w:val="20"/>
          <w:szCs w:val="20"/>
        </w:rPr>
      </w:pPr>
      <w:r>
        <w:rPr>
          <w:bCs/>
          <w:color w:val="000000" w:themeColor="text1"/>
          <w:sz w:val="20"/>
          <w:szCs w:val="20"/>
        </w:rPr>
        <w:t>Mit MSP für MSP entwickelt</w:t>
      </w:r>
    </w:p>
    <w:p w14:paraId="7688F921" w14:textId="775A5075" w:rsidR="00A74E72" w:rsidRDefault="00000000">
      <w:pPr>
        <w:pStyle w:val="Textkrper"/>
        <w:spacing w:line="288" w:lineRule="auto"/>
        <w:ind w:right="1134"/>
        <w:rPr>
          <w:b w:val="0"/>
          <w:color w:val="000000" w:themeColor="text1"/>
          <w:sz w:val="20"/>
          <w:szCs w:val="20"/>
        </w:rPr>
      </w:pPr>
      <w:r>
        <w:rPr>
          <w:b w:val="0"/>
          <w:color w:val="000000" w:themeColor="text1"/>
          <w:sz w:val="20"/>
          <w:szCs w:val="20"/>
        </w:rPr>
        <w:t>WatchGuard fokussierte sich nicht erst auf Managed Service Provider (MSP), als der Channel an Bedeutung gewann. Das Unternehmen ist mit seinen Partnern gewachsen, während deren Geschäftsmodelle sich von einfacher IT-Unterstützung zu umfassenden Sicherheitsservices entwickelten. Diese Erfahrung prägt bis heute jede Entscheidung: partnerorientierte Produkte, Programme für profitables Wachstum und langfristige Beziehungen, die auch Marktschwankungen überstehen. In 30 Jahren hat WatchGuard so über 50.000 Cybersecurity-Provider unterstützt. Heute schützt das Unternehmen mehr als 1,5 Millionen Kunden weltweit, sichert Millionen Endpunkte rund um den Globus und ermöglicht es Partnern, verlässliche Sicherheitsservices anzubieten.</w:t>
      </w:r>
    </w:p>
    <w:p w14:paraId="7FCA5069" w14:textId="77777777" w:rsidR="00A74E72" w:rsidRDefault="00A74E72">
      <w:pPr>
        <w:pStyle w:val="Textkrper"/>
        <w:spacing w:line="288" w:lineRule="auto"/>
        <w:ind w:left="720" w:right="1134"/>
        <w:rPr>
          <w:b w:val="0"/>
          <w:color w:val="000000" w:themeColor="text1"/>
          <w:sz w:val="20"/>
          <w:szCs w:val="20"/>
        </w:rPr>
      </w:pPr>
    </w:p>
    <w:p w14:paraId="0F7BBBDE" w14:textId="65F01D82" w:rsidR="00A74E72"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„WatchGuard ist einer der wenigen Anbieter, die wirklich verstehen, wie MSP arbeiten: standardisiert, nach wiederholbaren Prozessen, die sich leicht auf unterschiedliche Kunden übertragen lassen und unter ständigem Druck, mehr mit weniger zu erreichen“, </w:t>
      </w:r>
      <w:r w:rsidRPr="009B61C4">
        <w:rPr>
          <w:b w:val="0"/>
          <w:color w:val="000000" w:themeColor="text1"/>
          <w:sz w:val="20"/>
          <w:szCs w:val="20"/>
        </w:rPr>
        <w:t xml:space="preserve">sagt </w:t>
      </w:r>
      <w:r w:rsidR="009B61C4" w:rsidRPr="009B61C4">
        <w:rPr>
          <w:b w:val="0"/>
          <w:color w:val="000000" w:themeColor="text1"/>
          <w:sz w:val="20"/>
          <w:szCs w:val="20"/>
        </w:rPr>
        <w:t>Jannik Hindriks, Geschäftsführer der ICT GmbH in Salzbergen.</w:t>
      </w:r>
      <w:r>
        <w:rPr>
          <w:bCs/>
          <w:color w:val="000000" w:themeColor="text1"/>
          <w:sz w:val="20"/>
          <w:szCs w:val="20"/>
        </w:rPr>
        <w:t xml:space="preserve"> </w:t>
      </w:r>
      <w:r>
        <w:rPr>
          <w:b w:val="0"/>
          <w:color w:val="000000" w:themeColor="text1"/>
          <w:sz w:val="20"/>
          <w:szCs w:val="20"/>
        </w:rPr>
        <w:t>„WatchGuard hilft uns dabei, echten Schutz zu bieten, ohne dass wir in Komplexität ersticken. Diese Beständigkeit macht sie seit Jahren zu einem festen Bestandteil unseres Security-Stacks.“</w:t>
      </w:r>
    </w:p>
    <w:p w14:paraId="18E2E088" w14:textId="77777777" w:rsidR="00A74E72" w:rsidRDefault="00A74E72">
      <w:pPr>
        <w:pStyle w:val="Textkrper"/>
        <w:spacing w:line="288" w:lineRule="auto"/>
        <w:ind w:right="1134"/>
        <w:rPr>
          <w:b w:val="0"/>
          <w:color w:val="000000" w:themeColor="text1"/>
          <w:sz w:val="20"/>
          <w:szCs w:val="20"/>
        </w:rPr>
      </w:pPr>
    </w:p>
    <w:p w14:paraId="52CC93AD" w14:textId="77777777" w:rsidR="00A74E72" w:rsidRDefault="00000000">
      <w:pPr>
        <w:pStyle w:val="Textkrper"/>
        <w:spacing w:line="288" w:lineRule="auto"/>
        <w:ind w:right="1134"/>
        <w:rPr>
          <w:bCs/>
          <w:color w:val="000000" w:themeColor="text1"/>
          <w:sz w:val="20"/>
          <w:szCs w:val="20"/>
        </w:rPr>
      </w:pPr>
      <w:r>
        <w:rPr>
          <w:bCs/>
          <w:color w:val="000000" w:themeColor="text1"/>
          <w:sz w:val="20"/>
          <w:szCs w:val="20"/>
        </w:rPr>
        <w:lastRenderedPageBreak/>
        <w:t>Bewährte Anpassungsfähigkeit</w:t>
      </w:r>
    </w:p>
    <w:p w14:paraId="0D4A3EA0" w14:textId="77777777" w:rsidR="00A74E72" w:rsidRDefault="00000000">
      <w:pPr>
        <w:pStyle w:val="Textkrper"/>
        <w:spacing w:line="288" w:lineRule="auto"/>
        <w:ind w:right="1134"/>
        <w:rPr>
          <w:b w:val="0"/>
          <w:color w:val="000000" w:themeColor="text1"/>
          <w:sz w:val="20"/>
          <w:szCs w:val="20"/>
        </w:rPr>
      </w:pPr>
      <w:r>
        <w:rPr>
          <w:b w:val="0"/>
          <w:color w:val="000000" w:themeColor="text1"/>
          <w:sz w:val="20"/>
          <w:szCs w:val="20"/>
        </w:rPr>
        <w:t>WatchGuard entwickelte sich in den vergangenen 30 Jahren kontinuierlich mit der Bedrohungslandschaft weiter und hat in dieser Zeit Sicherheitslösungen geschaffen, die mit neuen Angriffstechniken, wechselnder Infrastruktur und steigenden Kundenanforderungen mithalten. Während andere dabei häufig dem neuesten Trend hinterherlaufen, konzentriert sich WatchGuard auf das, was Partner wirklich brauchen: Sicherheit, die sich anpasst, skalierbar ist und in der Praxis Ergebnisse liefert.</w:t>
      </w:r>
    </w:p>
    <w:p w14:paraId="74512D61" w14:textId="77777777" w:rsidR="00A74E72" w:rsidRDefault="00A74E72">
      <w:pPr>
        <w:pStyle w:val="Textkrper"/>
        <w:spacing w:line="288" w:lineRule="auto"/>
        <w:ind w:right="1134"/>
        <w:rPr>
          <w:b w:val="0"/>
          <w:color w:val="000000" w:themeColor="text1"/>
          <w:sz w:val="20"/>
          <w:szCs w:val="20"/>
        </w:rPr>
      </w:pPr>
    </w:p>
    <w:p w14:paraId="6946D759" w14:textId="31A1AD89" w:rsidR="00A74E72"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„Die Cybersicherheitsbranche ist voller Anbieter, die auf den ersten Blick stark wirken – bis sich der Markt verändert. Dann verschwinden sie, werden übernommen oder verlieren ihre Innovationskraft“, </w:t>
      </w:r>
      <w:r w:rsidRPr="009B61C4">
        <w:rPr>
          <w:b w:val="0"/>
          <w:color w:val="000000" w:themeColor="text1"/>
          <w:sz w:val="20"/>
          <w:szCs w:val="20"/>
        </w:rPr>
        <w:t xml:space="preserve">sagt </w:t>
      </w:r>
      <w:r w:rsidR="009B61C4" w:rsidRPr="009B61C4">
        <w:rPr>
          <w:b w:val="0"/>
          <w:color w:val="000000" w:themeColor="text1"/>
          <w:sz w:val="20"/>
          <w:szCs w:val="20"/>
        </w:rPr>
        <w:t>Maik Lumler, Geschäftsführer bei BOC IT-Security</w:t>
      </w:r>
      <w:r w:rsidRPr="009B61C4">
        <w:rPr>
          <w:b w:val="0"/>
          <w:color w:val="000000" w:themeColor="text1"/>
          <w:sz w:val="20"/>
          <w:szCs w:val="20"/>
        </w:rPr>
        <w:t>.</w:t>
      </w:r>
      <w:r>
        <w:rPr>
          <w:b w:val="0"/>
          <w:color w:val="000000" w:themeColor="text1"/>
          <w:sz w:val="20"/>
          <w:szCs w:val="20"/>
        </w:rPr>
        <w:t xml:space="preserve"> „Die Beständigkeit von WatchGuard misst sich nicht am Alter des Unternehmens, sondern an der Fähigkeit zur kontinuierlichen Entwicklung: über mehrere Epochen der Cybersicherheit hinweg, stets im Einklang mit den wirtschaftlichen und operativen Bedürfnissen von Partnern und Kunden.“</w:t>
      </w:r>
    </w:p>
    <w:p w14:paraId="5DC06DF0" w14:textId="77777777" w:rsidR="00A74E72" w:rsidRDefault="00A74E72">
      <w:pPr>
        <w:pStyle w:val="Textkrper"/>
        <w:spacing w:line="288" w:lineRule="auto"/>
        <w:ind w:right="1134"/>
        <w:rPr>
          <w:b w:val="0"/>
          <w:color w:val="000000" w:themeColor="text1"/>
          <w:sz w:val="20"/>
          <w:szCs w:val="20"/>
        </w:rPr>
      </w:pPr>
    </w:p>
    <w:p w14:paraId="3A466CA6" w14:textId="77777777" w:rsidR="00A74E72" w:rsidRDefault="00000000">
      <w:pPr>
        <w:pStyle w:val="Textkrper"/>
        <w:spacing w:line="288" w:lineRule="auto"/>
        <w:ind w:right="1134"/>
        <w:rPr>
          <w:bCs/>
          <w:color w:val="000000" w:themeColor="text1"/>
          <w:sz w:val="20"/>
          <w:szCs w:val="20"/>
        </w:rPr>
      </w:pPr>
      <w:r>
        <w:rPr>
          <w:bCs/>
          <w:color w:val="000000" w:themeColor="text1"/>
          <w:sz w:val="20"/>
          <w:szCs w:val="20"/>
        </w:rPr>
        <w:t xml:space="preserve">Immer einen Schritt voraus </w:t>
      </w:r>
    </w:p>
    <w:p w14:paraId="3AC2FBB0" w14:textId="5F0F66A6" w:rsidR="00A74E72" w:rsidRDefault="0002115F">
      <w:pPr>
        <w:pStyle w:val="Textkrper"/>
        <w:spacing w:line="288" w:lineRule="auto"/>
        <w:ind w:right="567"/>
        <w:rPr>
          <w:b w:val="0"/>
          <w:color w:val="000000" w:themeColor="text1"/>
          <w:sz w:val="20"/>
          <w:szCs w:val="20"/>
        </w:rPr>
      </w:pPr>
      <w:hyperlink r:id="rId7" w:history="1">
        <w:r w:rsidRPr="0002115F">
          <w:rPr>
            <w:rStyle w:val="Hyperlink"/>
            <w:b w:val="0"/>
            <w:sz w:val="20"/>
            <w:szCs w:val="20"/>
          </w:rPr>
          <w:t xml:space="preserve">WatchGuards </w:t>
        </w:r>
        <w:r w:rsidR="005B1419" w:rsidRPr="0002115F">
          <w:rPr>
            <w:rStyle w:val="Hyperlink"/>
            <w:b w:val="0"/>
            <w:sz w:val="20"/>
            <w:szCs w:val="20"/>
          </w:rPr>
          <w:t>Innovationszeitstrahl</w:t>
        </w:r>
      </w:hyperlink>
      <w:r w:rsidR="005B1419">
        <w:rPr>
          <w:b w:val="0"/>
          <w:color w:val="000000" w:themeColor="text1"/>
          <w:sz w:val="20"/>
          <w:szCs w:val="20"/>
        </w:rPr>
        <w:t xml:space="preserve"> der</w:t>
      </w:r>
      <w:r>
        <w:rPr>
          <w:b w:val="0"/>
          <w:color w:val="000000" w:themeColor="text1"/>
          <w:sz w:val="20"/>
          <w:szCs w:val="20"/>
        </w:rPr>
        <w:t xml:space="preserve"> letzten drei Jahrzehnte spricht Bände. Jedes Mal, wenn sich der Markt veränderte, hat sich WatchGuard mit ihm verändert, stets im Einklang mit seinen Partnern und ohne bestehende Prozesse abrupt umzustellen. Er dokumentiert, wie WatchGuard auf entscheidende Marktveränderungen reagiert hat: auf neue Bedrohungen, neue Architekturen und neue Anforderungen an MSP. </w:t>
      </w:r>
      <w:r w:rsidR="006476CD">
        <w:rPr>
          <w:b w:val="0"/>
          <w:color w:val="000000" w:themeColor="text1"/>
          <w:sz w:val="20"/>
          <w:szCs w:val="20"/>
        </w:rPr>
        <w:t>30</w:t>
      </w:r>
      <w:r>
        <w:rPr>
          <w:b w:val="0"/>
          <w:color w:val="000000" w:themeColor="text1"/>
          <w:sz w:val="20"/>
          <w:szCs w:val="20"/>
        </w:rPr>
        <w:t xml:space="preserve"> Jahre, in denen sich gezeigt hat, dass Langlebigkeit nur dann zählt, wenn sie mit der Fähigkeit zur Veränderung einhergeht.</w:t>
      </w:r>
    </w:p>
    <w:p w14:paraId="653E718B" w14:textId="77777777" w:rsidR="00A74E72" w:rsidRDefault="00A74E72">
      <w:pPr>
        <w:pStyle w:val="Textkrper"/>
        <w:spacing w:line="288" w:lineRule="auto"/>
        <w:ind w:right="567"/>
        <w:rPr>
          <w:b w:val="0"/>
          <w:color w:val="000000" w:themeColor="text1"/>
          <w:sz w:val="20"/>
          <w:szCs w:val="20"/>
        </w:rPr>
      </w:pPr>
    </w:p>
    <w:p w14:paraId="725E972D" w14:textId="24D036B4" w:rsidR="00A74E72" w:rsidRPr="0068326F" w:rsidRDefault="00000000" w:rsidP="0068326F">
      <w:pPr>
        <w:pStyle w:val="Textkrper"/>
        <w:spacing w:line="288" w:lineRule="auto"/>
        <w:ind w:right="567"/>
        <w:rPr>
          <w:b w:val="0"/>
          <w:color w:val="000000" w:themeColor="text1"/>
          <w:sz w:val="20"/>
          <w:szCs w:val="20"/>
        </w:rPr>
      </w:pPr>
      <w:r>
        <w:rPr>
          <w:b w:val="0"/>
          <w:color w:val="000000" w:themeColor="text1"/>
          <w:sz w:val="20"/>
          <w:szCs w:val="20"/>
        </w:rPr>
        <w:t xml:space="preserve">WatchGuard bleibt auch nach 30 Jahren ein verlässlicher Partner für Managed Service Provider – mit stabilen, skalierbaren Sicherheitslösungen, die den Anforderungen eines dynamischen Marktes gerecht werden. Weitere Informationen finden Sie auf der </w:t>
      </w:r>
      <w:hyperlink r:id="rId8">
        <w:r w:rsidR="00A74E72">
          <w:rPr>
            <w:rStyle w:val="Hyperlink"/>
            <w:b w:val="0"/>
            <w:sz w:val="20"/>
            <w:szCs w:val="20"/>
          </w:rPr>
          <w:t>WatchGuard-Website</w:t>
        </w:r>
      </w:hyperlink>
      <w:r>
        <w:rPr>
          <w:b w:val="0"/>
          <w:color w:val="000000" w:themeColor="text1"/>
          <w:sz w:val="20"/>
          <w:szCs w:val="20"/>
        </w:rPr>
        <w:t>.</w:t>
      </w:r>
    </w:p>
    <w:p w14:paraId="27634797" w14:textId="77777777" w:rsidR="00591490" w:rsidRDefault="00591490">
      <w:pPr>
        <w:tabs>
          <w:tab w:val="left" w:pos="3828"/>
          <w:tab w:val="left" w:pos="8364"/>
        </w:tabs>
        <w:spacing w:line="288" w:lineRule="auto"/>
        <w:ind w:right="141"/>
        <w:outlineLvl w:val="0"/>
        <w:rPr>
          <w:rFonts w:ascii="Helvetica" w:hAnsi="Helvetica"/>
          <w:b/>
          <w:color w:val="000000" w:themeColor="text1"/>
          <w:sz w:val="16"/>
          <w:szCs w:val="16"/>
        </w:rPr>
      </w:pPr>
    </w:p>
    <w:p w14:paraId="69FAEC90" w14:textId="77777777" w:rsidR="00591490" w:rsidRDefault="00591490">
      <w:pPr>
        <w:tabs>
          <w:tab w:val="left" w:pos="3828"/>
          <w:tab w:val="left" w:pos="8364"/>
        </w:tabs>
        <w:spacing w:line="288" w:lineRule="auto"/>
        <w:ind w:right="141"/>
        <w:outlineLvl w:val="0"/>
        <w:rPr>
          <w:rFonts w:ascii="Helvetica" w:hAnsi="Helvetica"/>
          <w:b/>
          <w:color w:val="000000" w:themeColor="text1"/>
          <w:sz w:val="16"/>
          <w:szCs w:val="16"/>
        </w:rPr>
      </w:pPr>
    </w:p>
    <w:p w14:paraId="488E74C1"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5EAB49B2"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18FD2BCD"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0BE57558"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p w14:paraId="563CAA04" w14:textId="77777777" w:rsidR="0068326F" w:rsidRDefault="0068326F">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Layout w:type="fixed"/>
        <w:tblCellMar>
          <w:left w:w="70" w:type="dxa"/>
          <w:right w:w="70" w:type="dxa"/>
        </w:tblCellMar>
        <w:tblLook w:val="0000" w:firstRow="0" w:lastRow="0" w:firstColumn="0" w:lastColumn="0" w:noHBand="0" w:noVBand="0"/>
      </w:tblPr>
      <w:tblGrid>
        <w:gridCol w:w="4606"/>
        <w:gridCol w:w="4111"/>
      </w:tblGrid>
      <w:tr w:rsidR="00A74E72" w14:paraId="1558F899" w14:textId="77777777">
        <w:trPr>
          <w:trHeight w:val="1436"/>
        </w:trPr>
        <w:tc>
          <w:tcPr>
            <w:tcW w:w="4606" w:type="dxa"/>
          </w:tcPr>
          <w:p w14:paraId="31DA8CE4" w14:textId="77777777" w:rsidR="00A74E72" w:rsidRDefault="00000000">
            <w:pPr>
              <w:pStyle w:val="Textkrper"/>
              <w:spacing w:line="312" w:lineRule="auto"/>
              <w:ind w:right="426"/>
              <w:rPr>
                <w:bCs/>
                <w:color w:val="000000" w:themeColor="text1"/>
                <w:sz w:val="16"/>
                <w:lang w:val="en-US"/>
              </w:rPr>
            </w:pPr>
            <w:r>
              <w:rPr>
                <w:bCs/>
                <w:color w:val="000000" w:themeColor="text1"/>
                <w:sz w:val="16"/>
                <w:lang w:val="en-US"/>
              </w:rPr>
              <w:t>Kontakt:</w:t>
            </w:r>
          </w:p>
          <w:p w14:paraId="285BD4AE" w14:textId="77777777" w:rsidR="00A74E72"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WatchGuard Technologies GmbH</w:t>
            </w:r>
          </w:p>
          <w:p w14:paraId="65FAE67C" w14:textId="77777777" w:rsidR="00A74E72"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Paul Moll – Senior Field Marketing Manager Central Europe</w:t>
            </w:r>
          </w:p>
          <w:p w14:paraId="656903A1" w14:textId="77777777" w:rsidR="00A74E72" w:rsidRDefault="00000000">
            <w:pPr>
              <w:pStyle w:val="Textkrper"/>
              <w:tabs>
                <w:tab w:val="left" w:pos="7513"/>
              </w:tabs>
              <w:spacing w:line="312" w:lineRule="auto"/>
              <w:rPr>
                <w:b w:val="0"/>
                <w:color w:val="000000" w:themeColor="text1"/>
                <w:spacing w:val="-2"/>
                <w:sz w:val="16"/>
                <w:szCs w:val="16"/>
                <w:lang w:val="de-AT"/>
              </w:rPr>
            </w:pPr>
            <w:r w:rsidRPr="0042028B">
              <w:rPr>
                <w:b w:val="0"/>
                <w:color w:val="000000" w:themeColor="text1"/>
                <w:spacing w:val="-2"/>
                <w:sz w:val="16"/>
                <w:szCs w:val="16"/>
                <w:lang w:val="en-US"/>
              </w:rPr>
              <w:t>Dr. Alfred-Herrhausen-Allee 26, 47228 Duisburg</w:t>
            </w:r>
          </w:p>
          <w:p w14:paraId="08BD1680" w14:textId="77777777" w:rsidR="00A74E72"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Tel.: +49 152 31795040</w:t>
            </w:r>
          </w:p>
          <w:p w14:paraId="5914EC43" w14:textId="77777777" w:rsidR="00A74E72" w:rsidRDefault="00A74E72">
            <w:pPr>
              <w:pStyle w:val="Textkrper"/>
              <w:tabs>
                <w:tab w:val="left" w:pos="7513"/>
              </w:tabs>
              <w:spacing w:line="312" w:lineRule="auto"/>
              <w:rPr>
                <w:b w:val="0"/>
                <w:color w:val="000000" w:themeColor="text1"/>
                <w:spacing w:val="-2"/>
                <w:sz w:val="16"/>
                <w:szCs w:val="16"/>
              </w:rPr>
            </w:pPr>
            <w:hyperlink r:id="rId9">
              <w:r>
                <w:rPr>
                  <w:rStyle w:val="Hyperlink"/>
                  <w:b w:val="0"/>
                  <w:spacing w:val="-2"/>
                  <w:sz w:val="16"/>
                  <w:szCs w:val="16"/>
                </w:rPr>
                <w:t>paul.moll@watchguard.com</w:t>
              </w:r>
            </w:hyperlink>
          </w:p>
          <w:p w14:paraId="12B8B649" w14:textId="77777777" w:rsidR="00A74E72" w:rsidRDefault="00A74E72">
            <w:pPr>
              <w:pStyle w:val="Textkrper"/>
              <w:tabs>
                <w:tab w:val="left" w:pos="7513"/>
              </w:tabs>
              <w:spacing w:line="312" w:lineRule="auto"/>
              <w:rPr>
                <w:b w:val="0"/>
                <w:color w:val="000000" w:themeColor="text1"/>
                <w:spacing w:val="-2"/>
                <w:sz w:val="16"/>
                <w:szCs w:val="16"/>
              </w:rPr>
            </w:pPr>
            <w:hyperlink r:id="rId10">
              <w:r>
                <w:rPr>
                  <w:rStyle w:val="Hyperlink"/>
                  <w:b w:val="0"/>
                  <w:spacing w:val="-2"/>
                  <w:sz w:val="16"/>
                  <w:szCs w:val="16"/>
                </w:rPr>
                <w:t>https://www.watchguard.com/de</w:t>
              </w:r>
            </w:hyperlink>
          </w:p>
          <w:p w14:paraId="5335D03B" w14:textId="77777777" w:rsidR="00A74E72" w:rsidRDefault="00A74E72">
            <w:pPr>
              <w:pStyle w:val="Textkrper"/>
              <w:tabs>
                <w:tab w:val="left" w:pos="7513"/>
              </w:tabs>
              <w:spacing w:line="312" w:lineRule="auto"/>
              <w:rPr>
                <w:color w:val="000000" w:themeColor="text1"/>
              </w:rPr>
            </w:pPr>
          </w:p>
          <w:p w14:paraId="52824CBC" w14:textId="77777777" w:rsidR="00A74E72" w:rsidRDefault="00A74E72">
            <w:pPr>
              <w:pStyle w:val="Textkrper"/>
              <w:tabs>
                <w:tab w:val="left" w:pos="7513"/>
              </w:tabs>
              <w:spacing w:line="312" w:lineRule="auto"/>
              <w:rPr>
                <w:b w:val="0"/>
                <w:color w:val="000000" w:themeColor="text1"/>
                <w:sz w:val="16"/>
              </w:rPr>
            </w:pPr>
          </w:p>
        </w:tc>
        <w:tc>
          <w:tcPr>
            <w:tcW w:w="4111" w:type="dxa"/>
          </w:tcPr>
          <w:p w14:paraId="6BC6B850" w14:textId="77777777" w:rsidR="00A74E72" w:rsidRDefault="00000000">
            <w:pPr>
              <w:pStyle w:val="Textkrper"/>
              <w:tabs>
                <w:tab w:val="left" w:pos="7513"/>
              </w:tabs>
              <w:spacing w:line="312" w:lineRule="auto"/>
              <w:ind w:right="426"/>
              <w:rPr>
                <w:bCs/>
                <w:color w:val="000000" w:themeColor="text1"/>
                <w:sz w:val="16"/>
              </w:rPr>
            </w:pPr>
            <w:r>
              <w:rPr>
                <w:bCs/>
                <w:color w:val="000000" w:themeColor="text1"/>
                <w:sz w:val="16"/>
              </w:rPr>
              <w:t>Presse- und Öffentlichkeitsarbeit:</w:t>
            </w:r>
          </w:p>
          <w:p w14:paraId="4199C41B" w14:textId="77777777" w:rsidR="00A74E72" w:rsidRDefault="00000000">
            <w:pPr>
              <w:pStyle w:val="Textkrper"/>
              <w:tabs>
                <w:tab w:val="left" w:pos="7513"/>
              </w:tabs>
              <w:spacing w:line="312" w:lineRule="auto"/>
              <w:ind w:right="426"/>
              <w:rPr>
                <w:b w:val="0"/>
                <w:color w:val="000000" w:themeColor="text1"/>
                <w:spacing w:val="-2"/>
                <w:sz w:val="16"/>
                <w:szCs w:val="16"/>
              </w:rPr>
            </w:pPr>
            <w:r>
              <w:rPr>
                <w:b w:val="0"/>
                <w:color w:val="000000" w:themeColor="text1"/>
                <w:spacing w:val="-2"/>
                <w:sz w:val="16"/>
                <w:szCs w:val="16"/>
              </w:rPr>
              <w:t>Press'n'Relations GmbH</w:t>
            </w:r>
          </w:p>
          <w:p w14:paraId="430520FE" w14:textId="77777777" w:rsidR="00A74E72" w:rsidRDefault="00000000">
            <w:pPr>
              <w:pStyle w:val="Textkrper"/>
              <w:tabs>
                <w:tab w:val="left" w:pos="7513"/>
              </w:tabs>
              <w:spacing w:line="312" w:lineRule="auto"/>
              <w:ind w:right="426"/>
              <w:rPr>
                <w:b w:val="0"/>
                <w:color w:val="000000" w:themeColor="text1"/>
                <w:spacing w:val="-2"/>
                <w:sz w:val="16"/>
                <w:szCs w:val="16"/>
              </w:rPr>
            </w:pPr>
            <w:r>
              <w:rPr>
                <w:b w:val="0"/>
                <w:color w:val="000000" w:themeColor="text1"/>
                <w:spacing w:val="-2"/>
                <w:sz w:val="16"/>
                <w:szCs w:val="16"/>
              </w:rPr>
              <w:t xml:space="preserve">Rebecca Horn </w:t>
            </w:r>
          </w:p>
          <w:p w14:paraId="36CF7A4E" w14:textId="77777777" w:rsidR="00A74E72"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 89077 Ulm</w:t>
            </w:r>
          </w:p>
          <w:p w14:paraId="5093C77E" w14:textId="77777777" w:rsidR="00A74E72"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 xml:space="preserve">Tel.: +49 731 146 156-75 </w:t>
            </w:r>
          </w:p>
          <w:p w14:paraId="50591FB6" w14:textId="77777777" w:rsidR="00A74E72" w:rsidRDefault="00A74E72">
            <w:pPr>
              <w:pStyle w:val="Textkrper"/>
              <w:tabs>
                <w:tab w:val="left" w:pos="7513"/>
              </w:tabs>
              <w:spacing w:line="312" w:lineRule="auto"/>
              <w:ind w:right="425"/>
              <w:rPr>
                <w:b w:val="0"/>
                <w:color w:val="000000" w:themeColor="text1"/>
                <w:spacing w:val="-2"/>
                <w:sz w:val="16"/>
                <w:szCs w:val="16"/>
              </w:rPr>
            </w:pPr>
            <w:hyperlink r:id="rId11">
              <w:r>
                <w:rPr>
                  <w:rStyle w:val="Hyperlink"/>
                  <w:b w:val="0"/>
                  <w:spacing w:val="-2"/>
                  <w:sz w:val="16"/>
                  <w:szCs w:val="16"/>
                </w:rPr>
                <w:t>rh@press-n-relations.de</w:t>
              </w:r>
            </w:hyperlink>
            <w:r>
              <w:rPr>
                <w:b w:val="0"/>
                <w:color w:val="000000" w:themeColor="text1"/>
                <w:spacing w:val="-2"/>
                <w:sz w:val="16"/>
                <w:szCs w:val="16"/>
              </w:rPr>
              <w:t xml:space="preserve"> </w:t>
            </w:r>
          </w:p>
          <w:p w14:paraId="06227B63" w14:textId="77777777" w:rsidR="00A74E72" w:rsidRDefault="00A74E72">
            <w:pPr>
              <w:pStyle w:val="Textkrper"/>
              <w:tabs>
                <w:tab w:val="left" w:pos="7513"/>
              </w:tabs>
              <w:spacing w:line="312" w:lineRule="auto"/>
              <w:ind w:right="425"/>
              <w:rPr>
                <w:b w:val="0"/>
                <w:bCs/>
                <w:color w:val="000000" w:themeColor="text1"/>
                <w:spacing w:val="-2"/>
                <w:sz w:val="16"/>
                <w:szCs w:val="16"/>
              </w:rPr>
            </w:pPr>
            <w:hyperlink r:id="rId12">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t>Press'n'Relations Austria GmbH</w:t>
            </w:r>
            <w:r>
              <w:rPr>
                <w:b w:val="0"/>
                <w:bCs/>
                <w:color w:val="000000" w:themeColor="text1"/>
                <w:spacing w:val="-2"/>
                <w:sz w:val="16"/>
                <w:szCs w:val="16"/>
              </w:rPr>
              <w:br/>
              <w:t>Mag. Georg Dutzi</w:t>
            </w:r>
            <w:r>
              <w:rPr>
                <w:b w:val="0"/>
                <w:bCs/>
                <w:color w:val="000000" w:themeColor="text1"/>
                <w:spacing w:val="-2"/>
                <w:sz w:val="16"/>
                <w:szCs w:val="16"/>
              </w:rPr>
              <w:br/>
              <w:t>Lange Gasse 65/16, A-1080 Wien</w:t>
            </w:r>
            <w:r>
              <w:rPr>
                <w:b w:val="0"/>
                <w:bCs/>
                <w:color w:val="000000" w:themeColor="text1"/>
                <w:spacing w:val="-2"/>
                <w:sz w:val="16"/>
                <w:szCs w:val="16"/>
              </w:rPr>
              <w:br/>
              <w:t>Tel.: +43 1 907 61 48-10</w:t>
            </w:r>
            <w:r>
              <w:rPr>
                <w:b w:val="0"/>
                <w:bCs/>
                <w:color w:val="000000" w:themeColor="text1"/>
                <w:spacing w:val="-2"/>
                <w:sz w:val="16"/>
                <w:szCs w:val="16"/>
              </w:rPr>
              <w:br/>
            </w:r>
            <w:hyperlink r:id="rId13">
              <w:r>
                <w:rPr>
                  <w:rStyle w:val="Hyperlink"/>
                  <w:b w:val="0"/>
                  <w:bCs/>
                  <w:spacing w:val="-2"/>
                  <w:sz w:val="16"/>
                  <w:szCs w:val="16"/>
                </w:rPr>
                <w:t>gd@press-n-relations.at</w:t>
              </w:r>
            </w:hyperlink>
          </w:p>
          <w:p w14:paraId="73E43883" w14:textId="77777777" w:rsidR="00A74E72" w:rsidRDefault="00A74E72">
            <w:pPr>
              <w:pStyle w:val="Textkrper"/>
              <w:tabs>
                <w:tab w:val="left" w:pos="7513"/>
              </w:tabs>
              <w:spacing w:line="312" w:lineRule="auto"/>
              <w:ind w:right="425"/>
              <w:rPr>
                <w:b w:val="0"/>
                <w:bCs/>
                <w:color w:val="000000" w:themeColor="text1"/>
                <w:sz w:val="16"/>
              </w:rPr>
            </w:pPr>
            <w:hyperlink r:id="rId14">
              <w:r>
                <w:rPr>
                  <w:rStyle w:val="Hyperlink"/>
                  <w:b w:val="0"/>
                  <w:bCs/>
                  <w:spacing w:val="-2"/>
                  <w:sz w:val="16"/>
                  <w:szCs w:val="16"/>
                </w:rPr>
                <w:t>https://press-n-relations.at</w:t>
              </w:r>
            </w:hyperlink>
          </w:p>
        </w:tc>
      </w:tr>
    </w:tbl>
    <w:p w14:paraId="1145B491" w14:textId="77777777" w:rsidR="00A74E72" w:rsidRDefault="00A74E72">
      <w:pPr>
        <w:tabs>
          <w:tab w:val="left" w:pos="3828"/>
          <w:tab w:val="left" w:pos="8364"/>
        </w:tabs>
        <w:spacing w:line="288" w:lineRule="auto"/>
        <w:ind w:right="141"/>
        <w:outlineLvl w:val="0"/>
        <w:rPr>
          <w:rFonts w:ascii="Helvetica" w:hAnsi="Helvetica"/>
          <w:b/>
          <w:color w:val="000000" w:themeColor="text1"/>
          <w:sz w:val="16"/>
          <w:szCs w:val="16"/>
        </w:rPr>
      </w:pPr>
    </w:p>
    <w:p w14:paraId="3A2CCDE2" w14:textId="77777777" w:rsidR="00A74E72" w:rsidRDefault="00000000">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lastRenderedPageBreak/>
        <w:t>Über WatchGuard Technologies</w:t>
      </w:r>
    </w:p>
    <w:p w14:paraId="63E31B36" w14:textId="77777777" w:rsidR="00A74E72"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WatchGuard Technologies ist ein weltweit führender Anbieter von einheitlichen Cybersicherheitslösungen, die speziell für Managed Service Provider entwickelt wurden. Im Gegensatz zu anderen Anbietern bietet WatchGuard mit seiner Unified Security Platform® echte Sicherheit für reale Umgebungen und verbindet die Produkte für Netzwerksicherheit, Endpoint Security sowie zur Absicherung von Identitäten mit KI- und Zero-Trust-Technologien für einen starken, skalierbaren Schutz.</w:t>
      </w:r>
    </w:p>
    <w:p w14:paraId="1A97C4BB" w14:textId="77777777" w:rsidR="00A74E72" w:rsidRDefault="00A74E72">
      <w:pPr>
        <w:tabs>
          <w:tab w:val="left" w:pos="3828"/>
        </w:tabs>
        <w:spacing w:line="288" w:lineRule="auto"/>
        <w:ind w:right="567"/>
        <w:rPr>
          <w:rFonts w:ascii="Helvetica" w:hAnsi="Helvetica"/>
          <w:color w:val="000000" w:themeColor="text1"/>
          <w:spacing w:val="-2"/>
          <w:sz w:val="16"/>
          <w:szCs w:val="16"/>
        </w:rPr>
      </w:pPr>
    </w:p>
    <w:p w14:paraId="4B62F2CE" w14:textId="77777777" w:rsidR="00A74E72"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Mehr als 17.000 Security-Reseller bzw. Managed Service Provider und 250.000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2E099D82" w14:textId="77777777" w:rsidR="00A74E72" w:rsidRDefault="00A74E72">
      <w:pPr>
        <w:tabs>
          <w:tab w:val="left" w:pos="3828"/>
        </w:tabs>
        <w:spacing w:line="288" w:lineRule="auto"/>
        <w:ind w:right="567"/>
        <w:rPr>
          <w:rFonts w:ascii="Helvetica" w:hAnsi="Helvetica"/>
          <w:color w:val="000000" w:themeColor="text1"/>
          <w:spacing w:val="-2"/>
          <w:sz w:val="16"/>
          <w:szCs w:val="16"/>
        </w:rPr>
      </w:pPr>
    </w:p>
    <w:p w14:paraId="41EC4171" w14:textId="62B0FC38" w:rsidR="00A74E72" w:rsidRDefault="00000000">
      <w:pPr>
        <w:tabs>
          <w:tab w:val="left" w:pos="3828"/>
        </w:tabs>
        <w:spacing w:line="288" w:lineRule="auto"/>
        <w:ind w:right="567"/>
        <w:rPr>
          <w:rFonts w:ascii="Helvetica" w:hAnsi="Helvetica"/>
          <w:sz w:val="16"/>
          <w:szCs w:val="16"/>
        </w:rPr>
      </w:pPr>
      <w:r>
        <w:rPr>
          <w:rFonts w:ascii="Helvetica" w:hAnsi="Helvetica"/>
          <w:color w:val="000000" w:themeColor="text1"/>
          <w:spacing w:val="-2"/>
          <w:sz w:val="16"/>
          <w:szCs w:val="16"/>
        </w:rPr>
        <w:t xml:space="preserve">Aktuelle Informationen, Aktionen und Updates finden </w:t>
      </w:r>
      <w:r w:rsidR="001A5827" w:rsidRPr="00990C68">
        <w:rPr>
          <w:rFonts w:ascii="Helvetica" w:hAnsi="Helvetica"/>
          <w:color w:val="000000" w:themeColor="text1"/>
          <w:spacing w:val="-2"/>
          <w:sz w:val="16"/>
          <w:szCs w:val="16"/>
        </w:rPr>
        <w:t xml:space="preserve">Sie auch auf </w:t>
      </w:r>
      <w:hyperlink r:id="rId15" w:history="1">
        <w:r w:rsidR="001A5827" w:rsidRPr="00990C68">
          <w:rPr>
            <w:rStyle w:val="Hyperlink"/>
            <w:rFonts w:ascii="Helvetica" w:eastAsia="MS Mincho" w:hAnsi="Helvetica"/>
            <w:spacing w:val="-2"/>
            <w:sz w:val="16"/>
            <w:szCs w:val="16"/>
          </w:rPr>
          <w:t>X</w:t>
        </w:r>
      </w:hyperlink>
      <w:r w:rsidR="001A5827" w:rsidRPr="00990C68">
        <w:rPr>
          <w:rFonts w:ascii="Helvetica" w:hAnsi="Helvetica"/>
          <w:color w:val="000000" w:themeColor="text1"/>
          <w:spacing w:val="-2"/>
          <w:sz w:val="16"/>
          <w:szCs w:val="16"/>
        </w:rPr>
        <w:t xml:space="preserve">, </w:t>
      </w:r>
      <w:hyperlink r:id="rId16" w:history="1">
        <w:r w:rsidR="001A5827" w:rsidRPr="00990C68">
          <w:rPr>
            <w:rStyle w:val="Hyperlink"/>
            <w:rFonts w:ascii="Helvetica" w:eastAsia="MS Mincho" w:hAnsi="Helvetica"/>
            <w:spacing w:val="-2"/>
            <w:sz w:val="16"/>
            <w:szCs w:val="16"/>
          </w:rPr>
          <w:t>Facebook</w:t>
        </w:r>
      </w:hyperlink>
      <w:r w:rsidR="001A5827" w:rsidRPr="00990C68">
        <w:rPr>
          <w:rStyle w:val="Hyperlink"/>
          <w:rFonts w:ascii="Helvetica" w:eastAsia="MS Mincho" w:hAnsi="Helvetica"/>
          <w:spacing w:val="-2"/>
          <w:sz w:val="16"/>
          <w:szCs w:val="16"/>
        </w:rPr>
        <w:t xml:space="preserve"> </w:t>
      </w:r>
      <w:r w:rsidR="001A5827" w:rsidRPr="00990C68">
        <w:rPr>
          <w:rFonts w:ascii="Helvetica" w:hAnsi="Helvetica"/>
          <w:color w:val="000000" w:themeColor="text1"/>
          <w:spacing w:val="-2"/>
          <w:sz w:val="16"/>
          <w:szCs w:val="16"/>
        </w:rPr>
        <w:t xml:space="preserve">oder </w:t>
      </w:r>
      <w:hyperlink r:id="rId17" w:history="1">
        <w:r w:rsidR="001A5827" w:rsidRPr="00990C68">
          <w:rPr>
            <w:rStyle w:val="Hyperlink"/>
            <w:rFonts w:ascii="Helvetica" w:eastAsia="MS Mincho" w:hAnsi="Helvetica"/>
            <w:spacing w:val="-2"/>
            <w:sz w:val="16"/>
            <w:szCs w:val="16"/>
          </w:rPr>
          <w:t>LinkedIn</w:t>
        </w:r>
      </w:hyperlink>
      <w:r>
        <w:rPr>
          <w:color w:val="000000" w:themeColor="text1"/>
        </w:rPr>
        <w:t xml:space="preserve">. </w:t>
      </w:r>
      <w:r>
        <w:rPr>
          <w:rFonts w:ascii="Helvetica" w:hAnsi="Helvetica"/>
          <w:color w:val="000000" w:themeColor="text1"/>
          <w:spacing w:val="-2"/>
          <w:sz w:val="16"/>
          <w:szCs w:val="16"/>
        </w:rPr>
        <w:t xml:space="preserve">Der deutschsprachige </w:t>
      </w:r>
      <w:hyperlink r:id="rId18">
        <w:r w:rsidR="00A74E72">
          <w:rPr>
            <w:rStyle w:val="Hyperlink"/>
            <w:rFonts w:ascii="Helvetica" w:eastAsia="MS Mincho" w:hAnsi="Helvetica"/>
            <w:spacing w:val="-2"/>
            <w:sz w:val="16"/>
            <w:szCs w:val="16"/>
          </w:rPr>
          <w:t>Unternehmensblog</w:t>
        </w:r>
      </w:hyperlink>
      <w:r>
        <w:rPr>
          <w:rFonts w:ascii="Helvetica" w:hAnsi="Helvetica"/>
          <w:color w:val="000000" w:themeColor="text1"/>
          <w:spacing w:val="-2"/>
          <w:sz w:val="16"/>
          <w:szCs w:val="16"/>
        </w:rPr>
        <w:t xml:space="preserve"> beleuchtet zudem regelmäßig aktuelle Trendthemen im Umfeld von IT-Sicherheit. Reinschauen lohnt sich. Oder Sie abonnieren den „443 – Security Simplified“-Podcast über das </w:t>
      </w:r>
      <w:hyperlink r:id="rId19">
        <w:r w:rsidR="00A74E72">
          <w:rPr>
            <w:rStyle w:val="Hyperlink"/>
            <w:rFonts w:ascii="Helvetica" w:eastAsia="MS Mincho" w:hAnsi="Helvetica"/>
            <w:spacing w:val="-2"/>
            <w:sz w:val="16"/>
            <w:szCs w:val="16"/>
          </w:rPr>
          <w:t>WatchGuard Cybersecurity Hub</w:t>
        </w:r>
      </w:hyperlink>
      <w:r>
        <w:rPr>
          <w:rFonts w:ascii="Helvetica" w:hAnsi="Helvetica"/>
          <w:color w:val="000000" w:themeColor="text1"/>
          <w:spacing w:val="-2"/>
          <w:sz w:val="16"/>
          <w:szCs w:val="16"/>
        </w:rPr>
        <w:t xml:space="preserve"> bzw. wo immer Sie Ihre Lieblings-Podcasts finden.</w:t>
      </w:r>
    </w:p>
    <w:sectPr w:rsidR="00A74E72">
      <w:headerReference w:type="even" r:id="rId20"/>
      <w:headerReference w:type="default" r:id="rId21"/>
      <w:footerReference w:type="even" r:id="rId22"/>
      <w:footerReference w:type="default" r:id="rId23"/>
      <w:headerReference w:type="first" r:id="rId24"/>
      <w:footerReference w:type="first" r:id="rId25"/>
      <w:pgSz w:w="11906" w:h="16838"/>
      <w:pgMar w:top="1418" w:right="1410" w:bottom="1416"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61473" w14:textId="77777777" w:rsidR="0054323A" w:rsidRDefault="0054323A">
      <w:r>
        <w:separator/>
      </w:r>
    </w:p>
  </w:endnote>
  <w:endnote w:type="continuationSeparator" w:id="0">
    <w:p w14:paraId="163EC251" w14:textId="77777777" w:rsidR="0054323A" w:rsidRDefault="00543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1"/>
    <w:family w:val="swiss"/>
    <w:pitch w:val="variable"/>
    <w:sig w:usb0="E1000AEF" w:usb1="5000A1FF" w:usb2="00000000" w:usb3="00000000" w:csb0="000001B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729CE" w14:textId="77777777" w:rsidR="00A74E72" w:rsidRDefault="00000000">
    <w:pPr>
      <w:pStyle w:val="Fuzeile"/>
      <w:ind w:right="360"/>
    </w:pPr>
    <w:r>
      <w:rPr>
        <w:noProof/>
      </w:rPr>
      <mc:AlternateContent>
        <mc:Choice Requires="wps">
          <w:drawing>
            <wp:anchor distT="0" distB="0" distL="0" distR="0" simplePos="0" relativeHeight="251657728" behindDoc="1" locked="0" layoutInCell="0" allowOverlap="1" wp14:anchorId="08A1775E" wp14:editId="64A4146C">
              <wp:simplePos x="0" y="0"/>
              <wp:positionH relativeFrom="margin">
                <wp:align>right</wp:align>
              </wp:positionH>
              <wp:positionV relativeFrom="paragraph">
                <wp:posOffset>635</wp:posOffset>
              </wp:positionV>
              <wp:extent cx="14605" cy="14605"/>
              <wp:effectExtent l="0" t="0" r="0" b="0"/>
              <wp:wrapSquare wrapText="bothSides"/>
              <wp:docPr id="3" name="Rahmen2"/>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2896AB9D" w14:textId="77777777" w:rsidR="00A74E72" w:rsidRDefault="00000000">
                          <w:pPr>
                            <w:pStyle w:val="Fuzeile"/>
                            <w:rPr>
                              <w:rStyle w:val="Seitenzahl"/>
                            </w:rPr>
                          </w:pPr>
                          <w:r>
                            <w:rPr>
                              <w:rStyle w:val="Seitenzahl"/>
                              <w:color w:val="000000"/>
                            </w:rPr>
                            <w:fldChar w:fldCharType="begin"/>
                          </w:r>
                          <w:r>
                            <w:rPr>
                              <w:rStyle w:val="Seitenzahl"/>
                              <w:color w:val="000000"/>
                            </w:rPr>
                            <w:instrText xml:space="preserve"> PAGE </w:instrText>
                          </w:r>
                          <w:r>
                            <w:rPr>
                              <w:rStyle w:val="Seitenzahl"/>
                              <w:color w:val="000000"/>
                            </w:rPr>
                            <w:fldChar w:fldCharType="separate"/>
                          </w:r>
                          <w:r>
                            <w:rPr>
                              <w:rStyle w:val="Seitenzahl"/>
                              <w:color w:val="000000"/>
                            </w:rPr>
                            <w:t>0</w:t>
                          </w:r>
                          <w:r>
                            <w:rPr>
                              <w:rStyle w:val="Seitenzahl"/>
                              <w:color w:val="000000"/>
                            </w:rPr>
                            <w:fldChar w:fldCharType="end"/>
                          </w:r>
                        </w:p>
                      </w:txbxContent>
                    </wps:txbx>
                    <wps:bodyPr lIns="0" tIns="0" rIns="0" bIns="0" anchor="t">
                      <a:spAutoFit/>
                    </wps:bodyPr>
                  </wps:wsp>
                </a:graphicData>
              </a:graphic>
            </wp:anchor>
          </w:drawing>
        </mc:Choice>
        <mc:Fallback xmlns:pic="http://schemas.openxmlformats.org/drawingml/2006/picture">
          <w:pict>
            <v:rect id="shape_0" stroked="f" o:allowincell="f" style="position:absolute;margin-left:0pt;margin-top:0.05pt;width:1.1pt;height:1.1pt;mso-wrap-style:square;v-text-anchor:top;mso-position-horizontal:right;mso-position-horizontal-relative:margin" wp14:anchorId="08A1775E">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A4913" w14:textId="77777777" w:rsidR="00A74E72" w:rsidRDefault="00000000">
    <w:pPr>
      <w:pStyle w:val="Fuzeile"/>
      <w:ind w:right="360"/>
    </w:pPr>
    <w:r>
      <w:rPr>
        <w:noProof/>
      </w:rPr>
      <mc:AlternateContent>
        <mc:Choice Requires="wps">
          <w:drawing>
            <wp:anchor distT="0" distB="0" distL="0" distR="0" simplePos="0" relativeHeight="251655680" behindDoc="1" locked="0" layoutInCell="0" allowOverlap="1" wp14:anchorId="2FEA5BBC" wp14:editId="05B0516C">
              <wp:simplePos x="0" y="0"/>
              <wp:positionH relativeFrom="margin">
                <wp:align>right</wp:align>
              </wp:positionH>
              <wp:positionV relativeFrom="paragraph">
                <wp:posOffset>635</wp:posOffset>
              </wp:positionV>
              <wp:extent cx="71120" cy="172085"/>
              <wp:effectExtent l="0" t="0" r="0" b="0"/>
              <wp:wrapSquare wrapText="bothSides"/>
              <wp:docPr id="4" name="Rahmen3"/>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0A3C8810" w14:textId="77777777" w:rsidR="00A74E72" w:rsidRDefault="00000000">
                          <w:pPr>
                            <w:pStyle w:val="Fuzeile"/>
                            <w:rPr>
                              <w:rStyle w:val="Seitenzahl"/>
                              <w:rFonts w:ascii="Helvetica" w:hAnsi="Helvetica"/>
                              <w:sz w:val="20"/>
                              <w:szCs w:val="20"/>
                            </w:rPr>
                          </w:pPr>
                          <w:r>
                            <w:rPr>
                              <w:rStyle w:val="Seitenzahl"/>
                              <w:rFonts w:ascii="Helvetica" w:hAnsi="Helvetica"/>
                              <w:color w:val="000000"/>
                              <w:sz w:val="20"/>
                              <w:szCs w:val="20"/>
                            </w:rPr>
                            <w:fldChar w:fldCharType="begin"/>
                          </w:r>
                          <w:r>
                            <w:rPr>
                              <w:rStyle w:val="Seitenzahl"/>
                              <w:rFonts w:ascii="Helvetica" w:hAnsi="Helvetica"/>
                              <w:color w:val="000000"/>
                              <w:sz w:val="20"/>
                              <w:szCs w:val="20"/>
                            </w:rPr>
                            <w:instrText xml:space="preserve"> PAGE </w:instrText>
                          </w:r>
                          <w:r>
                            <w:rPr>
                              <w:rStyle w:val="Seitenzahl"/>
                              <w:rFonts w:ascii="Helvetica" w:hAnsi="Helvetica"/>
                              <w:color w:val="000000"/>
                              <w:sz w:val="20"/>
                              <w:szCs w:val="20"/>
                            </w:rPr>
                            <w:fldChar w:fldCharType="separate"/>
                          </w:r>
                          <w:r>
                            <w:rPr>
                              <w:rStyle w:val="Seitenzahl"/>
                              <w:rFonts w:ascii="Helvetica" w:hAnsi="Helvetica"/>
                              <w:color w:val="000000"/>
                              <w:sz w:val="20"/>
                              <w:szCs w:val="20"/>
                            </w:rPr>
                            <w:t>3</w:t>
                          </w:r>
                          <w:r>
                            <w:rPr>
                              <w:rStyle w:val="Seitenzahl"/>
                              <w:rFonts w:ascii="Helvetica" w:hAnsi="Helvetica"/>
                              <w:color w:val="000000"/>
                              <w:sz w:val="20"/>
                              <w:szCs w:val="20"/>
                            </w:rPr>
                            <w:fldChar w:fldCharType="end"/>
                          </w:r>
                        </w:p>
                      </w:txbxContent>
                    </wps:txbx>
                    <wps:bodyPr lIns="0" tIns="0" rIns="0" bIns="0" anchor="t">
                      <a:spAutoFit/>
                    </wps:bodyPr>
                  </wps:wsp>
                </a:graphicData>
              </a:graphic>
            </wp:anchor>
          </w:drawing>
        </mc:Choice>
        <mc:Fallback xmlns:pic="http://schemas.openxmlformats.org/drawingml/2006/picture">
          <w:pict>
            <v:rect id="shape_0" stroked="f" o:allowincell="f" style="position:absolute;margin-left:448.25pt;margin-top:0.05pt;width:5.55pt;height:13.5pt;mso-wrap-style:square;v-text-anchor:top;mso-position-horizontal:right;mso-position-horizontal-relative:margin" wp14:anchorId="2FEA5BBC">
              <v:fill o:detectmouseclick="t" on="false"/>
              <v:stroke color="#3465a4" joinstyle="round" endcap="flat"/>
              <v:textbox>
                <w:txbxContent>
                  <w:p>
                    <w:pPr>
                      <w:pStyle w:val="Footer"/>
                      <w:rPr>
                        <w:rStyle w:val="PageNumber"/>
                        <w:rFonts w:ascii="Helvetica" w:hAnsi="Helvetica"/>
                        <w:sz w:val="20"/>
                        <w:szCs w:val="20"/>
                      </w:rPr>
                    </w:pPr>
                    <w:r>
                      <w:rPr>
                        <w:rStyle w:val="PageNumber"/>
                        <w:rFonts w:ascii="Helvetica" w:hAnsi="Helvetica"/>
                        <w:color w:val="000000"/>
                        <w:sz w:val="20"/>
                        <w:szCs w:val="20"/>
                      </w:rPr>
                      <w:fldChar w:fldCharType="begin"/>
                    </w:r>
                    <w:r>
                      <w:rPr>
                        <w:rStyle w:val="PageNumber"/>
                        <w:rFonts w:ascii="Helvetica" w:hAnsi="Helvetica"/>
                        <w:color w:val="000000"/>
                        <w:sz w:val="20"/>
                        <w:szCs w:val="20"/>
                      </w:rPr>
                      <w:instrText xml:space="preserve"> PAGE </w:instrText>
                    </w:r>
                    <w:r>
                      <w:rPr>
                        <w:rStyle w:val="PageNumber"/>
                        <w:rFonts w:ascii="Helvetica" w:hAnsi="Helvetica"/>
                        <w:color w:val="000000"/>
                        <w:sz w:val="20"/>
                        <w:szCs w:val="20"/>
                      </w:rPr>
                      <w:fldChar w:fldCharType="separate"/>
                    </w:r>
                    <w:r>
                      <w:rPr>
                        <w:rStyle w:val="PageNumber"/>
                        <w:rFonts w:ascii="Helvetica" w:hAnsi="Helvetica"/>
                        <w:color w:val="000000"/>
                        <w:sz w:val="20"/>
                        <w:szCs w:val="20"/>
                      </w:rPr>
                      <w:t>3</w:t>
                    </w:r>
                    <w:r>
                      <w:rPr>
                        <w:rStyle w:val="PageNumber"/>
                        <w:rFonts w:ascii="Helvetica" w:hAnsi="Helvetica"/>
                        <w:color w:val="000000"/>
                        <w:sz w:val="20"/>
                        <w:szCs w:val="20"/>
                      </w:rPr>
                      <w:fldChar w:fldCharType="end"/>
                    </w:r>
                  </w:p>
                </w:txbxContent>
              </v:textbox>
              <w10:wrap type="square"/>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D20A6" w14:textId="77777777" w:rsidR="00A74E72" w:rsidRDefault="00000000">
    <w:pPr>
      <w:pStyle w:val="Fuzeile"/>
      <w:ind w:right="360"/>
    </w:pPr>
    <w:r>
      <w:rPr>
        <w:noProof/>
      </w:rPr>
      <mc:AlternateContent>
        <mc:Choice Requires="wps">
          <w:drawing>
            <wp:anchor distT="0" distB="0" distL="0" distR="0" simplePos="0" relativeHeight="251656704" behindDoc="1" locked="0" layoutInCell="0" allowOverlap="1" wp14:anchorId="2FEA5BBC" wp14:editId="58C8C0BB">
              <wp:simplePos x="0" y="0"/>
              <wp:positionH relativeFrom="margin">
                <wp:align>right</wp:align>
              </wp:positionH>
              <wp:positionV relativeFrom="paragraph">
                <wp:posOffset>635</wp:posOffset>
              </wp:positionV>
              <wp:extent cx="71120" cy="172085"/>
              <wp:effectExtent l="0" t="0" r="0" b="0"/>
              <wp:wrapSquare wrapText="bothSides"/>
              <wp:docPr id="5" name="Rahmen3"/>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609A55A5" w14:textId="77777777" w:rsidR="00A74E72" w:rsidRDefault="00000000">
                          <w:pPr>
                            <w:pStyle w:val="Fuzeile"/>
                            <w:rPr>
                              <w:rStyle w:val="Seitenzahl"/>
                              <w:rFonts w:ascii="Helvetica" w:hAnsi="Helvetica"/>
                              <w:sz w:val="20"/>
                              <w:szCs w:val="20"/>
                            </w:rPr>
                          </w:pPr>
                          <w:r>
                            <w:rPr>
                              <w:rStyle w:val="Seitenzahl"/>
                              <w:rFonts w:ascii="Helvetica" w:hAnsi="Helvetica"/>
                              <w:color w:val="000000"/>
                              <w:sz w:val="20"/>
                              <w:szCs w:val="20"/>
                            </w:rPr>
                            <w:fldChar w:fldCharType="begin"/>
                          </w:r>
                          <w:r>
                            <w:rPr>
                              <w:rStyle w:val="Seitenzahl"/>
                              <w:rFonts w:ascii="Helvetica" w:hAnsi="Helvetica"/>
                              <w:color w:val="000000"/>
                              <w:sz w:val="20"/>
                              <w:szCs w:val="20"/>
                            </w:rPr>
                            <w:instrText xml:space="preserve"> PAGE </w:instrText>
                          </w:r>
                          <w:r>
                            <w:rPr>
                              <w:rStyle w:val="Seitenzahl"/>
                              <w:rFonts w:ascii="Helvetica" w:hAnsi="Helvetica"/>
                              <w:color w:val="000000"/>
                              <w:sz w:val="20"/>
                              <w:szCs w:val="20"/>
                            </w:rPr>
                            <w:fldChar w:fldCharType="separate"/>
                          </w:r>
                          <w:r>
                            <w:rPr>
                              <w:rStyle w:val="Seitenzahl"/>
                              <w:rFonts w:ascii="Helvetica" w:hAnsi="Helvetica"/>
                              <w:color w:val="000000"/>
                              <w:sz w:val="20"/>
                              <w:szCs w:val="20"/>
                            </w:rPr>
                            <w:t>3</w:t>
                          </w:r>
                          <w:r>
                            <w:rPr>
                              <w:rStyle w:val="Seitenzahl"/>
                              <w:rFonts w:ascii="Helvetica" w:hAnsi="Helvetica"/>
                              <w:color w:val="000000"/>
                              <w:sz w:val="20"/>
                              <w:szCs w:val="20"/>
                            </w:rPr>
                            <w:fldChar w:fldCharType="end"/>
                          </w:r>
                        </w:p>
                      </w:txbxContent>
                    </wps:txbx>
                    <wps:bodyPr lIns="0" tIns="0" rIns="0" bIns="0" anchor="t">
                      <a:spAutoFit/>
                    </wps:bodyPr>
                  </wps:wsp>
                </a:graphicData>
              </a:graphic>
            </wp:anchor>
          </w:drawing>
        </mc:Choice>
        <mc:Fallback xmlns:pic="http://schemas.openxmlformats.org/drawingml/2006/picture">
          <w:pict>
            <v:rect id="shape_0" stroked="f" o:allowincell="f" style="position:absolute;margin-left:448.25pt;margin-top:0.05pt;width:5.55pt;height:13.5pt;mso-wrap-style:square;v-text-anchor:top;mso-position-horizontal:right;mso-position-horizontal-relative:margin" wp14:anchorId="2FEA5BBC">
              <v:fill o:detectmouseclick="t" on="false"/>
              <v:stroke color="#3465a4" joinstyle="round" endcap="flat"/>
              <v:textbox>
                <w:txbxContent>
                  <w:p>
                    <w:pPr>
                      <w:pStyle w:val="Footer"/>
                      <w:rPr>
                        <w:rStyle w:val="PageNumber"/>
                        <w:rFonts w:ascii="Helvetica" w:hAnsi="Helvetica"/>
                        <w:sz w:val="20"/>
                        <w:szCs w:val="20"/>
                      </w:rPr>
                    </w:pPr>
                    <w:r>
                      <w:rPr>
                        <w:rStyle w:val="PageNumber"/>
                        <w:rFonts w:ascii="Helvetica" w:hAnsi="Helvetica"/>
                        <w:color w:val="000000"/>
                        <w:sz w:val="20"/>
                        <w:szCs w:val="20"/>
                      </w:rPr>
                      <w:fldChar w:fldCharType="begin"/>
                    </w:r>
                    <w:r>
                      <w:rPr>
                        <w:rStyle w:val="PageNumber"/>
                        <w:rFonts w:ascii="Helvetica" w:hAnsi="Helvetica"/>
                        <w:color w:val="000000"/>
                        <w:sz w:val="20"/>
                        <w:szCs w:val="20"/>
                      </w:rPr>
                      <w:instrText xml:space="preserve"> PAGE </w:instrText>
                    </w:r>
                    <w:r>
                      <w:rPr>
                        <w:rStyle w:val="PageNumber"/>
                        <w:rFonts w:ascii="Helvetica" w:hAnsi="Helvetica"/>
                        <w:color w:val="000000"/>
                        <w:sz w:val="20"/>
                        <w:szCs w:val="20"/>
                      </w:rPr>
                      <w:fldChar w:fldCharType="separate"/>
                    </w:r>
                    <w:r>
                      <w:rPr>
                        <w:rStyle w:val="PageNumber"/>
                        <w:rFonts w:ascii="Helvetica" w:hAnsi="Helvetica"/>
                        <w:color w:val="000000"/>
                        <w:sz w:val="20"/>
                        <w:szCs w:val="20"/>
                      </w:rPr>
                      <w:t>3</w:t>
                    </w:r>
                    <w:r>
                      <w:rPr>
                        <w:rStyle w:val="PageNumber"/>
                        <w:rFonts w:ascii="Helvetica" w:hAnsi="Helvetica"/>
                        <w:color w:val="000000"/>
                        <w:sz w:val="20"/>
                        <w:szCs w:val="20"/>
                      </w:rPr>
                      <w:fldChar w:fldCharType="end"/>
                    </w:r>
                  </w:p>
                </w:txbxContent>
              </v:textbox>
              <w10:wrap type="squar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09288" w14:textId="77777777" w:rsidR="0054323A" w:rsidRDefault="0054323A">
      <w:r>
        <w:separator/>
      </w:r>
    </w:p>
  </w:footnote>
  <w:footnote w:type="continuationSeparator" w:id="0">
    <w:p w14:paraId="6F81F0FC" w14:textId="77777777" w:rsidR="0054323A" w:rsidRDefault="005432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842BAC" w14:textId="77777777" w:rsidR="00A74E72" w:rsidRDefault="00A74E7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8F864" w14:textId="77777777" w:rsidR="00A74E72" w:rsidRDefault="00000000">
    <w:pPr>
      <w:pStyle w:val="Kopfzeile"/>
      <w:rPr>
        <w:sz w:val="32"/>
        <w:szCs w:val="32"/>
      </w:rPr>
    </w:pPr>
    <w:r>
      <w:rPr>
        <w:noProof/>
        <w:sz w:val="32"/>
        <w:szCs w:val="32"/>
      </w:rPr>
      <w:drawing>
        <wp:anchor distT="0" distB="0" distL="114300" distR="114300" simplePos="0" relativeHeight="251658752" behindDoc="0" locked="0" layoutInCell="0" allowOverlap="1" wp14:anchorId="3418D48C" wp14:editId="379EDD7F">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05" y="0"/>
              <wp:lineTo x="2041" y="0"/>
              <wp:lineTo x="-366" y="4113"/>
              <wp:lineTo x="-366" y="15035"/>
              <wp:lineTo x="1306" y="20850"/>
              <wp:lineTo x="1796" y="20850"/>
              <wp:lineTo x="3470" y="20850"/>
              <wp:lineTo x="6615" y="20850"/>
              <wp:lineTo x="21354" y="15035"/>
              <wp:lineTo x="21354" y="13332"/>
              <wp:lineTo x="21600" y="5815"/>
              <wp:lineTo x="8779" y="0"/>
              <wp:lineTo x="7105"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002E016E" w14:textId="77777777" w:rsidR="00A74E72" w:rsidRDefault="00A74E72">
    <w:pPr>
      <w:pStyle w:val="Kopfzeile"/>
      <w:rPr>
        <w:sz w:val="32"/>
        <w:szCs w:val="32"/>
      </w:rPr>
    </w:pPr>
  </w:p>
  <w:p w14:paraId="7FF9780D" w14:textId="77777777" w:rsidR="00A74E72" w:rsidRDefault="00A74E72">
    <w:pPr>
      <w:pStyle w:val="Kopfzeile"/>
      <w:rPr>
        <w:sz w:val="32"/>
        <w:szCs w:val="32"/>
      </w:rPr>
    </w:pPr>
  </w:p>
  <w:p w14:paraId="207F998A" w14:textId="77777777" w:rsidR="00A74E72" w:rsidRDefault="00A74E72">
    <w:pPr>
      <w:pStyle w:val="Kopfzeile"/>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9B58D" w14:textId="77777777" w:rsidR="00A74E72" w:rsidRDefault="00000000">
    <w:pPr>
      <w:pStyle w:val="Kopfzeile"/>
      <w:rPr>
        <w:sz w:val="32"/>
        <w:szCs w:val="32"/>
      </w:rPr>
    </w:pPr>
    <w:r>
      <w:rPr>
        <w:noProof/>
        <w:sz w:val="32"/>
        <w:szCs w:val="32"/>
      </w:rPr>
      <w:drawing>
        <wp:anchor distT="0" distB="0" distL="114300" distR="114300" simplePos="0" relativeHeight="251659776" behindDoc="0" locked="0" layoutInCell="0" allowOverlap="1" wp14:anchorId="58305C12" wp14:editId="52491573">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05" y="0"/>
              <wp:lineTo x="2041" y="0"/>
              <wp:lineTo x="-366" y="4113"/>
              <wp:lineTo x="-366" y="15035"/>
              <wp:lineTo x="1306" y="20850"/>
              <wp:lineTo x="1796" y="20850"/>
              <wp:lineTo x="3470" y="20850"/>
              <wp:lineTo x="6615" y="20850"/>
              <wp:lineTo x="21354" y="15035"/>
              <wp:lineTo x="21354" y="13332"/>
              <wp:lineTo x="21600" y="5815"/>
              <wp:lineTo x="8779" y="0"/>
              <wp:lineTo x="7105"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48468B82" w14:textId="77777777" w:rsidR="00A74E72" w:rsidRDefault="00A74E72">
    <w:pPr>
      <w:pStyle w:val="Kopfzeile"/>
      <w:rPr>
        <w:sz w:val="32"/>
        <w:szCs w:val="32"/>
      </w:rPr>
    </w:pPr>
  </w:p>
  <w:p w14:paraId="5562D749" w14:textId="77777777" w:rsidR="00A74E72" w:rsidRDefault="00A74E72">
    <w:pPr>
      <w:pStyle w:val="Kopfzeile"/>
      <w:rPr>
        <w:sz w:val="32"/>
        <w:szCs w:val="32"/>
      </w:rPr>
    </w:pPr>
  </w:p>
  <w:p w14:paraId="4BE9FC49" w14:textId="77777777" w:rsidR="00A74E72" w:rsidRDefault="00A74E72">
    <w:pPr>
      <w:pStyle w:val="Kopfzeile"/>
      <w:rP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defaultTabStop w:val="709"/>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E72"/>
    <w:rsid w:val="0002115F"/>
    <w:rsid w:val="00083D65"/>
    <w:rsid w:val="00100EE2"/>
    <w:rsid w:val="00104693"/>
    <w:rsid w:val="00126646"/>
    <w:rsid w:val="001A5827"/>
    <w:rsid w:val="001F75A1"/>
    <w:rsid w:val="0042028B"/>
    <w:rsid w:val="0054323A"/>
    <w:rsid w:val="00545EED"/>
    <w:rsid w:val="00591490"/>
    <w:rsid w:val="005B1419"/>
    <w:rsid w:val="00615082"/>
    <w:rsid w:val="006476CD"/>
    <w:rsid w:val="0068326F"/>
    <w:rsid w:val="00775A08"/>
    <w:rsid w:val="00882041"/>
    <w:rsid w:val="00972440"/>
    <w:rsid w:val="009B61C4"/>
    <w:rsid w:val="00A74E72"/>
    <w:rsid w:val="00AA1965"/>
    <w:rsid w:val="00C10A09"/>
    <w:rsid w:val="00C226FF"/>
    <w:rsid w:val="00CC6230"/>
    <w:rsid w:val="00ED62C5"/>
    <w:rsid w:val="00F624AE"/>
    <w:rsid w:val="00FA2EE5"/>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decimalSymbol w:val=","/>
  <w:listSeparator w:val=";"/>
  <w14:docId w14:val="1554B405"/>
  <w15:docId w15:val="{690D6D6B-6537-FE41-A523-F554111FC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rPr>
      <w:vertAlign w:val="superscript"/>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 w:type="character" w:styleId="Zeilennummer">
    <w:name w:val="line number"/>
  </w:style>
  <w:style w:type="character" w:styleId="Fett">
    <w:name w:val="Strong"/>
    <w:basedOn w:val="Absatz-Standardschriftart"/>
    <w:uiPriority w:val="22"/>
    <w:qFormat/>
    <w:rsid w:val="007A4B5C"/>
    <w:rPr>
      <w:b/>
      <w:bCs/>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link w:val="TextkrperZchn"/>
    <w:rsid w:val="00C428F6"/>
    <w:rPr>
      <w:rFonts w:ascii="Helvetica" w:eastAsia="SimSun" w:hAnsi="Helvetica"/>
      <w:b/>
      <w:sz w:val="22"/>
      <w:szCs w:val="22"/>
      <w:lang w:eastAsia="en-US"/>
    </w:r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customStyle="1" w:styleId="Kopf-Fuzeile">
    <w:name w:val="Kopf-/Fußzeile"/>
    <w:basedOn w:val="Standard"/>
    <w:qFormat/>
  </w:style>
  <w:style w:type="paragraph" w:customStyle="1" w:styleId="Kopf-Fuzeileuser">
    <w:name w:val="Kopf-/Fußzeile (user)"/>
    <w:basedOn w:val="Standard"/>
    <w:qFormat/>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paragraph" w:styleId="Kommentartext">
    <w:name w:val="annotation text"/>
    <w:basedOn w:val="Standard"/>
    <w:link w:val="KommentartextZchn"/>
    <w:uiPriority w:val="99"/>
    <w:semiHidden/>
    <w:unhideWhenUsed/>
    <w:rsid w:val="00C428F6"/>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paragraph" w:styleId="Kommentarthema">
    <w:name w:val="annotation subject"/>
    <w:basedOn w:val="Kommentartext"/>
    <w:next w:val="Kommentartext"/>
    <w:link w:val="KommentarthemaZchn"/>
    <w:rsid w:val="00C428F6"/>
    <w:rPr>
      <w:b/>
      <w:bCs/>
      <w:sz w:val="20"/>
      <w:szCs w:val="20"/>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paragraph" w:styleId="Fuzeile">
    <w:name w:val="footer"/>
    <w:basedOn w:val="Standard"/>
    <w:link w:val="FuzeileZchn"/>
    <w:uiPriority w:val="99"/>
    <w:unhideWhenUsed/>
    <w:rsid w:val="00C428F6"/>
    <w:pPr>
      <w:tabs>
        <w:tab w:val="center" w:pos="4536"/>
        <w:tab w:val="right" w:pos="9072"/>
      </w:tabs>
    </w:pPr>
  </w:style>
  <w:style w:type="paragraph" w:styleId="Funotentext">
    <w:name w:val="footnote text"/>
    <w:basedOn w:val="Standard"/>
    <w:link w:val="FunotentextZchn"/>
    <w:rsid w:val="00C428F6"/>
  </w:style>
  <w:style w:type="paragraph" w:styleId="KeinLeerraum">
    <w:name w:val="No Spacing"/>
    <w:uiPriority w:val="1"/>
    <w:qFormat/>
    <w:rsid w:val="00C428F6"/>
    <w:rPr>
      <w:rFonts w:ascii="Calibri" w:hAnsi="Calibri" w:cs="Times New Roman"/>
      <w:sz w:val="22"/>
      <w:szCs w:val="22"/>
      <w:lang w:val="en-US"/>
    </w:rPr>
  </w:style>
  <w:style w:type="paragraph" w:styleId="berarbeitung">
    <w:name w:val="Revision"/>
    <w:semiHidden/>
    <w:rsid w:val="005942C4"/>
    <w:rPr>
      <w:rFonts w:eastAsia="MS Mincho" w:cs="Times New Roman"/>
      <w:lang w:eastAsia="de-DE"/>
    </w:rPr>
  </w:style>
  <w:style w:type="paragraph" w:styleId="StandardWeb">
    <w:name w:val="Normal (Web)"/>
    <w:basedOn w:val="Standard"/>
    <w:uiPriority w:val="99"/>
    <w:semiHidden/>
    <w:unhideWhenUsed/>
    <w:rsid w:val="000834F2"/>
    <w:pPr>
      <w:spacing w:beforeAutospacing="1" w:afterAutospacing="1"/>
    </w:pPr>
  </w:style>
  <w:style w:type="paragraph" w:customStyle="1" w:styleId="Rahmeninhalt">
    <w:name w:val="Rahmeninhalt"/>
    <w:basedOn w:val="Standard"/>
    <w:qFormat/>
  </w:style>
  <w:style w:type="paragraph" w:customStyle="1" w:styleId="Rahmeninhaltuser">
    <w:name w:val="Rahmeninhalt (user)"/>
    <w:basedOn w:val="Standard"/>
    <w:qFormat/>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mailto:gd@press-n-relations.at" TargetMode="External"/><Relationship Id="rId18" Type="http://schemas.openxmlformats.org/officeDocument/2006/relationships/hyperlink" Target="https://www.watchguard.com/de/wgrd-news/blog"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eader" Target="header2.xml"/><Relationship Id="rId7" Type="http://schemas.openxmlformats.org/officeDocument/2006/relationships/hyperlink" Target="https://www.watchguard.com/de/wgrd-about/watchguard-innovations" TargetMode="External"/><Relationship Id="rId12" Type="http://schemas.openxmlformats.org/officeDocument/2006/relationships/hyperlink" Target="https://press-n-relations.com/" TargetMode="External"/><Relationship Id="rId17" Type="http://schemas.openxmlformats.org/officeDocument/2006/relationships/hyperlink" Target="https://www.linkedin.com/company/watchguard-technologies/" TargetMode="External"/><Relationship Id="rId25"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yperlink" Target="https://www.facebook.com/watchguardtechnologies/" TargetMode="External"/><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watchguard.com/de/wgrd-about" TargetMode="External"/><Relationship Id="rId11" Type="http://schemas.openxmlformats.org/officeDocument/2006/relationships/hyperlink" Target="mailto:rh@press-n-relations.de" TargetMode="External"/><Relationship Id="rId24"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hyperlink" Target="https://x.com/watchguard?lang=de" TargetMode="External"/><Relationship Id="rId23" Type="http://schemas.openxmlformats.org/officeDocument/2006/relationships/footer" Target="footer2.xml"/><Relationship Id="rId10" Type="http://schemas.openxmlformats.org/officeDocument/2006/relationships/hyperlink" Target="https://www.watchguard.com/de" TargetMode="External"/><Relationship Id="rId19" Type="http://schemas.openxmlformats.org/officeDocument/2006/relationships/hyperlink" Target="https://www.watchguard.com/wgrd-security-hub/podcast-the-443" TargetMode="External"/><Relationship Id="rId4" Type="http://schemas.openxmlformats.org/officeDocument/2006/relationships/footnotes" Target="footnotes.xml"/><Relationship Id="rId9" Type="http://schemas.openxmlformats.org/officeDocument/2006/relationships/hyperlink" Target="mailto:paul.moll@watchguard.com" TargetMode="External"/><Relationship Id="rId14" Type="http://schemas.openxmlformats.org/officeDocument/2006/relationships/hyperlink" Target="https://press-n-relations.at/" TargetMode="External"/><Relationship Id="rId22" Type="http://schemas.openxmlformats.org/officeDocument/2006/relationships/footer" Target="foot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1004</Words>
  <Characters>6332</Characters>
  <Application>Microsoft Office Word</Application>
  <DocSecurity>0</DocSecurity>
  <Lines>52</Lines>
  <Paragraphs>14</Paragraphs>
  <ScaleCrop>false</ScaleCrop>
  <Company/>
  <LinksUpToDate>false</LinksUpToDate>
  <CharactersWithSpaces>7322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dc:description>_x005f_x000d_</dc:description>
  <cp:lastModifiedBy>Nikolai Schneider</cp:lastModifiedBy>
  <cp:revision>70</cp:revision>
  <cp:lastPrinted>2025-10-14T10:06:00Z</cp:lastPrinted>
  <dcterms:created xsi:type="dcterms:W3CDTF">2026-02-19T08:50:00Z</dcterms:created>
  <dcterms:modified xsi:type="dcterms:W3CDTF">2026-02-24T08:16:00Z</dcterms:modified>
  <dc:language>de-DE</dc:language>
</cp:coreProperties>
</file>