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D53D77" w14:textId="178744B1" w:rsidR="00AF2CB9" w:rsidRPr="00B46453" w:rsidRDefault="00B46453" w:rsidP="00880A34">
      <w:pPr>
        <w:spacing w:line="288" w:lineRule="auto"/>
        <w:outlineLvl w:val="0"/>
        <w:rPr>
          <w:rFonts w:ascii="Helvetica" w:hAnsi="Helvetica"/>
          <w:b/>
        </w:rPr>
      </w:pPr>
      <w:r>
        <w:rPr>
          <w:rFonts w:ascii="Helvetica" w:hAnsi="Helvetica"/>
          <w:b/>
        </w:rPr>
        <w:t>P</w:t>
      </w:r>
      <w:r w:rsidR="00037D09" w:rsidRPr="00B46453">
        <w:rPr>
          <w:rFonts w:ascii="Helvetica" w:hAnsi="Helvetica"/>
          <w:b/>
        </w:rPr>
        <w:t>RESSEINFORMATION</w:t>
      </w:r>
    </w:p>
    <w:p w14:paraId="46A3CBDB" w14:textId="77777777" w:rsidR="00D46370" w:rsidRPr="00B46453" w:rsidRDefault="00D46370" w:rsidP="00AF2CB9">
      <w:pPr>
        <w:spacing w:line="288" w:lineRule="auto"/>
        <w:rPr>
          <w:rFonts w:ascii="Helvetica" w:hAnsi="Helvetica"/>
          <w:b/>
        </w:rPr>
      </w:pPr>
    </w:p>
    <w:p w14:paraId="14D0714B" w14:textId="13C00328" w:rsidR="00AF2CB9" w:rsidRPr="00B46453" w:rsidRDefault="00E455B2" w:rsidP="00AF2CB9">
      <w:pPr>
        <w:spacing w:line="288" w:lineRule="auto"/>
        <w:rPr>
          <w:rFonts w:ascii="Helvetica" w:hAnsi="Helvetica"/>
          <w:sz w:val="20"/>
          <w:szCs w:val="20"/>
        </w:rPr>
      </w:pPr>
      <w:r w:rsidRPr="00B46453">
        <w:rPr>
          <w:rFonts w:ascii="Helvetica" w:hAnsi="Helvetica"/>
          <w:sz w:val="20"/>
          <w:szCs w:val="20"/>
        </w:rPr>
        <w:t>Hamburg</w:t>
      </w:r>
      <w:r w:rsidR="00037D09" w:rsidRPr="00B46453">
        <w:rPr>
          <w:rFonts w:ascii="Helvetica" w:hAnsi="Helvetica"/>
          <w:sz w:val="20"/>
          <w:szCs w:val="20"/>
        </w:rPr>
        <w:t>,</w:t>
      </w:r>
      <w:r w:rsidR="00BF3442" w:rsidRPr="00B46453">
        <w:rPr>
          <w:rFonts w:ascii="Helvetica" w:hAnsi="Helvetica"/>
          <w:sz w:val="20"/>
          <w:szCs w:val="20"/>
        </w:rPr>
        <w:t xml:space="preserve"> </w:t>
      </w:r>
      <w:r w:rsidR="008B1994">
        <w:rPr>
          <w:rFonts w:ascii="Helvetica" w:hAnsi="Helvetica"/>
          <w:sz w:val="20"/>
          <w:szCs w:val="20"/>
        </w:rPr>
        <w:t>20</w:t>
      </w:r>
      <w:r w:rsidR="003B0419" w:rsidRPr="00B46453">
        <w:rPr>
          <w:rFonts w:ascii="Helvetica" w:hAnsi="Helvetica"/>
          <w:sz w:val="20"/>
          <w:szCs w:val="20"/>
        </w:rPr>
        <w:t>. Januar</w:t>
      </w:r>
      <w:r w:rsidR="007A65B1" w:rsidRPr="00B46453">
        <w:rPr>
          <w:rFonts w:ascii="Helvetica" w:hAnsi="Helvetica"/>
          <w:sz w:val="20"/>
          <w:szCs w:val="20"/>
        </w:rPr>
        <w:t xml:space="preserve"> </w:t>
      </w:r>
      <w:r w:rsidR="00037D09" w:rsidRPr="00B46453">
        <w:rPr>
          <w:rFonts w:ascii="Helvetica" w:hAnsi="Helvetica"/>
          <w:sz w:val="20"/>
          <w:szCs w:val="20"/>
        </w:rPr>
        <w:t>20</w:t>
      </w:r>
      <w:r w:rsidR="00A95484" w:rsidRPr="00B46453">
        <w:rPr>
          <w:rFonts w:ascii="Helvetica" w:hAnsi="Helvetica"/>
          <w:sz w:val="20"/>
          <w:szCs w:val="20"/>
        </w:rPr>
        <w:t>2</w:t>
      </w:r>
      <w:r w:rsidR="003B0419" w:rsidRPr="00B46453">
        <w:rPr>
          <w:rFonts w:ascii="Helvetica" w:hAnsi="Helvetica"/>
          <w:sz w:val="20"/>
          <w:szCs w:val="20"/>
        </w:rPr>
        <w:t>2</w:t>
      </w:r>
    </w:p>
    <w:p w14:paraId="1B9710D5" w14:textId="77777777" w:rsidR="005003B0" w:rsidRPr="00B46453" w:rsidRDefault="005003B0" w:rsidP="00A75D14">
      <w:pPr>
        <w:tabs>
          <w:tab w:val="left" w:pos="6946"/>
          <w:tab w:val="left" w:pos="7088"/>
        </w:tabs>
        <w:spacing w:line="288" w:lineRule="auto"/>
        <w:ind w:right="2127"/>
        <w:rPr>
          <w:rFonts w:ascii="Helvetica" w:hAnsi="Helvetica"/>
        </w:rPr>
      </w:pPr>
    </w:p>
    <w:p w14:paraId="510CAA6D" w14:textId="32DF05B4" w:rsidR="003D549A" w:rsidRPr="00B46453" w:rsidRDefault="001A42F1" w:rsidP="003D549A">
      <w:pPr>
        <w:tabs>
          <w:tab w:val="left" w:pos="8222"/>
        </w:tabs>
        <w:spacing w:line="288" w:lineRule="auto"/>
        <w:ind w:right="1273"/>
        <w:rPr>
          <w:rFonts w:ascii="Helvetica" w:hAnsi="Helvetica"/>
          <w:b/>
        </w:rPr>
      </w:pPr>
      <w:r w:rsidRPr="00B46453">
        <w:rPr>
          <w:rFonts w:ascii="Helvetica" w:hAnsi="Helvetica"/>
          <w:b/>
          <w:bCs/>
        </w:rPr>
        <w:t xml:space="preserve">Ransomware und Malware-Aufkommen </w:t>
      </w:r>
      <w:r w:rsidR="00B46453" w:rsidRPr="00B46453">
        <w:rPr>
          <w:rFonts w:ascii="Helvetica" w:hAnsi="Helvetica"/>
          <w:b/>
          <w:bCs/>
        </w:rPr>
        <w:t xml:space="preserve">bereits </w:t>
      </w:r>
      <w:r w:rsidRPr="00B46453">
        <w:rPr>
          <w:rFonts w:ascii="Helvetica" w:hAnsi="Helvetica"/>
          <w:b/>
          <w:bCs/>
        </w:rPr>
        <w:t>zum dritten Quartal 2021 auf 2020er-Gesamtjahreshoch</w:t>
      </w:r>
    </w:p>
    <w:p w14:paraId="2416124C" w14:textId="422A0DFF" w:rsidR="00112229" w:rsidRPr="00B46453" w:rsidRDefault="001A42F1" w:rsidP="00591512">
      <w:pPr>
        <w:tabs>
          <w:tab w:val="left" w:pos="8222"/>
        </w:tabs>
        <w:spacing w:line="288" w:lineRule="auto"/>
        <w:ind w:right="1276"/>
        <w:rPr>
          <w:rFonts w:ascii="Helvetica" w:hAnsi="Helvetica"/>
          <w:b/>
          <w:sz w:val="20"/>
          <w:szCs w:val="20"/>
        </w:rPr>
      </w:pPr>
      <w:r w:rsidRPr="00B46453">
        <w:rPr>
          <w:rFonts w:ascii="Helvetica" w:hAnsi="Helvetica"/>
          <w:b/>
          <w:bCs/>
          <w:iCs/>
          <w:sz w:val="20"/>
          <w:szCs w:val="20"/>
        </w:rPr>
        <w:t xml:space="preserve">Rekordtempo bei Skripting-Angriffen auf Endgeräte, die USA im Fadenkreuz </w:t>
      </w:r>
      <w:r w:rsidR="00304F07">
        <w:rPr>
          <w:rFonts w:ascii="Helvetica" w:hAnsi="Helvetica"/>
          <w:b/>
          <w:bCs/>
          <w:iCs/>
          <w:sz w:val="20"/>
          <w:szCs w:val="20"/>
        </w:rPr>
        <w:t xml:space="preserve">von </w:t>
      </w:r>
      <w:r w:rsidRPr="00B46453">
        <w:rPr>
          <w:rFonts w:ascii="Helvetica" w:hAnsi="Helvetica"/>
          <w:b/>
          <w:bCs/>
          <w:iCs/>
          <w:sz w:val="20"/>
          <w:szCs w:val="20"/>
        </w:rPr>
        <w:t>Netzwerkattacken</w:t>
      </w:r>
      <w:r w:rsidR="00B46453" w:rsidRPr="00B46453">
        <w:rPr>
          <w:rFonts w:ascii="Helvetica" w:hAnsi="Helvetica"/>
          <w:b/>
          <w:bCs/>
          <w:iCs/>
          <w:sz w:val="20"/>
          <w:szCs w:val="20"/>
        </w:rPr>
        <w:t xml:space="preserve"> und HTTPS-</w:t>
      </w:r>
      <w:r w:rsidRPr="00B46453">
        <w:rPr>
          <w:rFonts w:ascii="Helvetica" w:hAnsi="Helvetica"/>
          <w:b/>
          <w:bCs/>
          <w:iCs/>
          <w:sz w:val="20"/>
          <w:szCs w:val="20"/>
        </w:rPr>
        <w:t>Verbindungen</w:t>
      </w:r>
      <w:r w:rsidR="00B46453" w:rsidRPr="00B46453">
        <w:rPr>
          <w:rFonts w:ascii="Helvetica" w:hAnsi="Helvetica"/>
          <w:b/>
          <w:bCs/>
          <w:iCs/>
          <w:sz w:val="20"/>
          <w:szCs w:val="20"/>
        </w:rPr>
        <w:t xml:space="preserve"> </w:t>
      </w:r>
      <w:r w:rsidR="00B46453">
        <w:rPr>
          <w:rFonts w:ascii="Helvetica" w:hAnsi="Helvetica"/>
          <w:b/>
          <w:bCs/>
          <w:iCs/>
          <w:sz w:val="20"/>
          <w:szCs w:val="20"/>
        </w:rPr>
        <w:t xml:space="preserve">nun </w:t>
      </w:r>
      <w:r w:rsidRPr="00B46453">
        <w:rPr>
          <w:rFonts w:ascii="Helvetica" w:hAnsi="Helvetica"/>
          <w:b/>
          <w:bCs/>
          <w:iCs/>
          <w:sz w:val="20"/>
          <w:szCs w:val="20"/>
        </w:rPr>
        <w:t>Standard bei Zero-Day-Malware</w:t>
      </w:r>
    </w:p>
    <w:p w14:paraId="53ACA909" w14:textId="77777777" w:rsidR="00B44E2B" w:rsidRPr="00B46453" w:rsidRDefault="00B44E2B" w:rsidP="00591512">
      <w:pPr>
        <w:spacing w:line="288" w:lineRule="auto"/>
        <w:ind w:right="1135"/>
        <w:rPr>
          <w:rFonts w:ascii="Helvetica" w:hAnsi="Helvetica"/>
          <w:b/>
          <w:bCs/>
          <w:color w:val="000000" w:themeColor="text1"/>
          <w:sz w:val="20"/>
          <w:szCs w:val="20"/>
        </w:rPr>
      </w:pPr>
    </w:p>
    <w:p w14:paraId="3BA1EAC4" w14:textId="40CBF476" w:rsidR="001A42F1" w:rsidRPr="00B46453" w:rsidRDefault="001A42F1" w:rsidP="001A42F1">
      <w:pPr>
        <w:spacing w:line="288" w:lineRule="auto"/>
        <w:ind w:right="1135"/>
        <w:rPr>
          <w:rFonts w:ascii="Helvetica" w:hAnsi="Helvetica"/>
          <w:color w:val="000000" w:themeColor="text1"/>
          <w:sz w:val="20"/>
          <w:szCs w:val="20"/>
        </w:rPr>
      </w:pPr>
      <w:r w:rsidRPr="00B46453">
        <w:rPr>
          <w:rFonts w:ascii="Helvetica" w:hAnsi="Helvetica"/>
          <w:b/>
          <w:bCs/>
          <w:color w:val="000000" w:themeColor="text1"/>
          <w:sz w:val="20"/>
          <w:szCs w:val="20"/>
        </w:rPr>
        <w:t xml:space="preserve">WatchGuard Technologies hat heute seinen neuesten vierteljährlichen </w:t>
      </w:r>
      <w:hyperlink r:id="rId7" w:history="1">
        <w:r w:rsidRPr="00B46453">
          <w:rPr>
            <w:rStyle w:val="Hyperlink"/>
            <w:rFonts w:ascii="Helvetica" w:hAnsi="Helvetica"/>
            <w:b/>
            <w:bCs/>
            <w:sz w:val="20"/>
            <w:szCs w:val="20"/>
          </w:rPr>
          <w:t>Internet Security Report (ISR)</w:t>
        </w:r>
      </w:hyperlink>
      <w:r w:rsidRPr="00B46453">
        <w:rPr>
          <w:rFonts w:ascii="Helvetica" w:hAnsi="Helvetica"/>
          <w:b/>
          <w:bCs/>
          <w:color w:val="000000" w:themeColor="text1"/>
          <w:sz w:val="20"/>
          <w:szCs w:val="20"/>
        </w:rPr>
        <w:t xml:space="preserve"> veröffentlicht, der die wichtigsten Malware-Trends und Netzwerksicherheitsbedrohungen für das dritte Quartal 2021 aufzeigt. Die Forscher des WatchGuard Threat Lab haben anhand anonymisierter Firebox-Feed-Daten nachvollzogen, welche Ziele die Angreifer in diesem Zeitraum vorrangig ins Visier nahmen: Zwar ging das Gesamtvolumen der erkannten Perimeter-Malware-Angriffe im Vergleich zu den Höchstwerten </w:t>
      </w:r>
      <w:hyperlink r:id="rId8" w:history="1">
        <w:r w:rsidRPr="00B46453">
          <w:rPr>
            <w:rStyle w:val="Hyperlink"/>
            <w:rFonts w:ascii="Helvetica" w:hAnsi="Helvetica"/>
            <w:b/>
            <w:bCs/>
            <w:sz w:val="20"/>
            <w:szCs w:val="20"/>
          </w:rPr>
          <w:t>des vorherigen Quartals</w:t>
        </w:r>
      </w:hyperlink>
      <w:r w:rsidRPr="00B46453">
        <w:rPr>
          <w:rFonts w:ascii="Helvetica" w:hAnsi="Helvetica"/>
          <w:b/>
          <w:bCs/>
          <w:color w:val="000000" w:themeColor="text1"/>
          <w:sz w:val="20"/>
          <w:szCs w:val="20"/>
        </w:rPr>
        <w:t xml:space="preserve"> zurück, dafür wurde bei den Endpunkten bereits zum Ende des dritten Quartals 2021 das Gesamtvolumen </w:t>
      </w:r>
      <w:r w:rsidR="003E4DC1">
        <w:rPr>
          <w:rFonts w:ascii="Helvetica" w:hAnsi="Helvetica"/>
          <w:b/>
          <w:bCs/>
          <w:color w:val="000000" w:themeColor="text1"/>
          <w:sz w:val="20"/>
          <w:szCs w:val="20"/>
        </w:rPr>
        <w:t xml:space="preserve">aller Vorfälle </w:t>
      </w:r>
      <w:r w:rsidRPr="00B46453">
        <w:rPr>
          <w:rFonts w:ascii="Helvetica" w:hAnsi="Helvetica"/>
          <w:b/>
          <w:bCs/>
          <w:color w:val="000000" w:themeColor="text1"/>
          <w:sz w:val="20"/>
          <w:szCs w:val="20"/>
        </w:rPr>
        <w:t xml:space="preserve">des Vorjahres erreicht – wobei die Daten für Q4 2021 noch ausstehen. Eine weitere Erkenntnis war, dass ein erheblicher Prozentsatz der Malware </w:t>
      </w:r>
      <w:r w:rsidR="00177F5E">
        <w:rPr>
          <w:rFonts w:ascii="Helvetica" w:hAnsi="Helvetica"/>
          <w:b/>
          <w:bCs/>
          <w:color w:val="000000" w:themeColor="text1"/>
          <w:sz w:val="20"/>
          <w:szCs w:val="20"/>
        </w:rPr>
        <w:t>nach wie vor</w:t>
      </w:r>
      <w:r w:rsidR="00177F5E" w:rsidRPr="00B46453">
        <w:rPr>
          <w:rFonts w:ascii="Helvetica" w:hAnsi="Helvetica"/>
          <w:b/>
          <w:bCs/>
          <w:color w:val="000000" w:themeColor="text1"/>
          <w:sz w:val="20"/>
          <w:szCs w:val="20"/>
        </w:rPr>
        <w:t xml:space="preserve"> </w:t>
      </w:r>
      <w:r w:rsidRPr="00B46453">
        <w:rPr>
          <w:rFonts w:ascii="Helvetica" w:hAnsi="Helvetica"/>
          <w:b/>
          <w:bCs/>
          <w:color w:val="000000" w:themeColor="text1"/>
          <w:sz w:val="20"/>
          <w:szCs w:val="20"/>
        </w:rPr>
        <w:t xml:space="preserve">über verschlüsselte Verbindungen transportiert wird – ein Trend, der sich seit </w:t>
      </w:r>
      <w:r w:rsidR="00EE3F07">
        <w:rPr>
          <w:rFonts w:ascii="Helvetica" w:hAnsi="Helvetica"/>
          <w:b/>
          <w:bCs/>
          <w:color w:val="000000" w:themeColor="text1"/>
          <w:sz w:val="20"/>
          <w:szCs w:val="20"/>
        </w:rPr>
        <w:t>etlichen</w:t>
      </w:r>
      <w:r w:rsidRPr="00B46453">
        <w:rPr>
          <w:rFonts w:ascii="Helvetica" w:hAnsi="Helvetica"/>
          <w:b/>
          <w:bCs/>
          <w:color w:val="000000" w:themeColor="text1"/>
          <w:sz w:val="20"/>
          <w:szCs w:val="20"/>
        </w:rPr>
        <w:t xml:space="preserve"> Quartalen </w:t>
      </w:r>
      <w:r w:rsidR="00EE3F07">
        <w:rPr>
          <w:rFonts w:ascii="Helvetica" w:hAnsi="Helvetica"/>
          <w:b/>
          <w:bCs/>
          <w:color w:val="000000" w:themeColor="text1"/>
          <w:sz w:val="20"/>
          <w:szCs w:val="20"/>
        </w:rPr>
        <w:t xml:space="preserve">stetig </w:t>
      </w:r>
      <w:r w:rsidRPr="00B46453">
        <w:rPr>
          <w:rFonts w:ascii="Helvetica" w:hAnsi="Helvetica"/>
          <w:b/>
          <w:bCs/>
          <w:color w:val="000000" w:themeColor="text1"/>
          <w:sz w:val="20"/>
          <w:szCs w:val="20"/>
        </w:rPr>
        <w:t>fortsetzt.</w:t>
      </w:r>
    </w:p>
    <w:p w14:paraId="4DB83EF0" w14:textId="77777777" w:rsidR="001A42F1" w:rsidRPr="001A42F1" w:rsidRDefault="001A42F1" w:rsidP="001A42F1">
      <w:pPr>
        <w:spacing w:line="288" w:lineRule="auto"/>
        <w:ind w:right="1135"/>
        <w:rPr>
          <w:rFonts w:ascii="Helvetica" w:hAnsi="Helvetica"/>
          <w:color w:val="000000" w:themeColor="text1"/>
          <w:sz w:val="20"/>
          <w:szCs w:val="20"/>
        </w:rPr>
      </w:pPr>
    </w:p>
    <w:p w14:paraId="30535FF2" w14:textId="49143A32" w:rsidR="001A42F1" w:rsidRPr="001A42F1" w:rsidRDefault="001A42F1" w:rsidP="001A42F1">
      <w:pPr>
        <w:spacing w:line="288" w:lineRule="auto"/>
        <w:ind w:right="1135"/>
        <w:rPr>
          <w:rFonts w:ascii="Helvetica" w:hAnsi="Helvetica"/>
          <w:color w:val="000000" w:themeColor="text1"/>
          <w:sz w:val="20"/>
          <w:szCs w:val="20"/>
        </w:rPr>
      </w:pPr>
      <w:r w:rsidRPr="001A42F1">
        <w:rPr>
          <w:rFonts w:ascii="Helvetica" w:hAnsi="Helvetica"/>
          <w:color w:val="000000" w:themeColor="text1"/>
          <w:sz w:val="20"/>
          <w:szCs w:val="20"/>
        </w:rPr>
        <w:t xml:space="preserve">„Während das Gesamtvolumen der Netzwerkangriffe im dritten Quartal leicht zurückgegangen ist, stieg die Anzahl der Malware pro Gerät zum ersten Mal seit Beginn der Pandemie an“, sagt Corey Nachreiner, Chief Security Officer bei WatchGuard. „Betrachtet man das bisherige Jahr als Ganzes, so bleibt das Sicherheitsumfeld weiterhin herausfordernd. Es ist wichtig, dass Unternehmen über das kurzfristige Auf und Ab sowie die saisonalen Schwankungen bestimmter Kennzahlen hinausblicken und sich auf anhaltende Trends konzentrieren, die ihre Sicherheitslage beeinflussen. Ein wichtiges Beispiel ist die zunehmende Nutzung verschlüsselter Verbindungen für Zero-Day-Angriffe. Umfassenden Schutz bietet in diesem Zusammenhang die </w:t>
      </w:r>
      <w:hyperlink r:id="rId9" w:history="1">
        <w:r w:rsidRPr="00890A6E">
          <w:rPr>
            <w:rStyle w:val="Hyperlink"/>
            <w:rFonts w:ascii="Helvetica" w:hAnsi="Helvetica"/>
            <w:sz w:val="20"/>
            <w:szCs w:val="20"/>
          </w:rPr>
          <w:t>WatchGuard Unified Security Platform</w:t>
        </w:r>
      </w:hyperlink>
      <w:r w:rsidR="00B80E8C">
        <w:rPr>
          <w:rFonts w:ascii="Helvetica" w:hAnsi="Helvetica"/>
          <w:color w:val="000000" w:themeColor="text1"/>
          <w:sz w:val="20"/>
          <w:szCs w:val="20"/>
        </w:rPr>
        <w:t>. Damit lassen sich</w:t>
      </w:r>
      <w:r w:rsidR="00B80E8C" w:rsidRPr="001A42F1">
        <w:rPr>
          <w:rFonts w:ascii="Helvetica" w:hAnsi="Helvetica"/>
          <w:color w:val="000000" w:themeColor="text1"/>
          <w:sz w:val="20"/>
          <w:szCs w:val="20"/>
        </w:rPr>
        <w:t xml:space="preserve"> </w:t>
      </w:r>
      <w:r w:rsidRPr="001A42F1">
        <w:rPr>
          <w:rFonts w:ascii="Helvetica" w:hAnsi="Helvetica"/>
          <w:color w:val="000000" w:themeColor="text1"/>
          <w:sz w:val="20"/>
          <w:szCs w:val="20"/>
        </w:rPr>
        <w:t>die vielfältigen Bedrohungen, denen Unternehmen heute ausgesetzt sind</w:t>
      </w:r>
      <w:r w:rsidR="00A44E2B">
        <w:rPr>
          <w:rFonts w:ascii="Helvetica" w:hAnsi="Helvetica"/>
          <w:color w:val="000000" w:themeColor="text1"/>
          <w:sz w:val="20"/>
          <w:szCs w:val="20"/>
        </w:rPr>
        <w:t xml:space="preserve">, </w:t>
      </w:r>
      <w:r w:rsidR="0093065C">
        <w:rPr>
          <w:rFonts w:ascii="Helvetica" w:hAnsi="Helvetica"/>
          <w:color w:val="000000" w:themeColor="text1"/>
          <w:sz w:val="20"/>
          <w:szCs w:val="20"/>
        </w:rPr>
        <w:t>ganzheitlich</w:t>
      </w:r>
      <w:r w:rsidR="00A44E2B">
        <w:rPr>
          <w:rFonts w:ascii="Helvetica" w:hAnsi="Helvetica"/>
          <w:color w:val="000000" w:themeColor="text1"/>
          <w:sz w:val="20"/>
          <w:szCs w:val="20"/>
        </w:rPr>
        <w:t xml:space="preserve"> </w:t>
      </w:r>
      <w:r w:rsidR="00A44E2B" w:rsidRPr="001A42F1">
        <w:rPr>
          <w:rFonts w:ascii="Helvetica" w:hAnsi="Helvetica"/>
          <w:color w:val="000000" w:themeColor="text1"/>
          <w:sz w:val="20"/>
          <w:szCs w:val="20"/>
        </w:rPr>
        <w:t>bekämpfen</w:t>
      </w:r>
      <w:r w:rsidRPr="001A42F1">
        <w:rPr>
          <w:rFonts w:ascii="Helvetica" w:hAnsi="Helvetica"/>
          <w:color w:val="000000" w:themeColor="text1"/>
          <w:sz w:val="20"/>
          <w:szCs w:val="20"/>
        </w:rPr>
        <w:t>.“</w:t>
      </w:r>
    </w:p>
    <w:p w14:paraId="099489D4" w14:textId="77777777" w:rsidR="001A42F1" w:rsidRPr="001A42F1" w:rsidRDefault="001A42F1" w:rsidP="001A42F1">
      <w:pPr>
        <w:spacing w:line="288" w:lineRule="auto"/>
        <w:ind w:right="1135"/>
        <w:rPr>
          <w:rFonts w:ascii="Helvetica" w:hAnsi="Helvetica"/>
          <w:color w:val="000000" w:themeColor="text1"/>
          <w:sz w:val="20"/>
          <w:szCs w:val="20"/>
        </w:rPr>
      </w:pPr>
    </w:p>
    <w:p w14:paraId="2278455C" w14:textId="77777777" w:rsidR="001A42F1" w:rsidRPr="001A42F1" w:rsidRDefault="001A42F1" w:rsidP="001A42F1">
      <w:pPr>
        <w:spacing w:line="288" w:lineRule="auto"/>
        <w:ind w:right="1135"/>
        <w:rPr>
          <w:rFonts w:ascii="Helvetica" w:hAnsi="Helvetica"/>
          <w:color w:val="000000" w:themeColor="text1"/>
          <w:sz w:val="20"/>
          <w:szCs w:val="20"/>
        </w:rPr>
      </w:pPr>
      <w:r w:rsidRPr="001A42F1">
        <w:rPr>
          <w:rFonts w:ascii="Helvetica" w:hAnsi="Helvetica"/>
          <w:color w:val="000000" w:themeColor="text1"/>
          <w:sz w:val="20"/>
          <w:szCs w:val="20"/>
        </w:rPr>
        <w:t>Zu den bemerkenswertesten Ergebnissen des WatchGuard Q3 2021 Internet Security Report gehören:</w:t>
      </w:r>
    </w:p>
    <w:p w14:paraId="139ACC90" w14:textId="280402A1" w:rsidR="003B0419" w:rsidRPr="00B46453" w:rsidRDefault="003B0419" w:rsidP="003B0419">
      <w:pPr>
        <w:spacing w:line="288" w:lineRule="auto"/>
        <w:ind w:right="1135"/>
        <w:rPr>
          <w:rFonts w:ascii="Helvetica" w:hAnsi="Helvetica"/>
          <w:color w:val="000000" w:themeColor="text1"/>
          <w:sz w:val="20"/>
          <w:szCs w:val="20"/>
        </w:rPr>
      </w:pPr>
    </w:p>
    <w:p w14:paraId="294AC841" w14:textId="1F10EB84"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t>Fast die Hälfte der Zero-Day-Malware wird über verschlüsselte Verbindungen übertragen</w:t>
      </w:r>
      <w:r w:rsidRPr="001A42F1">
        <w:rPr>
          <w:rFonts w:ascii="Helvetica" w:hAnsi="Helvetica"/>
          <w:color w:val="000000" w:themeColor="text1"/>
          <w:sz w:val="20"/>
          <w:szCs w:val="20"/>
        </w:rPr>
        <w:t xml:space="preserve"> </w:t>
      </w:r>
      <w:r w:rsidR="00B80E8C">
        <w:rPr>
          <w:rFonts w:ascii="Helvetica" w:hAnsi="Helvetica"/>
          <w:color w:val="000000" w:themeColor="text1"/>
          <w:sz w:val="20"/>
          <w:szCs w:val="20"/>
        </w:rPr>
        <w:t>–</w:t>
      </w:r>
      <w:r w:rsidRPr="001A42F1">
        <w:rPr>
          <w:rFonts w:ascii="Helvetica" w:hAnsi="Helvetica"/>
          <w:color w:val="000000" w:themeColor="text1"/>
          <w:sz w:val="20"/>
          <w:szCs w:val="20"/>
        </w:rPr>
        <w:t xml:space="preserve"> Während die Gesamtzahl der Zero-Day-Malware im dritten Quartal um bescheidene </w:t>
      </w:r>
      <w:r w:rsidR="00890A6E">
        <w:rPr>
          <w:rFonts w:ascii="Helvetica" w:hAnsi="Helvetica"/>
          <w:color w:val="000000" w:themeColor="text1"/>
          <w:sz w:val="20"/>
          <w:szCs w:val="20"/>
        </w:rPr>
        <w:t>drei</w:t>
      </w:r>
      <w:r w:rsidRPr="001A42F1">
        <w:rPr>
          <w:rFonts w:ascii="Helvetica" w:hAnsi="Helvetica"/>
          <w:color w:val="000000" w:themeColor="text1"/>
          <w:sz w:val="20"/>
          <w:szCs w:val="20"/>
        </w:rPr>
        <w:t xml:space="preserve"> Prozent</w:t>
      </w:r>
      <w:r w:rsidR="0064113E">
        <w:rPr>
          <w:rFonts w:ascii="Helvetica" w:hAnsi="Helvetica"/>
          <w:color w:val="000000" w:themeColor="text1"/>
          <w:sz w:val="20"/>
          <w:szCs w:val="20"/>
        </w:rPr>
        <w:t>punkte</w:t>
      </w:r>
      <w:r w:rsidRPr="001A42F1">
        <w:rPr>
          <w:rFonts w:ascii="Helvetica" w:hAnsi="Helvetica"/>
          <w:color w:val="000000" w:themeColor="text1"/>
          <w:sz w:val="20"/>
          <w:szCs w:val="20"/>
        </w:rPr>
        <w:t xml:space="preserve"> auf 67,2 Prozent gestiegen ist, nahm der Anteil der Malware, die über Transport Layer Security (TLS) übertragen wurde, von 31,6 Prozent auf 47 Prozent zu. Ein </w:t>
      </w:r>
      <w:r w:rsidR="00BF17BA">
        <w:rPr>
          <w:rFonts w:ascii="Helvetica" w:hAnsi="Helvetica"/>
          <w:color w:val="000000" w:themeColor="text1"/>
          <w:sz w:val="20"/>
          <w:szCs w:val="20"/>
        </w:rPr>
        <w:t xml:space="preserve">insgesamt </w:t>
      </w:r>
      <w:r w:rsidRPr="001A42F1">
        <w:rPr>
          <w:rFonts w:ascii="Helvetica" w:hAnsi="Helvetica"/>
          <w:color w:val="000000" w:themeColor="text1"/>
          <w:sz w:val="20"/>
          <w:szCs w:val="20"/>
        </w:rPr>
        <w:t xml:space="preserve">geringerer Prozentsatz verschlüsselter Zero-Days ist </w:t>
      </w:r>
      <w:r w:rsidR="00E7251A">
        <w:rPr>
          <w:rFonts w:ascii="Helvetica" w:hAnsi="Helvetica"/>
          <w:color w:val="000000" w:themeColor="text1"/>
          <w:sz w:val="20"/>
          <w:szCs w:val="20"/>
        </w:rPr>
        <w:t xml:space="preserve">in dem Zusammenhang </w:t>
      </w:r>
      <w:r w:rsidRPr="001A42F1">
        <w:rPr>
          <w:rFonts w:ascii="Helvetica" w:hAnsi="Helvetica"/>
          <w:color w:val="000000" w:themeColor="text1"/>
          <w:sz w:val="20"/>
          <w:szCs w:val="20"/>
        </w:rPr>
        <w:t>zwar grundsätzlich zu begrüßen</w:t>
      </w:r>
      <w:r w:rsidR="00E7251A">
        <w:rPr>
          <w:rFonts w:ascii="Helvetica" w:hAnsi="Helvetica"/>
          <w:color w:val="000000" w:themeColor="text1"/>
          <w:sz w:val="20"/>
          <w:szCs w:val="20"/>
        </w:rPr>
        <w:t xml:space="preserve">, dennoch bleibt Anlass zur Sorge, da </w:t>
      </w:r>
      <w:r w:rsidRPr="001A42F1">
        <w:rPr>
          <w:rFonts w:ascii="Helvetica" w:hAnsi="Helvetica"/>
          <w:color w:val="000000" w:themeColor="text1"/>
          <w:sz w:val="20"/>
          <w:szCs w:val="20"/>
        </w:rPr>
        <w:t xml:space="preserve">viele Unternehmen </w:t>
      </w:r>
      <w:r w:rsidR="00E7251A">
        <w:rPr>
          <w:rFonts w:ascii="Helvetica" w:hAnsi="Helvetica"/>
          <w:color w:val="000000" w:themeColor="text1"/>
          <w:sz w:val="20"/>
          <w:szCs w:val="20"/>
        </w:rPr>
        <w:t>solche</w:t>
      </w:r>
      <w:r w:rsidR="00E7251A" w:rsidRPr="001A42F1">
        <w:rPr>
          <w:rFonts w:ascii="Helvetica" w:hAnsi="Helvetica"/>
          <w:color w:val="000000" w:themeColor="text1"/>
          <w:sz w:val="20"/>
          <w:szCs w:val="20"/>
        </w:rPr>
        <w:t xml:space="preserve"> </w:t>
      </w:r>
      <w:r w:rsidRPr="001A42F1">
        <w:rPr>
          <w:rFonts w:ascii="Helvetica" w:hAnsi="Helvetica"/>
          <w:color w:val="000000" w:themeColor="text1"/>
          <w:sz w:val="20"/>
          <w:szCs w:val="20"/>
        </w:rPr>
        <w:t xml:space="preserve">Verbindungen </w:t>
      </w:r>
      <w:r w:rsidR="002247E2">
        <w:rPr>
          <w:rFonts w:ascii="Helvetica" w:hAnsi="Helvetica"/>
          <w:color w:val="000000" w:themeColor="text1"/>
          <w:sz w:val="20"/>
          <w:szCs w:val="20"/>
        </w:rPr>
        <w:t>nach wie vor</w:t>
      </w:r>
      <w:r w:rsidR="00E7251A">
        <w:rPr>
          <w:rFonts w:ascii="Helvetica" w:hAnsi="Helvetica"/>
          <w:color w:val="000000" w:themeColor="text1"/>
          <w:sz w:val="20"/>
          <w:szCs w:val="20"/>
        </w:rPr>
        <w:t xml:space="preserve"> gar </w:t>
      </w:r>
      <w:r w:rsidRPr="001A42F1">
        <w:rPr>
          <w:rFonts w:ascii="Helvetica" w:hAnsi="Helvetica"/>
          <w:color w:val="000000" w:themeColor="text1"/>
          <w:sz w:val="20"/>
          <w:szCs w:val="20"/>
        </w:rPr>
        <w:t xml:space="preserve">nicht entschlüsseln. Sie haben daher nur einen unzureichenden Überblick über die Menge an Malware, die </w:t>
      </w:r>
      <w:r w:rsidR="00BF17BA">
        <w:rPr>
          <w:rFonts w:ascii="Helvetica" w:hAnsi="Helvetica"/>
          <w:color w:val="000000" w:themeColor="text1"/>
          <w:sz w:val="20"/>
          <w:szCs w:val="20"/>
        </w:rPr>
        <w:t xml:space="preserve">tatsächlich </w:t>
      </w:r>
      <w:r w:rsidRPr="001A42F1">
        <w:rPr>
          <w:rFonts w:ascii="Helvetica" w:hAnsi="Helvetica"/>
          <w:color w:val="000000" w:themeColor="text1"/>
          <w:sz w:val="20"/>
          <w:szCs w:val="20"/>
        </w:rPr>
        <w:t xml:space="preserve">ihre Netzwerke erreicht. </w:t>
      </w:r>
    </w:p>
    <w:p w14:paraId="34F13869" w14:textId="77777777" w:rsidR="001A42F1" w:rsidRPr="001A42F1" w:rsidRDefault="001A42F1" w:rsidP="001A42F1">
      <w:pPr>
        <w:spacing w:line="288" w:lineRule="auto"/>
        <w:ind w:right="1135"/>
        <w:rPr>
          <w:rFonts w:ascii="Helvetica" w:hAnsi="Helvetica"/>
          <w:color w:val="000000" w:themeColor="text1"/>
          <w:sz w:val="20"/>
          <w:szCs w:val="20"/>
        </w:rPr>
      </w:pPr>
    </w:p>
    <w:p w14:paraId="250DE2F9" w14:textId="14A2465E"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t>Neuere Versionen von Microsoft Windows und Office bringen neue Schwachstellen mit sich</w:t>
      </w:r>
      <w:r w:rsidRPr="001A42F1">
        <w:rPr>
          <w:rFonts w:ascii="Helvetica" w:hAnsi="Helvetica"/>
          <w:color w:val="000000" w:themeColor="text1"/>
          <w:sz w:val="20"/>
          <w:szCs w:val="20"/>
        </w:rPr>
        <w:t xml:space="preserve"> </w:t>
      </w:r>
      <w:r w:rsidR="00B80E8C">
        <w:rPr>
          <w:rFonts w:ascii="Helvetica" w:hAnsi="Helvetica"/>
          <w:color w:val="000000" w:themeColor="text1"/>
          <w:sz w:val="20"/>
          <w:szCs w:val="20"/>
        </w:rPr>
        <w:t>–</w:t>
      </w:r>
      <w:r w:rsidRPr="001A42F1">
        <w:rPr>
          <w:rFonts w:ascii="Helvetica" w:hAnsi="Helvetica"/>
          <w:color w:val="000000" w:themeColor="text1"/>
          <w:sz w:val="20"/>
          <w:szCs w:val="20"/>
        </w:rPr>
        <w:t xml:space="preserve"> Ungepatchte Schwachstellen in Microsoft-Software stellen gern genutzte Angriffsvektoren dar. Neben älteren Versionen werden nun aber auch die neuesten Produkte aus Redmond attackiert. Im dritten Quartal schaffte es CVE-2018-0802, bei der eine Schwachstelle im Gleichungseditor von Microsoft Office ausgenutzt wird, auf Platz 6 der Top-10-Liste der Gateway-Antiviren-Malware nach Volumen von WatchGuard. Diese Schadsoftware war bereits im vorherigen Quartal in der Liste der am weitesten verbreiteten Malware aufgetaucht. Darüber hinaus landeten zwei Windows-Code-Injektoren (Win32/Heim.D und Win32/Heri) auf Platz 1 bzw. 6 der Liste der </w:t>
      </w:r>
      <w:r w:rsidR="00355E05">
        <w:rPr>
          <w:rFonts w:ascii="Helvetica" w:hAnsi="Helvetica"/>
          <w:color w:val="000000" w:themeColor="text1"/>
          <w:sz w:val="20"/>
          <w:szCs w:val="20"/>
        </w:rPr>
        <w:t xml:space="preserve">am </w:t>
      </w:r>
      <w:r w:rsidRPr="001A42F1">
        <w:rPr>
          <w:rFonts w:ascii="Helvetica" w:hAnsi="Helvetica"/>
          <w:color w:val="000000" w:themeColor="text1"/>
          <w:sz w:val="20"/>
          <w:szCs w:val="20"/>
        </w:rPr>
        <w:t>häufigsten entdeckten Schädlinge.</w:t>
      </w:r>
    </w:p>
    <w:p w14:paraId="20C9213B" w14:textId="77777777" w:rsidR="001A42F1" w:rsidRPr="001A42F1" w:rsidRDefault="001A42F1" w:rsidP="001A42F1">
      <w:pPr>
        <w:spacing w:line="288" w:lineRule="auto"/>
        <w:ind w:right="1135"/>
        <w:rPr>
          <w:rFonts w:ascii="Helvetica" w:hAnsi="Helvetica"/>
          <w:color w:val="000000" w:themeColor="text1"/>
          <w:sz w:val="20"/>
          <w:szCs w:val="20"/>
        </w:rPr>
      </w:pPr>
    </w:p>
    <w:p w14:paraId="5F0CA5CE" w14:textId="40B614A1"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t>Angreifer zielten überproportional auf Nord- und Südamerika ab</w:t>
      </w:r>
      <w:r w:rsidRPr="001A42F1">
        <w:rPr>
          <w:rFonts w:ascii="Helvetica" w:hAnsi="Helvetica"/>
          <w:color w:val="000000" w:themeColor="text1"/>
          <w:sz w:val="20"/>
          <w:szCs w:val="20"/>
        </w:rPr>
        <w:t xml:space="preserve"> </w:t>
      </w:r>
      <w:r w:rsidR="00B80E8C">
        <w:rPr>
          <w:rFonts w:ascii="Helvetica" w:hAnsi="Helvetica"/>
          <w:color w:val="000000" w:themeColor="text1"/>
          <w:sz w:val="20"/>
          <w:szCs w:val="20"/>
        </w:rPr>
        <w:t>–</w:t>
      </w:r>
      <w:r w:rsidRPr="001A42F1">
        <w:rPr>
          <w:rFonts w:ascii="Helvetica" w:hAnsi="Helvetica"/>
          <w:color w:val="000000" w:themeColor="text1"/>
          <w:sz w:val="20"/>
          <w:szCs w:val="20"/>
        </w:rPr>
        <w:t xml:space="preserve"> Die überwältigende Mehrheit der Netzwerkangriffe richtete s</w:t>
      </w:r>
      <w:r w:rsidR="00B80E8C">
        <w:rPr>
          <w:rFonts w:ascii="Helvetica" w:hAnsi="Helvetica"/>
          <w:color w:val="000000" w:themeColor="text1"/>
          <w:sz w:val="20"/>
          <w:szCs w:val="20"/>
        </w:rPr>
        <w:t xml:space="preserve">ich </w:t>
      </w:r>
      <w:r w:rsidRPr="001A42F1">
        <w:rPr>
          <w:rFonts w:ascii="Helvetica" w:hAnsi="Helvetica"/>
          <w:color w:val="000000" w:themeColor="text1"/>
          <w:sz w:val="20"/>
          <w:szCs w:val="20"/>
        </w:rPr>
        <w:t>im 3. Quartal auf Nord- und Südamerika (64,5 Prozent</w:t>
      </w:r>
      <w:r w:rsidR="00B80E8C">
        <w:rPr>
          <w:rFonts w:ascii="Helvetica" w:hAnsi="Helvetica"/>
          <w:color w:val="000000" w:themeColor="text1"/>
          <w:sz w:val="20"/>
          <w:szCs w:val="20"/>
        </w:rPr>
        <w:t>)</w:t>
      </w:r>
      <w:r w:rsidRPr="001A42F1">
        <w:rPr>
          <w:rFonts w:ascii="Helvetica" w:hAnsi="Helvetica"/>
          <w:color w:val="000000" w:themeColor="text1"/>
          <w:sz w:val="20"/>
          <w:szCs w:val="20"/>
        </w:rPr>
        <w:t>, danach folgen der Bereich Asia Pacific (APAC) mit 20 Prozent und Europa mit 15,5 Prozent.</w:t>
      </w:r>
    </w:p>
    <w:p w14:paraId="0341B3B8" w14:textId="77777777" w:rsidR="001A42F1" w:rsidRPr="001A42F1" w:rsidRDefault="001A42F1" w:rsidP="001A42F1">
      <w:pPr>
        <w:spacing w:line="288" w:lineRule="auto"/>
        <w:ind w:right="1135"/>
        <w:rPr>
          <w:rFonts w:ascii="Helvetica" w:hAnsi="Helvetica"/>
          <w:color w:val="000000" w:themeColor="text1"/>
          <w:sz w:val="20"/>
          <w:szCs w:val="20"/>
        </w:rPr>
      </w:pPr>
    </w:p>
    <w:p w14:paraId="0A985232" w14:textId="0478F427"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t>Die Gesamtzahl der erkannten Netzwerkangriffe hat sich wieder normalisiert, stellt aber immer noch ein erhebliches Risiko dar</w:t>
      </w:r>
      <w:r w:rsidRPr="001A42F1">
        <w:rPr>
          <w:rFonts w:ascii="Helvetica" w:hAnsi="Helvetica"/>
          <w:color w:val="000000" w:themeColor="text1"/>
          <w:sz w:val="20"/>
          <w:szCs w:val="20"/>
        </w:rPr>
        <w:t xml:space="preserve"> </w:t>
      </w:r>
      <w:r w:rsidR="00B80E8C">
        <w:rPr>
          <w:rFonts w:ascii="Helvetica" w:hAnsi="Helvetica"/>
          <w:color w:val="000000" w:themeColor="text1"/>
          <w:sz w:val="20"/>
          <w:szCs w:val="20"/>
        </w:rPr>
        <w:t>–</w:t>
      </w:r>
      <w:r w:rsidRPr="001A42F1">
        <w:rPr>
          <w:rFonts w:ascii="Helvetica" w:hAnsi="Helvetica"/>
          <w:color w:val="000000" w:themeColor="text1"/>
          <w:sz w:val="20"/>
          <w:szCs w:val="20"/>
        </w:rPr>
        <w:t xml:space="preserve"> Nach aufeinander folgenden Quartalen mit einem Wachstum von mehr als 20 Prozent entdeckte der Intrusion Prevention Service (IPS) von WatchGuard im dritten Quartal rund 4,1 Millionen einzelne Netzwerkangriffe. Der Rückgang um 21 Prozent brachte das Volumen auf das Niveau des ersten Quartals zurück, welches im Vergleich zum Vorjahr</w:t>
      </w:r>
      <w:r w:rsidR="00B80E8C">
        <w:rPr>
          <w:rFonts w:ascii="Helvetica" w:hAnsi="Helvetica"/>
          <w:color w:val="000000" w:themeColor="text1"/>
          <w:sz w:val="20"/>
          <w:szCs w:val="20"/>
        </w:rPr>
        <w:t xml:space="preserve"> jedoch</w:t>
      </w:r>
      <w:r w:rsidRPr="001A42F1">
        <w:rPr>
          <w:rFonts w:ascii="Helvetica" w:hAnsi="Helvetica"/>
          <w:color w:val="000000" w:themeColor="text1"/>
          <w:sz w:val="20"/>
          <w:szCs w:val="20"/>
        </w:rPr>
        <w:t xml:space="preserve"> immer noch hoch war. Die Verschiebung bedeutet nicht unbedingt, dass die Angreifer nachlassen, sondern dass sie ihren Fokus möglicherweise auf gezieltere Angriffe verlagern.</w:t>
      </w:r>
    </w:p>
    <w:p w14:paraId="1095EC0F" w14:textId="77777777" w:rsidR="001A42F1" w:rsidRPr="001A42F1" w:rsidRDefault="001A42F1" w:rsidP="001A42F1">
      <w:pPr>
        <w:spacing w:line="288" w:lineRule="auto"/>
        <w:ind w:right="1135"/>
        <w:rPr>
          <w:rFonts w:ascii="Helvetica" w:hAnsi="Helvetica"/>
          <w:color w:val="000000" w:themeColor="text1"/>
          <w:sz w:val="20"/>
          <w:szCs w:val="20"/>
        </w:rPr>
      </w:pPr>
    </w:p>
    <w:p w14:paraId="628DC624" w14:textId="6727DF13"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t>Die Top-10-Signaturen für Netzwerkangriffe sind für die überwiegende Mehrheit der Angriffe verantwortlich</w:t>
      </w:r>
      <w:r w:rsidR="00777DE8">
        <w:rPr>
          <w:rFonts w:ascii="Helvetica" w:hAnsi="Helvetica"/>
          <w:color w:val="000000" w:themeColor="text1"/>
          <w:sz w:val="20"/>
          <w:szCs w:val="20"/>
        </w:rPr>
        <w:t xml:space="preserve"> –</w:t>
      </w:r>
      <w:r w:rsidRPr="001A42F1">
        <w:rPr>
          <w:rFonts w:ascii="Helvetica" w:hAnsi="Helvetica"/>
          <w:color w:val="000000" w:themeColor="text1"/>
          <w:sz w:val="20"/>
          <w:szCs w:val="20"/>
        </w:rPr>
        <w:t xml:space="preserve"> Von den 4.095.320 Treffern, die IPS im dritten Quartal feststellte, entfielen 81 Prozent auf die Top-10-Signaturen. Tatsächlich gab es im dritten Quartal nur eine neue Signatur in den Top 10, ‚WEB Remote File Inclusion /etc/passwd‘ (</w:t>
      </w:r>
      <w:hyperlink r:id="rId10" w:history="1">
        <w:r w:rsidRPr="001A42F1">
          <w:rPr>
            <w:rStyle w:val="Hyperlink"/>
            <w:rFonts w:ascii="Helvetica" w:hAnsi="Helvetica"/>
            <w:sz w:val="20"/>
            <w:szCs w:val="20"/>
          </w:rPr>
          <w:t>1054837</w:t>
        </w:r>
      </w:hyperlink>
      <w:r w:rsidRPr="001A42F1">
        <w:rPr>
          <w:rFonts w:ascii="Helvetica" w:hAnsi="Helvetica"/>
          <w:color w:val="000000" w:themeColor="text1"/>
          <w:sz w:val="20"/>
          <w:szCs w:val="20"/>
        </w:rPr>
        <w:t xml:space="preserve">), die auf ältere, aber immer noch weit verbreitete Microsoft Internet Information Services (IIS) Webserver abzielt. An der Spitze der Liste steht seit dem zweiten Quartal 2019 die Signatur </w:t>
      </w:r>
      <w:hyperlink r:id="rId11" w:history="1">
        <w:r w:rsidRPr="001A42F1">
          <w:rPr>
            <w:rStyle w:val="Hyperlink"/>
            <w:rFonts w:ascii="Helvetica" w:hAnsi="Helvetica"/>
            <w:sz w:val="20"/>
            <w:szCs w:val="20"/>
          </w:rPr>
          <w:t>1059160</w:t>
        </w:r>
      </w:hyperlink>
      <w:r w:rsidRPr="001A42F1">
        <w:rPr>
          <w:rFonts w:ascii="Helvetica" w:hAnsi="Helvetica"/>
          <w:color w:val="000000" w:themeColor="text1"/>
          <w:sz w:val="20"/>
          <w:szCs w:val="20"/>
        </w:rPr>
        <w:t xml:space="preserve">, eine SQL-Injektion. </w:t>
      </w:r>
    </w:p>
    <w:p w14:paraId="73F747B3" w14:textId="77777777" w:rsidR="001A42F1" w:rsidRPr="001A42F1" w:rsidRDefault="001A42F1" w:rsidP="001A42F1">
      <w:pPr>
        <w:spacing w:line="288" w:lineRule="auto"/>
        <w:ind w:right="1135"/>
        <w:rPr>
          <w:rFonts w:ascii="Helvetica" w:hAnsi="Helvetica"/>
          <w:color w:val="000000" w:themeColor="text1"/>
          <w:sz w:val="20"/>
          <w:szCs w:val="20"/>
        </w:rPr>
      </w:pPr>
    </w:p>
    <w:p w14:paraId="7086A6D8" w14:textId="434BB6C5"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t>Skripting-Angriffe auf Endpunkte weiterhin im Rekordtempo</w:t>
      </w:r>
      <w:r w:rsidRPr="001A42F1">
        <w:rPr>
          <w:rFonts w:ascii="Helvetica" w:hAnsi="Helvetica"/>
          <w:color w:val="000000" w:themeColor="text1"/>
          <w:sz w:val="20"/>
          <w:szCs w:val="20"/>
        </w:rPr>
        <w:t xml:space="preserve"> </w:t>
      </w:r>
      <w:r w:rsidR="00B80E8C">
        <w:rPr>
          <w:rFonts w:ascii="Helvetica" w:hAnsi="Helvetica"/>
          <w:color w:val="000000" w:themeColor="text1"/>
          <w:sz w:val="20"/>
          <w:szCs w:val="20"/>
        </w:rPr>
        <w:t>–</w:t>
      </w:r>
      <w:r w:rsidRPr="001A42F1">
        <w:rPr>
          <w:rFonts w:ascii="Helvetica" w:hAnsi="Helvetica"/>
          <w:color w:val="000000" w:themeColor="text1"/>
          <w:sz w:val="20"/>
          <w:szCs w:val="20"/>
        </w:rPr>
        <w:t xml:space="preserve"> Bis zum Ende des dritten Quartals registrierten WatchGuards AD360 Threat Intelligence und WatchGuard Endpoint</w:t>
      </w:r>
      <w:r w:rsidR="000C4953">
        <w:rPr>
          <w:rFonts w:ascii="Helvetica" w:hAnsi="Helvetica"/>
          <w:color w:val="000000" w:themeColor="text1"/>
          <w:sz w:val="20"/>
          <w:szCs w:val="20"/>
        </w:rPr>
        <w:t xml:space="preserve"> </w:t>
      </w:r>
      <w:r w:rsidR="000C4953" w:rsidRPr="000C4953">
        <w:rPr>
          <w:rFonts w:ascii="Helvetica" w:hAnsi="Helvetica"/>
          <w:color w:val="000000" w:themeColor="text1"/>
          <w:sz w:val="20"/>
          <w:szCs w:val="20"/>
        </w:rPr>
        <w:t>Protection</w:t>
      </w:r>
      <w:r w:rsidR="000C4953">
        <w:rPr>
          <w:rFonts w:ascii="Helvetica" w:hAnsi="Helvetica"/>
          <w:color w:val="000000" w:themeColor="text1"/>
          <w:sz w:val="20"/>
          <w:szCs w:val="20"/>
        </w:rPr>
        <w:t>,</w:t>
      </w:r>
      <w:r w:rsidRPr="001A42F1">
        <w:rPr>
          <w:rFonts w:ascii="Helvetica" w:hAnsi="Helvetica"/>
          <w:color w:val="000000" w:themeColor="text1"/>
          <w:sz w:val="20"/>
          <w:szCs w:val="20"/>
        </w:rPr>
        <w:t xml:space="preserve"> Detection and Response (EPDR) bereits </w:t>
      </w:r>
      <w:r w:rsidR="00BD1DA2">
        <w:rPr>
          <w:rFonts w:ascii="Helvetica" w:hAnsi="Helvetica"/>
          <w:color w:val="000000" w:themeColor="text1"/>
          <w:sz w:val="20"/>
          <w:szCs w:val="20"/>
        </w:rPr>
        <w:t>zehn</w:t>
      </w:r>
      <w:r w:rsidRPr="001A42F1">
        <w:rPr>
          <w:rFonts w:ascii="Helvetica" w:hAnsi="Helvetica"/>
          <w:color w:val="000000" w:themeColor="text1"/>
          <w:sz w:val="20"/>
          <w:szCs w:val="20"/>
        </w:rPr>
        <w:t xml:space="preserve"> Prozent mehr Angriffsskripte als im gesamten Jahr 2020 (</w:t>
      </w:r>
      <w:r w:rsidR="00B80E8C">
        <w:rPr>
          <w:rFonts w:ascii="Helvetica" w:hAnsi="Helvetica"/>
          <w:color w:val="000000" w:themeColor="text1"/>
          <w:sz w:val="20"/>
          <w:szCs w:val="20"/>
        </w:rPr>
        <w:t>welches</w:t>
      </w:r>
      <w:r w:rsidRPr="001A42F1">
        <w:rPr>
          <w:rFonts w:ascii="Helvetica" w:hAnsi="Helvetica"/>
          <w:color w:val="000000" w:themeColor="text1"/>
          <w:sz w:val="20"/>
          <w:szCs w:val="20"/>
        </w:rPr>
        <w:t xml:space="preserve"> wiederum einen Anstieg von 666 </w:t>
      </w:r>
      <w:r w:rsidR="00BD1DA2">
        <w:rPr>
          <w:rFonts w:ascii="Helvetica" w:hAnsi="Helvetica"/>
          <w:color w:val="000000" w:themeColor="text1"/>
          <w:sz w:val="20"/>
          <w:szCs w:val="20"/>
        </w:rPr>
        <w:t>Prozent</w:t>
      </w:r>
      <w:r w:rsidRPr="001A42F1">
        <w:rPr>
          <w:rFonts w:ascii="Helvetica" w:hAnsi="Helvetica"/>
          <w:color w:val="000000" w:themeColor="text1"/>
          <w:sz w:val="20"/>
          <w:szCs w:val="20"/>
        </w:rPr>
        <w:t xml:space="preserve"> gegenüber dem Vorjahr verzeichnete). Da hybride Arbeitsgruppen eher die Regel als die Ausnahme sind, reicht ein starker Perimeter nicht mehr aus, um Bedrohungen zu stoppen. </w:t>
      </w:r>
      <w:r w:rsidR="002C71A7">
        <w:rPr>
          <w:rFonts w:ascii="Helvetica" w:hAnsi="Helvetica"/>
          <w:color w:val="000000" w:themeColor="text1"/>
          <w:sz w:val="20"/>
          <w:szCs w:val="20"/>
        </w:rPr>
        <w:t>Es</w:t>
      </w:r>
      <w:r w:rsidR="002C71A7" w:rsidRPr="001A42F1">
        <w:rPr>
          <w:rFonts w:ascii="Helvetica" w:hAnsi="Helvetica"/>
          <w:color w:val="000000" w:themeColor="text1"/>
          <w:sz w:val="20"/>
          <w:szCs w:val="20"/>
        </w:rPr>
        <w:t xml:space="preserve"> </w:t>
      </w:r>
      <w:r w:rsidRPr="001A42F1">
        <w:rPr>
          <w:rFonts w:ascii="Helvetica" w:hAnsi="Helvetica"/>
          <w:color w:val="000000" w:themeColor="text1"/>
          <w:sz w:val="20"/>
          <w:szCs w:val="20"/>
        </w:rPr>
        <w:t xml:space="preserve">gibt verschiedene Möglichkeiten für Cyberkriminelle, Endgeräte anzugreifen – von Anwendungsexploits bis hin zu skriptbasierten </w:t>
      </w:r>
      <w:r w:rsidR="00B80E8C">
        <w:rPr>
          <w:rFonts w:ascii="Helvetica" w:hAnsi="Helvetica"/>
          <w:color w:val="000000" w:themeColor="text1"/>
          <w:sz w:val="20"/>
          <w:szCs w:val="20"/>
        </w:rPr>
        <w:t>L</w:t>
      </w:r>
      <w:r w:rsidR="00B80E8C" w:rsidRPr="00B80E8C">
        <w:rPr>
          <w:rFonts w:ascii="Helvetica" w:hAnsi="Helvetica"/>
          <w:color w:val="000000" w:themeColor="text1"/>
          <w:sz w:val="20"/>
          <w:szCs w:val="20"/>
        </w:rPr>
        <w:t>iving-off-the-land</w:t>
      </w:r>
      <w:r w:rsidR="00B80E8C">
        <w:rPr>
          <w:rFonts w:ascii="Helvetica" w:hAnsi="Helvetica"/>
          <w:color w:val="000000" w:themeColor="text1"/>
          <w:sz w:val="20"/>
          <w:szCs w:val="20"/>
        </w:rPr>
        <w:t>-</w:t>
      </w:r>
      <w:r w:rsidRPr="001A42F1">
        <w:rPr>
          <w:rFonts w:ascii="Helvetica" w:hAnsi="Helvetica"/>
          <w:color w:val="000000" w:themeColor="text1"/>
          <w:sz w:val="20"/>
          <w:szCs w:val="20"/>
        </w:rPr>
        <w:t xml:space="preserve">Angriffen, </w:t>
      </w:r>
      <w:r w:rsidR="002C71A7">
        <w:rPr>
          <w:rFonts w:ascii="Helvetica" w:hAnsi="Helvetica"/>
          <w:color w:val="000000" w:themeColor="text1"/>
          <w:sz w:val="20"/>
          <w:szCs w:val="20"/>
        </w:rPr>
        <w:t>wobei</w:t>
      </w:r>
      <w:r w:rsidR="002C71A7" w:rsidRPr="001A42F1">
        <w:rPr>
          <w:rFonts w:ascii="Helvetica" w:hAnsi="Helvetica"/>
          <w:color w:val="000000" w:themeColor="text1"/>
          <w:sz w:val="20"/>
          <w:szCs w:val="20"/>
        </w:rPr>
        <w:t xml:space="preserve"> </w:t>
      </w:r>
      <w:r w:rsidRPr="001A42F1">
        <w:rPr>
          <w:rFonts w:ascii="Helvetica" w:hAnsi="Helvetica"/>
          <w:color w:val="000000" w:themeColor="text1"/>
          <w:sz w:val="20"/>
          <w:szCs w:val="20"/>
        </w:rPr>
        <w:t xml:space="preserve">selbst Personen mit begrenzten Kenntnissen </w:t>
      </w:r>
      <w:r w:rsidR="002C71A7">
        <w:rPr>
          <w:rFonts w:ascii="Helvetica" w:hAnsi="Helvetica"/>
          <w:color w:val="000000" w:themeColor="text1"/>
          <w:sz w:val="20"/>
          <w:szCs w:val="20"/>
        </w:rPr>
        <w:t>mithilfe von</w:t>
      </w:r>
      <w:r w:rsidRPr="001A42F1">
        <w:rPr>
          <w:rFonts w:ascii="Helvetica" w:hAnsi="Helvetica"/>
          <w:color w:val="000000" w:themeColor="text1"/>
          <w:sz w:val="20"/>
          <w:szCs w:val="20"/>
        </w:rPr>
        <w:t xml:space="preserve"> Skripting-Tools wie PowerSploit, PowerWare und Cobalt Strike eine Malware-Nutzlast vollständig ausführen und dabei die grundlegende Endgeräteerkennung umgehen</w:t>
      </w:r>
      <w:r w:rsidR="002C71A7">
        <w:rPr>
          <w:rFonts w:ascii="Helvetica" w:hAnsi="Helvetica"/>
          <w:color w:val="000000" w:themeColor="text1"/>
          <w:sz w:val="20"/>
          <w:szCs w:val="20"/>
        </w:rPr>
        <w:t xml:space="preserve"> </w:t>
      </w:r>
      <w:r w:rsidR="002C71A7" w:rsidRPr="001A42F1">
        <w:rPr>
          <w:rFonts w:ascii="Helvetica" w:hAnsi="Helvetica"/>
          <w:color w:val="000000" w:themeColor="text1"/>
          <w:sz w:val="20"/>
          <w:szCs w:val="20"/>
        </w:rPr>
        <w:t>können</w:t>
      </w:r>
      <w:r w:rsidRPr="001A42F1">
        <w:rPr>
          <w:rFonts w:ascii="Helvetica" w:hAnsi="Helvetica"/>
          <w:color w:val="000000" w:themeColor="text1"/>
          <w:sz w:val="20"/>
          <w:szCs w:val="20"/>
        </w:rPr>
        <w:t>.</w:t>
      </w:r>
    </w:p>
    <w:p w14:paraId="78BBA061" w14:textId="77777777" w:rsidR="001A42F1" w:rsidRPr="001A42F1" w:rsidRDefault="001A42F1" w:rsidP="001A42F1">
      <w:pPr>
        <w:spacing w:line="288" w:lineRule="auto"/>
        <w:ind w:right="1135"/>
        <w:rPr>
          <w:rFonts w:ascii="Helvetica" w:hAnsi="Helvetica"/>
          <w:color w:val="000000" w:themeColor="text1"/>
          <w:sz w:val="20"/>
          <w:szCs w:val="20"/>
        </w:rPr>
      </w:pPr>
    </w:p>
    <w:p w14:paraId="5104A971" w14:textId="7D9E1489"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lastRenderedPageBreak/>
        <w:t>Selbst normalerweise sichere Domains können kompromittiert werden</w:t>
      </w:r>
      <w:r w:rsidRPr="001A42F1">
        <w:rPr>
          <w:rFonts w:ascii="Helvetica" w:hAnsi="Helvetica"/>
          <w:color w:val="000000" w:themeColor="text1"/>
          <w:sz w:val="20"/>
          <w:szCs w:val="20"/>
        </w:rPr>
        <w:t xml:space="preserve"> </w:t>
      </w:r>
      <w:r w:rsidR="00971D4C">
        <w:rPr>
          <w:rFonts w:ascii="Helvetica" w:hAnsi="Helvetica"/>
          <w:color w:val="000000" w:themeColor="text1"/>
          <w:sz w:val="20"/>
          <w:szCs w:val="20"/>
        </w:rPr>
        <w:t>–</w:t>
      </w:r>
      <w:r w:rsidRPr="001A42F1">
        <w:rPr>
          <w:rFonts w:ascii="Helvetica" w:hAnsi="Helvetica"/>
          <w:color w:val="000000" w:themeColor="text1"/>
          <w:sz w:val="20"/>
          <w:szCs w:val="20"/>
        </w:rPr>
        <w:t xml:space="preserve"> Ein Protokollfehler im Exchange Server Autodiscover-System von Microsoft ermöglichte es Angreifern, Domain-Anmeldedaten zu sammeln und mehrere normalerweise vertrauenswürdige Domains zu kompromittieren. Insgesamt blockierten WatchGuard Fireboxen im dritten Quartal 5,6 Millionen bösartige Domains. Darunter befanden sich mehrere neue Malware-Domains, die versuchen, Software für Cryptomining, Key-Logger und Remote-Access-Trojaner (RAT) zu installieren, sowie Phishing-Domains, die sich als SharePoint-Websites ausgeben, um Office365-Anmeldedaten abzugreifen. Obwohl die Zahl der blockierten Domains im Vergleich zum Vorquartal um 23 Prozent gesunken ist, liegt sie immer noch um ein Vielfaches über dem Niveau von Q4 2020 (1,3 Millionen). Dies unterstreicht die Wichtigkeit für Unternehmen, ihre Server, Datenbanken, Websites und Systeme mit den neuesten Patches auf dem aktuellen Stand zu halten. Nur auf diese Weise lassen sich Schwachstellen begrenzen, die Angreifer ausnutzen können.</w:t>
      </w:r>
    </w:p>
    <w:p w14:paraId="3AE525CC" w14:textId="77777777" w:rsidR="001A42F1" w:rsidRPr="001A42F1" w:rsidRDefault="001A42F1" w:rsidP="001A42F1">
      <w:pPr>
        <w:spacing w:line="288" w:lineRule="auto"/>
        <w:ind w:right="1135"/>
        <w:rPr>
          <w:rFonts w:ascii="Helvetica" w:hAnsi="Helvetica"/>
          <w:color w:val="000000" w:themeColor="text1"/>
          <w:sz w:val="20"/>
          <w:szCs w:val="20"/>
        </w:rPr>
      </w:pPr>
    </w:p>
    <w:p w14:paraId="03E7E379" w14:textId="312C6E23"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t>Ransomware, Ransomware, Ransomware</w:t>
      </w:r>
      <w:r w:rsidRPr="001A42F1">
        <w:rPr>
          <w:rFonts w:ascii="Helvetica" w:hAnsi="Helvetica"/>
          <w:color w:val="000000" w:themeColor="text1"/>
          <w:sz w:val="20"/>
          <w:szCs w:val="20"/>
        </w:rPr>
        <w:t xml:space="preserve"> </w:t>
      </w:r>
      <w:r w:rsidR="00C46EA2">
        <w:rPr>
          <w:rFonts w:ascii="Helvetica" w:hAnsi="Helvetica"/>
          <w:color w:val="000000" w:themeColor="text1"/>
          <w:sz w:val="20"/>
          <w:szCs w:val="20"/>
        </w:rPr>
        <w:t>–</w:t>
      </w:r>
      <w:r w:rsidRPr="001A42F1">
        <w:rPr>
          <w:rFonts w:ascii="Helvetica" w:hAnsi="Helvetica"/>
          <w:color w:val="000000" w:themeColor="text1"/>
          <w:sz w:val="20"/>
          <w:szCs w:val="20"/>
        </w:rPr>
        <w:t xml:space="preserve"> Nach einem steilen Rückgang im Jahr 2020 </w:t>
      </w:r>
      <w:r w:rsidR="002600C4">
        <w:rPr>
          <w:rFonts w:ascii="Helvetica" w:hAnsi="Helvetica"/>
          <w:color w:val="000000" w:themeColor="text1"/>
          <w:sz w:val="20"/>
          <w:szCs w:val="20"/>
        </w:rPr>
        <w:t>summierten sich</w:t>
      </w:r>
      <w:r w:rsidR="002600C4" w:rsidRPr="001A42F1">
        <w:rPr>
          <w:rFonts w:ascii="Helvetica" w:hAnsi="Helvetica"/>
          <w:color w:val="000000" w:themeColor="text1"/>
          <w:sz w:val="20"/>
          <w:szCs w:val="20"/>
        </w:rPr>
        <w:t xml:space="preserve"> </w:t>
      </w:r>
      <w:r w:rsidRPr="001A42F1">
        <w:rPr>
          <w:rFonts w:ascii="Helvetica" w:hAnsi="Helvetica"/>
          <w:color w:val="000000" w:themeColor="text1"/>
          <w:sz w:val="20"/>
          <w:szCs w:val="20"/>
        </w:rPr>
        <w:t xml:space="preserve">die Ransomware-Angriffe </w:t>
      </w:r>
      <w:r w:rsidR="002600C4">
        <w:rPr>
          <w:rFonts w:ascii="Helvetica" w:hAnsi="Helvetica"/>
          <w:color w:val="000000" w:themeColor="text1"/>
          <w:sz w:val="20"/>
          <w:szCs w:val="20"/>
        </w:rPr>
        <w:t xml:space="preserve">bereits </w:t>
      </w:r>
      <w:r w:rsidRPr="001A42F1">
        <w:rPr>
          <w:rFonts w:ascii="Helvetica" w:hAnsi="Helvetica"/>
          <w:color w:val="000000" w:themeColor="text1"/>
          <w:sz w:val="20"/>
          <w:szCs w:val="20"/>
        </w:rPr>
        <w:t>Ende September</w:t>
      </w:r>
      <w:r w:rsidR="00C46EA2">
        <w:rPr>
          <w:rFonts w:ascii="Helvetica" w:hAnsi="Helvetica"/>
          <w:color w:val="000000" w:themeColor="text1"/>
          <w:sz w:val="20"/>
          <w:szCs w:val="20"/>
        </w:rPr>
        <w:t xml:space="preserve"> 2021</w:t>
      </w:r>
      <w:r w:rsidRPr="001A42F1">
        <w:rPr>
          <w:rFonts w:ascii="Helvetica" w:hAnsi="Helvetica"/>
          <w:color w:val="000000" w:themeColor="text1"/>
          <w:sz w:val="20"/>
          <w:szCs w:val="20"/>
        </w:rPr>
        <w:t xml:space="preserve"> </w:t>
      </w:r>
      <w:r w:rsidR="00F468C4">
        <w:rPr>
          <w:rFonts w:ascii="Helvetica" w:hAnsi="Helvetica"/>
          <w:color w:val="000000" w:themeColor="text1"/>
          <w:sz w:val="20"/>
          <w:szCs w:val="20"/>
        </w:rPr>
        <w:t xml:space="preserve">auf </w:t>
      </w:r>
      <w:r w:rsidRPr="001A42F1">
        <w:rPr>
          <w:rFonts w:ascii="Helvetica" w:hAnsi="Helvetica"/>
          <w:color w:val="000000" w:themeColor="text1"/>
          <w:sz w:val="20"/>
          <w:szCs w:val="20"/>
        </w:rPr>
        <w:t xml:space="preserve">105 Prozent des Volumens </w:t>
      </w:r>
      <w:r w:rsidR="00C46EA2">
        <w:rPr>
          <w:rFonts w:ascii="Helvetica" w:hAnsi="Helvetica"/>
          <w:color w:val="000000" w:themeColor="text1"/>
          <w:sz w:val="20"/>
          <w:szCs w:val="20"/>
        </w:rPr>
        <w:t>des Vorjahres</w:t>
      </w:r>
      <w:r w:rsidRPr="001A42F1">
        <w:rPr>
          <w:rFonts w:ascii="Helvetica" w:hAnsi="Helvetica"/>
          <w:color w:val="000000" w:themeColor="text1"/>
          <w:sz w:val="20"/>
          <w:szCs w:val="20"/>
        </w:rPr>
        <w:t xml:space="preserve"> (wie WatchGuard am Ende des vorherigen Quartals prognostiziert hatte) und sind auf dem besten Weg, 150 Prozent zu erreichen, sobald die Daten für das gesamte Jahr analysiert sind. Ransomware-as-a-Service-Anbieter wie REvil und GandCrap legen die Messlatte für Kriminelle mit geringen oder gar keinen Programmierkenntnissen weiter nach unten, indem sie die Infrastruktur und die Malware-Nutzlasten zur Verfügung stellen, um Angriffe weltweit gegen einen Prozentsatz des Lösegelds durchzuführen. </w:t>
      </w:r>
    </w:p>
    <w:p w14:paraId="720E3CB2" w14:textId="77777777" w:rsidR="001A42F1" w:rsidRPr="001A42F1" w:rsidRDefault="001A42F1" w:rsidP="001A42F1">
      <w:pPr>
        <w:spacing w:line="288" w:lineRule="auto"/>
        <w:ind w:right="1135"/>
        <w:rPr>
          <w:rFonts w:ascii="Helvetica" w:hAnsi="Helvetica"/>
          <w:color w:val="000000" w:themeColor="text1"/>
          <w:sz w:val="20"/>
          <w:szCs w:val="20"/>
        </w:rPr>
      </w:pPr>
    </w:p>
    <w:p w14:paraId="273B6B28" w14:textId="1ADBD514" w:rsidR="001A42F1" w:rsidRPr="001A42F1" w:rsidRDefault="001A42F1" w:rsidP="00C23E65">
      <w:pPr>
        <w:spacing w:line="288" w:lineRule="auto"/>
        <w:ind w:right="1135"/>
        <w:rPr>
          <w:rFonts w:ascii="Helvetica" w:hAnsi="Helvetica"/>
          <w:color w:val="000000" w:themeColor="text1"/>
          <w:sz w:val="20"/>
          <w:szCs w:val="20"/>
        </w:rPr>
      </w:pPr>
      <w:r w:rsidRPr="001A42F1">
        <w:rPr>
          <w:rFonts w:ascii="Helvetica" w:hAnsi="Helvetica"/>
          <w:b/>
          <w:bCs/>
          <w:color w:val="000000" w:themeColor="text1"/>
          <w:sz w:val="20"/>
          <w:szCs w:val="20"/>
        </w:rPr>
        <w:t>Der wichtigste Sicherheitsvorfall des Quartals, Kaseya, war ein weiterer Beweis für die anhaltende Bedrohung durch Angriffe auf digitale Lieferketten</w:t>
      </w:r>
      <w:r w:rsidR="005355AF">
        <w:rPr>
          <w:rFonts w:ascii="Helvetica" w:hAnsi="Helvetica"/>
          <w:color w:val="000000" w:themeColor="text1"/>
          <w:sz w:val="20"/>
          <w:szCs w:val="20"/>
        </w:rPr>
        <w:t xml:space="preserve"> –</w:t>
      </w:r>
      <w:r w:rsidRPr="001A42F1">
        <w:rPr>
          <w:rFonts w:ascii="Helvetica" w:hAnsi="Helvetica"/>
          <w:color w:val="000000" w:themeColor="text1"/>
          <w:sz w:val="20"/>
          <w:szCs w:val="20"/>
        </w:rPr>
        <w:t xml:space="preserve"> Kurz vor dem Beginn des langen Wochenendes zum 4. Juli in den USA meldeten Dutzende von Unternehmen Ransomware-Angriffe auf ihre Endgeräte. In der WatchGuard-Analyse des Vorfalls wird beschrieben, wie Angreifer, die mit dem Ransomware-as-a-Service (RaaS)-Unternehmen REvil zusammenarbeiten, drei Zero-Day-Schwachstellen (einschließlich CVE-2021-30116 und CVE-2021-30118) in der Kaseya VSA Remote Monitoring and Management (RMM)-Software ausgenutzt haben. Anschließend wurde Ransomware an etwa 1.500 Organisationen und potenziell Millionen von Endpunkten verteilt. Zwar kompromittierte das FBI schließlich die Server von REvil und erhielt einige Monate später den Entschlüsselungsschlüssel. Dennoch war der Angriff eine weitere deutliche Erinnerung an Unternehmen, proaktiv Maßnahmen zu ergreifen. Darunter fallen beispielsweise die Einführung von Zero-Trust, die Anwendung des Prinzips der geringsten Privilegien für den </w:t>
      </w:r>
      <w:r w:rsidR="00FB0919">
        <w:rPr>
          <w:rFonts w:ascii="Helvetica" w:hAnsi="Helvetica"/>
          <w:color w:val="000000" w:themeColor="text1"/>
          <w:sz w:val="20"/>
          <w:szCs w:val="20"/>
        </w:rPr>
        <w:t>Mitarbeiter</w:t>
      </w:r>
      <w:r w:rsidR="00FB0919" w:rsidRPr="001A42F1">
        <w:rPr>
          <w:rFonts w:ascii="Helvetica" w:hAnsi="Helvetica"/>
          <w:color w:val="000000" w:themeColor="text1"/>
          <w:sz w:val="20"/>
          <w:szCs w:val="20"/>
        </w:rPr>
        <w:t xml:space="preserve">zugang </w:t>
      </w:r>
      <w:r w:rsidRPr="001A42F1">
        <w:rPr>
          <w:rFonts w:ascii="Helvetica" w:hAnsi="Helvetica"/>
          <w:color w:val="000000" w:themeColor="text1"/>
          <w:sz w:val="20"/>
          <w:szCs w:val="20"/>
        </w:rPr>
        <w:t>und die Sicherstellung, dass die Systeme gepatcht und auf dem neuesten Stand sind, um die Auswirkungen von Angriffen auf die Lieferkette zu minimieren.</w:t>
      </w:r>
    </w:p>
    <w:p w14:paraId="0523DCB3" w14:textId="77777777" w:rsidR="003B0419" w:rsidRPr="00B46453" w:rsidRDefault="003B0419" w:rsidP="003B0419">
      <w:pPr>
        <w:spacing w:line="288" w:lineRule="auto"/>
        <w:ind w:right="1135"/>
        <w:rPr>
          <w:rFonts w:ascii="Helvetica" w:hAnsi="Helvetica"/>
          <w:color w:val="000000" w:themeColor="text1"/>
          <w:sz w:val="20"/>
          <w:szCs w:val="20"/>
        </w:rPr>
      </w:pPr>
    </w:p>
    <w:p w14:paraId="12144C8C" w14:textId="0C9790CC" w:rsidR="00B77CC0" w:rsidRPr="00B46453" w:rsidRDefault="00B77CC0" w:rsidP="00B77CC0">
      <w:pPr>
        <w:spacing w:line="288" w:lineRule="auto"/>
        <w:ind w:right="1135"/>
        <w:rPr>
          <w:rFonts w:ascii="Helvetica" w:hAnsi="Helvetica"/>
          <w:color w:val="000000" w:themeColor="text1"/>
          <w:sz w:val="20"/>
          <w:szCs w:val="20"/>
        </w:rPr>
      </w:pPr>
      <w:r w:rsidRPr="00B46453">
        <w:rPr>
          <w:rFonts w:ascii="Helvetica" w:hAnsi="Helvetica"/>
          <w:bCs/>
          <w:color w:val="000000" w:themeColor="text1"/>
          <w:sz w:val="20"/>
          <w:szCs w:val="20"/>
        </w:rPr>
        <w:t xml:space="preserve">Die vierteljährlichen Forschungsberichte von WatchGuard basieren auf anonymisierten Firebox-Feed-Daten von aktiven WatchGuard Fireboxen, deren Besitzer </w:t>
      </w:r>
      <w:r w:rsidR="000142B3" w:rsidRPr="00B46453">
        <w:rPr>
          <w:rFonts w:ascii="Helvetica" w:hAnsi="Helvetica"/>
          <w:bCs/>
          <w:color w:val="000000" w:themeColor="text1"/>
          <w:sz w:val="20"/>
          <w:szCs w:val="20"/>
        </w:rPr>
        <w:t>der</w:t>
      </w:r>
      <w:r w:rsidRPr="00B46453">
        <w:rPr>
          <w:rFonts w:ascii="Helvetica" w:hAnsi="Helvetica"/>
          <w:bCs/>
          <w:color w:val="000000" w:themeColor="text1"/>
          <w:sz w:val="20"/>
          <w:szCs w:val="20"/>
        </w:rPr>
        <w:t xml:space="preserve"> Weitergabe von Daten zur Unterstützung der Forschungsarbeit des Threat Lab </w:t>
      </w:r>
      <w:r w:rsidR="000142B3" w:rsidRPr="00B46453">
        <w:rPr>
          <w:rFonts w:ascii="Helvetica" w:hAnsi="Helvetica"/>
          <w:bCs/>
          <w:color w:val="000000" w:themeColor="text1"/>
          <w:sz w:val="20"/>
          <w:szCs w:val="20"/>
        </w:rPr>
        <w:t xml:space="preserve">zugestimmt </w:t>
      </w:r>
      <w:r w:rsidRPr="00B46453">
        <w:rPr>
          <w:rFonts w:ascii="Helvetica" w:hAnsi="Helvetica"/>
          <w:bCs/>
          <w:color w:val="000000" w:themeColor="text1"/>
          <w:sz w:val="20"/>
          <w:szCs w:val="20"/>
        </w:rPr>
        <w:t xml:space="preserve">haben. Im </w:t>
      </w:r>
      <w:r w:rsidR="00967439">
        <w:rPr>
          <w:rFonts w:ascii="Helvetica" w:hAnsi="Helvetica"/>
          <w:bCs/>
          <w:color w:val="000000" w:themeColor="text1"/>
          <w:sz w:val="20"/>
          <w:szCs w:val="20"/>
        </w:rPr>
        <w:t>dritten</w:t>
      </w:r>
      <w:r w:rsidRPr="00B46453">
        <w:rPr>
          <w:rFonts w:ascii="Helvetica" w:hAnsi="Helvetica"/>
          <w:bCs/>
          <w:color w:val="000000" w:themeColor="text1"/>
          <w:sz w:val="20"/>
          <w:szCs w:val="20"/>
        </w:rPr>
        <w:t xml:space="preserve"> Quartal blockierte WatchGuard insgesamt mehr als 16,6 Millionen Malware-Varianten (4</w:t>
      </w:r>
      <w:r w:rsidR="003B0419" w:rsidRPr="00B46453">
        <w:rPr>
          <w:rFonts w:ascii="Helvetica" w:hAnsi="Helvetica"/>
          <w:bCs/>
          <w:color w:val="000000" w:themeColor="text1"/>
          <w:sz w:val="20"/>
          <w:szCs w:val="20"/>
        </w:rPr>
        <w:t>54</w:t>
      </w:r>
      <w:r w:rsidRPr="00B46453">
        <w:rPr>
          <w:rFonts w:ascii="Helvetica" w:hAnsi="Helvetica"/>
          <w:bCs/>
          <w:color w:val="000000" w:themeColor="text1"/>
          <w:sz w:val="20"/>
          <w:szCs w:val="20"/>
        </w:rPr>
        <w:t xml:space="preserve"> pro Gerät) und </w:t>
      </w:r>
      <w:r w:rsidR="003B0419" w:rsidRPr="00B46453">
        <w:rPr>
          <w:rFonts w:ascii="Helvetica" w:hAnsi="Helvetica"/>
          <w:bCs/>
          <w:color w:val="000000" w:themeColor="text1"/>
          <w:sz w:val="20"/>
          <w:szCs w:val="20"/>
        </w:rPr>
        <w:t>über 4</w:t>
      </w:r>
      <w:r w:rsidRPr="00B46453">
        <w:rPr>
          <w:rFonts w:ascii="Helvetica" w:hAnsi="Helvetica"/>
          <w:bCs/>
          <w:color w:val="000000" w:themeColor="text1"/>
          <w:sz w:val="20"/>
          <w:szCs w:val="20"/>
        </w:rPr>
        <w:t xml:space="preserve"> Millionen Netzwerkbedrohungen. </w:t>
      </w:r>
      <w:r w:rsidRPr="00B46453">
        <w:rPr>
          <w:rFonts w:ascii="Helvetica" w:hAnsi="Helvetica"/>
          <w:color w:val="000000" w:themeColor="text1"/>
          <w:sz w:val="20"/>
          <w:szCs w:val="20"/>
        </w:rPr>
        <w:t xml:space="preserve">Der vollständige Bericht enthält Details zu weiteren Malware- und Netzwerktrends aus dem </w:t>
      </w:r>
      <w:r w:rsidR="003B0419" w:rsidRPr="00B46453">
        <w:rPr>
          <w:rFonts w:ascii="Helvetica" w:hAnsi="Helvetica"/>
          <w:color w:val="000000" w:themeColor="text1"/>
          <w:sz w:val="20"/>
          <w:szCs w:val="20"/>
        </w:rPr>
        <w:t>dritten</w:t>
      </w:r>
      <w:r w:rsidRPr="00B46453">
        <w:rPr>
          <w:rFonts w:ascii="Helvetica" w:hAnsi="Helvetica"/>
          <w:color w:val="000000" w:themeColor="text1"/>
          <w:sz w:val="20"/>
          <w:szCs w:val="20"/>
        </w:rPr>
        <w:t xml:space="preserve"> Quartal </w:t>
      </w:r>
      <w:r w:rsidRPr="00B46453">
        <w:rPr>
          <w:rFonts w:ascii="Helvetica" w:hAnsi="Helvetica"/>
          <w:color w:val="000000" w:themeColor="text1"/>
          <w:sz w:val="20"/>
          <w:szCs w:val="20"/>
        </w:rPr>
        <w:lastRenderedPageBreak/>
        <w:t xml:space="preserve">2021, einen noch tieferen Einblick in die Bedrohungen, die in der ersten Jahreshälfte 2021 am Endpunkt erkannt wurden, empfohlene Sicherheitsstrategien </w:t>
      </w:r>
      <w:r w:rsidR="000142B3" w:rsidRPr="00B46453">
        <w:rPr>
          <w:rFonts w:ascii="Helvetica" w:hAnsi="Helvetica"/>
          <w:color w:val="000000" w:themeColor="text1"/>
          <w:sz w:val="20"/>
          <w:szCs w:val="20"/>
        </w:rPr>
        <w:t xml:space="preserve">sowie </w:t>
      </w:r>
      <w:r w:rsidRPr="00B46453">
        <w:rPr>
          <w:rFonts w:ascii="Helvetica" w:hAnsi="Helvetica"/>
          <w:color w:val="000000" w:themeColor="text1"/>
          <w:sz w:val="20"/>
          <w:szCs w:val="20"/>
        </w:rPr>
        <w:t xml:space="preserve">wichtige Abwehrtipps für Unternehmen aller Größen und Branchen </w:t>
      </w:r>
      <w:r w:rsidR="00F43849">
        <w:rPr>
          <w:rFonts w:ascii="Helvetica" w:hAnsi="Helvetica"/>
          <w:color w:val="000000" w:themeColor="text1"/>
          <w:sz w:val="20"/>
          <w:szCs w:val="20"/>
        </w:rPr>
        <w:t>sowie</w:t>
      </w:r>
      <w:r w:rsidR="00F43849" w:rsidRPr="00B46453">
        <w:rPr>
          <w:rFonts w:ascii="Helvetica" w:hAnsi="Helvetica"/>
          <w:color w:val="000000" w:themeColor="text1"/>
          <w:sz w:val="20"/>
          <w:szCs w:val="20"/>
        </w:rPr>
        <w:t xml:space="preserve"> </w:t>
      </w:r>
      <w:r w:rsidRPr="00B46453">
        <w:rPr>
          <w:rFonts w:ascii="Helvetica" w:hAnsi="Helvetica"/>
          <w:color w:val="000000" w:themeColor="text1"/>
          <w:sz w:val="20"/>
          <w:szCs w:val="20"/>
        </w:rPr>
        <w:t xml:space="preserve">vieles mehr. </w:t>
      </w:r>
    </w:p>
    <w:p w14:paraId="486F4E31" w14:textId="7B9C69F1" w:rsidR="0038716A" w:rsidRPr="00B46453" w:rsidRDefault="0038716A" w:rsidP="00591512">
      <w:pPr>
        <w:spacing w:line="288" w:lineRule="auto"/>
        <w:ind w:right="1135"/>
        <w:rPr>
          <w:rFonts w:ascii="Helvetica" w:hAnsi="Helvetica"/>
          <w:b/>
          <w:color w:val="000000" w:themeColor="text1"/>
          <w:sz w:val="20"/>
          <w:szCs w:val="20"/>
        </w:rPr>
      </w:pPr>
    </w:p>
    <w:p w14:paraId="1AA3A613" w14:textId="35AA6A97" w:rsidR="003B0419" w:rsidRPr="00B46453" w:rsidRDefault="00C87FF9" w:rsidP="003B0419">
      <w:pPr>
        <w:spacing w:line="288" w:lineRule="auto"/>
        <w:ind w:right="1135"/>
        <w:rPr>
          <w:rFonts w:ascii="Helvetica" w:hAnsi="Helvetica"/>
          <w:color w:val="000000" w:themeColor="text1"/>
          <w:sz w:val="20"/>
          <w:szCs w:val="20"/>
        </w:rPr>
      </w:pPr>
      <w:r w:rsidRPr="00B46453">
        <w:rPr>
          <w:rFonts w:ascii="Helvetica" w:hAnsi="Helvetica"/>
          <w:bCs/>
          <w:color w:val="000000" w:themeColor="text1"/>
          <w:sz w:val="20"/>
          <w:szCs w:val="20"/>
        </w:rPr>
        <w:t xml:space="preserve">Der </w:t>
      </w:r>
      <w:r w:rsidR="00DF196D" w:rsidRPr="00B46453">
        <w:rPr>
          <w:rFonts w:ascii="Helvetica" w:hAnsi="Helvetica"/>
          <w:bCs/>
          <w:color w:val="000000" w:themeColor="text1"/>
          <w:sz w:val="20"/>
          <w:szCs w:val="20"/>
        </w:rPr>
        <w:t>aktuelle Internet Security Report</w:t>
      </w:r>
      <w:r w:rsidR="003D549A" w:rsidRPr="00B46453">
        <w:rPr>
          <w:rFonts w:ascii="Helvetica" w:hAnsi="Helvetica"/>
          <w:bCs/>
          <w:color w:val="000000" w:themeColor="text1"/>
          <w:sz w:val="20"/>
          <w:szCs w:val="20"/>
        </w:rPr>
        <w:t xml:space="preserve"> </w:t>
      </w:r>
      <w:r w:rsidR="007A7540" w:rsidRPr="00B46453">
        <w:rPr>
          <w:rFonts w:ascii="Helvetica" w:hAnsi="Helvetica"/>
          <w:bCs/>
          <w:color w:val="000000" w:themeColor="text1"/>
          <w:sz w:val="20"/>
          <w:szCs w:val="20"/>
        </w:rPr>
        <w:t xml:space="preserve">in englischer Sprache </w:t>
      </w:r>
      <w:r w:rsidR="003D549A" w:rsidRPr="00B46453">
        <w:rPr>
          <w:rFonts w:ascii="Helvetica" w:hAnsi="Helvetica"/>
          <w:bCs/>
          <w:color w:val="000000" w:themeColor="text1"/>
          <w:sz w:val="20"/>
          <w:szCs w:val="20"/>
        </w:rPr>
        <w:t xml:space="preserve">steht </w:t>
      </w:r>
      <w:r w:rsidRPr="00B46453">
        <w:rPr>
          <w:rFonts w:ascii="Helvetica" w:hAnsi="Helvetica"/>
          <w:bCs/>
          <w:color w:val="000000" w:themeColor="text1"/>
          <w:sz w:val="20"/>
          <w:szCs w:val="20"/>
        </w:rPr>
        <w:t>online</w:t>
      </w:r>
      <w:r w:rsidR="003D549A" w:rsidRPr="00B46453">
        <w:rPr>
          <w:rFonts w:ascii="Helvetica" w:hAnsi="Helvetica"/>
          <w:bCs/>
          <w:color w:val="000000" w:themeColor="text1"/>
          <w:sz w:val="20"/>
          <w:szCs w:val="20"/>
        </w:rPr>
        <w:t xml:space="preserve"> zum Download zur Verfügung:</w:t>
      </w:r>
      <w:r w:rsidR="003B0419" w:rsidRPr="00B46453">
        <w:rPr>
          <w:rFonts w:ascii="Helvetica" w:hAnsi="Helvetica"/>
          <w:bCs/>
          <w:color w:val="000000" w:themeColor="text1"/>
          <w:sz w:val="20"/>
          <w:szCs w:val="20"/>
        </w:rPr>
        <w:t xml:space="preserve"> </w:t>
      </w:r>
      <w:hyperlink r:id="rId12" w:history="1">
        <w:r w:rsidR="003B0419" w:rsidRPr="00B46453">
          <w:rPr>
            <w:rStyle w:val="Hyperlink"/>
            <w:rFonts w:ascii="Helvetica" w:hAnsi="Helvetica"/>
            <w:sz w:val="20"/>
            <w:szCs w:val="20"/>
          </w:rPr>
          <w:t>https://www.watchguard.com/wgrd-resource-center/security-report-q3-2021</w:t>
        </w:r>
      </w:hyperlink>
    </w:p>
    <w:p w14:paraId="6A6E8413" w14:textId="77777777" w:rsidR="0066262A" w:rsidRPr="00B46453" w:rsidRDefault="0066262A" w:rsidP="003D549A">
      <w:pPr>
        <w:pStyle w:val="Textkrper"/>
        <w:spacing w:line="288" w:lineRule="auto"/>
        <w:ind w:right="1135"/>
        <w:rPr>
          <w:rFonts w:eastAsia="MS Mincho"/>
          <w:sz w:val="20"/>
          <w:szCs w:val="20"/>
          <w:lang w:eastAsia="de-DE"/>
        </w:rPr>
      </w:pPr>
    </w:p>
    <w:p w14:paraId="73691E1A" w14:textId="377E237F" w:rsidR="003D549A" w:rsidRPr="00B46453" w:rsidRDefault="003D549A" w:rsidP="003D549A">
      <w:pPr>
        <w:pStyle w:val="Textkrper"/>
        <w:spacing w:line="288" w:lineRule="auto"/>
        <w:ind w:right="1135"/>
        <w:rPr>
          <w:rFonts w:eastAsia="MS Mincho"/>
          <w:sz w:val="20"/>
          <w:szCs w:val="20"/>
          <w:lang w:eastAsia="de-DE"/>
        </w:rPr>
      </w:pPr>
      <w:r w:rsidRPr="00B46453">
        <w:rPr>
          <w:rFonts w:eastAsia="MS Mincho"/>
          <w:sz w:val="20"/>
          <w:szCs w:val="20"/>
          <w:lang w:eastAsia="de-DE"/>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3D549A" w:rsidRPr="00B46453" w14:paraId="07EE1990" w14:textId="77777777" w:rsidTr="00DF5359">
        <w:trPr>
          <w:trHeight w:val="1985"/>
        </w:trPr>
        <w:tc>
          <w:tcPr>
            <w:tcW w:w="3686" w:type="dxa"/>
          </w:tcPr>
          <w:p w14:paraId="22B4C92D" w14:textId="789228DC" w:rsidR="003D549A" w:rsidRPr="00B46453" w:rsidRDefault="003D549A" w:rsidP="00DF5359">
            <w:pPr>
              <w:pStyle w:val="Kopfzeile"/>
              <w:ind w:right="-141"/>
            </w:pPr>
          </w:p>
          <w:p w14:paraId="0C969566" w14:textId="77777777" w:rsidR="003D549A" w:rsidRPr="00B46453" w:rsidRDefault="003D549A" w:rsidP="00DF5359">
            <w:pPr>
              <w:pStyle w:val="Kopfzeile"/>
              <w:ind w:right="-141"/>
            </w:pPr>
            <w:r w:rsidRPr="00B46453">
              <w:rPr>
                <w:noProof/>
              </w:rPr>
              <w:drawing>
                <wp:inline distT="0" distB="0" distL="0" distR="0" wp14:anchorId="18314444" wp14:editId="531EB692">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13"/>
                          <a:stretch>
                            <a:fillRect/>
                          </a:stretch>
                        </pic:blipFill>
                        <pic:spPr>
                          <a:xfrm>
                            <a:off x="0" y="0"/>
                            <a:ext cx="846546" cy="1058183"/>
                          </a:xfrm>
                          <a:prstGeom prst="rect">
                            <a:avLst/>
                          </a:prstGeom>
                        </pic:spPr>
                      </pic:pic>
                    </a:graphicData>
                  </a:graphic>
                </wp:inline>
              </w:drawing>
            </w:r>
          </w:p>
        </w:tc>
      </w:tr>
      <w:tr w:rsidR="003D549A" w:rsidRPr="000C4953" w14:paraId="377B3873" w14:textId="77777777" w:rsidTr="00DF5359">
        <w:trPr>
          <w:trHeight w:val="544"/>
        </w:trPr>
        <w:tc>
          <w:tcPr>
            <w:tcW w:w="3686" w:type="dxa"/>
          </w:tcPr>
          <w:p w14:paraId="545762EE" w14:textId="39DBA52C" w:rsidR="003D549A" w:rsidRPr="00C23E65" w:rsidRDefault="003D549A" w:rsidP="00DF5359">
            <w:pPr>
              <w:tabs>
                <w:tab w:val="left" w:pos="3828"/>
                <w:tab w:val="left" w:pos="5245"/>
                <w:tab w:val="left" w:pos="7938"/>
              </w:tabs>
              <w:spacing w:line="288" w:lineRule="auto"/>
              <w:ind w:right="222"/>
              <w:rPr>
                <w:rFonts w:ascii="Helvetica" w:hAnsi="Helvetica"/>
                <w:sz w:val="16"/>
                <w:szCs w:val="16"/>
                <w:lang w:val="en-US"/>
              </w:rPr>
            </w:pPr>
            <w:r w:rsidRPr="00C23E65">
              <w:rPr>
                <w:rFonts w:ascii="Helvetica" w:hAnsi="Helvetica"/>
                <w:sz w:val="16"/>
                <w:szCs w:val="16"/>
                <w:lang w:val="en-US"/>
              </w:rPr>
              <w:t xml:space="preserve">Corey Nachreiner, Chief </w:t>
            </w:r>
            <w:r w:rsidR="009F08D9" w:rsidRPr="00C23E65">
              <w:rPr>
                <w:rFonts w:ascii="Helvetica" w:hAnsi="Helvetica"/>
                <w:sz w:val="16"/>
                <w:szCs w:val="16"/>
                <w:lang w:val="en-US"/>
              </w:rPr>
              <w:t>Security</w:t>
            </w:r>
            <w:r w:rsidRPr="00C23E65">
              <w:rPr>
                <w:rFonts w:ascii="Helvetica" w:hAnsi="Helvetica"/>
                <w:sz w:val="16"/>
                <w:szCs w:val="16"/>
                <w:lang w:val="en-US"/>
              </w:rPr>
              <w:t xml:space="preserve"> Officer bei WatchGuard Technologies</w:t>
            </w:r>
          </w:p>
        </w:tc>
      </w:tr>
    </w:tbl>
    <w:p w14:paraId="0D317483" w14:textId="77777777" w:rsidR="003D549A" w:rsidRPr="00C23E65" w:rsidRDefault="003D549A" w:rsidP="003D549A">
      <w:pPr>
        <w:spacing w:line="288" w:lineRule="auto"/>
        <w:ind w:right="1134"/>
        <w:rPr>
          <w:rFonts w:ascii="Helvetica" w:hAnsi="Helvetica"/>
          <w:sz w:val="20"/>
          <w:szCs w:val="20"/>
          <w:lang w:val="en-US"/>
        </w:rPr>
      </w:pPr>
    </w:p>
    <w:p w14:paraId="3D4F8C2C" w14:textId="77777777" w:rsidR="003D549A" w:rsidRPr="00C23E65" w:rsidRDefault="003D549A" w:rsidP="003D549A">
      <w:pPr>
        <w:spacing w:line="288" w:lineRule="auto"/>
        <w:ind w:right="1134"/>
        <w:rPr>
          <w:rFonts w:ascii="Helvetica" w:hAnsi="Helvetica"/>
          <w:color w:val="000000" w:themeColor="text1"/>
          <w:sz w:val="20"/>
          <w:szCs w:val="20"/>
          <w:lang w:val="en-US"/>
        </w:rPr>
      </w:pPr>
    </w:p>
    <w:p w14:paraId="2FC151DF" w14:textId="77777777" w:rsidR="003D549A" w:rsidRPr="00C23E65" w:rsidRDefault="003D549A" w:rsidP="003D549A">
      <w:pPr>
        <w:spacing w:line="288" w:lineRule="auto"/>
        <w:rPr>
          <w:rFonts w:ascii="Helvetica" w:hAnsi="Helvetica"/>
          <w:color w:val="000000" w:themeColor="text1"/>
          <w:sz w:val="20"/>
          <w:szCs w:val="20"/>
          <w:lang w:val="en-US"/>
        </w:rPr>
      </w:pPr>
    </w:p>
    <w:p w14:paraId="266EA258" w14:textId="77777777" w:rsidR="003D549A" w:rsidRPr="00C23E65" w:rsidRDefault="003D549A" w:rsidP="003D549A">
      <w:pPr>
        <w:spacing w:line="288" w:lineRule="auto"/>
        <w:rPr>
          <w:rFonts w:ascii="Helvetica" w:hAnsi="Helvetica"/>
          <w:color w:val="000000" w:themeColor="text1"/>
          <w:sz w:val="20"/>
          <w:szCs w:val="20"/>
          <w:lang w:val="en-US"/>
        </w:rPr>
      </w:pPr>
    </w:p>
    <w:p w14:paraId="7D56C4A2" w14:textId="77777777" w:rsidR="003D549A" w:rsidRPr="00C23E65" w:rsidRDefault="003D549A" w:rsidP="003D549A">
      <w:pPr>
        <w:spacing w:line="288" w:lineRule="auto"/>
        <w:rPr>
          <w:rFonts w:ascii="Helvetica" w:hAnsi="Helvetica"/>
          <w:color w:val="000000" w:themeColor="text1"/>
          <w:sz w:val="20"/>
          <w:szCs w:val="20"/>
          <w:lang w:val="en-US"/>
        </w:rPr>
      </w:pPr>
    </w:p>
    <w:p w14:paraId="04C283AD" w14:textId="77777777" w:rsidR="003D549A" w:rsidRPr="00C23E65" w:rsidRDefault="003D549A" w:rsidP="003D549A">
      <w:pPr>
        <w:spacing w:line="288" w:lineRule="auto"/>
        <w:rPr>
          <w:rFonts w:ascii="Helvetica" w:hAnsi="Helvetica"/>
          <w:color w:val="000000" w:themeColor="text1"/>
          <w:sz w:val="20"/>
          <w:szCs w:val="20"/>
          <w:lang w:val="en-US"/>
        </w:rPr>
      </w:pPr>
    </w:p>
    <w:p w14:paraId="35422B09" w14:textId="77777777" w:rsidR="003D549A" w:rsidRPr="00C23E65" w:rsidRDefault="003D549A" w:rsidP="003D549A">
      <w:pPr>
        <w:spacing w:line="288" w:lineRule="auto"/>
        <w:rPr>
          <w:rFonts w:ascii="Helvetica" w:hAnsi="Helvetica"/>
          <w:color w:val="000000" w:themeColor="text1"/>
          <w:sz w:val="20"/>
          <w:szCs w:val="20"/>
          <w:lang w:val="en-US"/>
        </w:rPr>
      </w:pPr>
    </w:p>
    <w:p w14:paraId="4679D209" w14:textId="77777777" w:rsidR="003D549A" w:rsidRPr="00C23E65" w:rsidRDefault="003D549A" w:rsidP="003D549A">
      <w:pPr>
        <w:spacing w:line="288" w:lineRule="auto"/>
        <w:rPr>
          <w:rFonts w:ascii="Helvetica" w:hAnsi="Helvetica"/>
          <w:color w:val="000000" w:themeColor="text1"/>
          <w:sz w:val="20"/>
          <w:szCs w:val="20"/>
          <w:lang w:val="en-US"/>
        </w:rPr>
      </w:pPr>
    </w:p>
    <w:p w14:paraId="7C36C6F7" w14:textId="77777777" w:rsidR="003D549A" w:rsidRPr="00C23E65" w:rsidRDefault="003D549A" w:rsidP="003D549A">
      <w:pPr>
        <w:spacing w:line="288" w:lineRule="auto"/>
        <w:rPr>
          <w:rFonts w:ascii="Helvetica" w:hAnsi="Helvetica"/>
          <w:color w:val="000000" w:themeColor="text1"/>
          <w:sz w:val="20"/>
          <w:szCs w:val="20"/>
          <w:lang w:val="en-US"/>
        </w:rPr>
      </w:pPr>
    </w:p>
    <w:p w14:paraId="5C7BE5F1" w14:textId="16A80FD9" w:rsidR="003D549A" w:rsidRPr="00B46453" w:rsidRDefault="003D549A" w:rsidP="003D549A">
      <w:pPr>
        <w:spacing w:line="288" w:lineRule="auto"/>
        <w:rPr>
          <w:rFonts w:ascii="Helvetica" w:hAnsi="Helvetica"/>
          <w:color w:val="000000" w:themeColor="text1"/>
          <w:sz w:val="20"/>
          <w:szCs w:val="20"/>
        </w:rPr>
      </w:pPr>
      <w:r w:rsidRPr="00B46453">
        <w:rPr>
          <w:rFonts w:ascii="Helvetica" w:hAnsi="Helvetica"/>
          <w:color w:val="000000" w:themeColor="text1"/>
          <w:sz w:val="20"/>
          <w:szCs w:val="20"/>
        </w:rPr>
        <w:t>Das Bildmaterial zum Download finden Sie in unserem Medienportal press-n-relations.amid-pr.com (Suchbegriff „</w:t>
      </w:r>
      <w:hyperlink r:id="rId14" w:history="1">
        <w:r w:rsidRPr="00B46453">
          <w:rPr>
            <w:rStyle w:val="Hyperlink"/>
            <w:rFonts w:ascii="Helvetica" w:hAnsi="Helvetica"/>
            <w:sz w:val="20"/>
            <w:szCs w:val="20"/>
          </w:rPr>
          <w:t>Corey Nachreiner</w:t>
        </w:r>
      </w:hyperlink>
      <w:r w:rsidRPr="00B46453">
        <w:rPr>
          <w:rFonts w:ascii="Helvetica" w:hAnsi="Helvetica"/>
          <w:color w:val="000000" w:themeColor="text1"/>
          <w:sz w:val="20"/>
          <w:szCs w:val="20"/>
        </w:rPr>
        <w:t>"). Selbstverständlich schicke ich Ihnen die Datei auch gerne per E-Mail zu. Kontakt: rh@press-n-relations.de</w:t>
      </w:r>
    </w:p>
    <w:p w14:paraId="25D6B638" w14:textId="77777777" w:rsidR="008C62CF" w:rsidRPr="00B46453" w:rsidRDefault="008C62CF" w:rsidP="00765266">
      <w:pPr>
        <w:spacing w:line="288" w:lineRule="auto"/>
        <w:rPr>
          <w:rFonts w:ascii="Helvetica" w:hAnsi="Helvetica"/>
          <w:color w:val="000000" w:themeColor="text1"/>
          <w:sz w:val="20"/>
          <w:szCs w:val="20"/>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B46453" w14:paraId="52ACB12D" w14:textId="77777777" w:rsidTr="00A75D14">
        <w:trPr>
          <w:trHeight w:val="1436"/>
        </w:trPr>
        <w:tc>
          <w:tcPr>
            <w:tcW w:w="4606" w:type="dxa"/>
          </w:tcPr>
          <w:p w14:paraId="655FDFE6" w14:textId="77777777" w:rsidR="006F3C2D" w:rsidRPr="00C23E65" w:rsidRDefault="008B4BBB" w:rsidP="00A75D14">
            <w:pPr>
              <w:pStyle w:val="Textkrper"/>
              <w:spacing w:line="312" w:lineRule="auto"/>
              <w:ind w:right="426"/>
              <w:rPr>
                <w:bCs/>
                <w:color w:val="000000" w:themeColor="text1"/>
                <w:sz w:val="16"/>
                <w:lang w:val="en-US"/>
              </w:rPr>
            </w:pPr>
            <w:r w:rsidRPr="00C23E65">
              <w:rPr>
                <w:bCs/>
                <w:color w:val="000000" w:themeColor="text1"/>
                <w:sz w:val="16"/>
                <w:lang w:val="en-US"/>
              </w:rPr>
              <w:t>Kontakt</w:t>
            </w:r>
            <w:r w:rsidR="006F3C2D" w:rsidRPr="00C23E65">
              <w:rPr>
                <w:bCs/>
                <w:color w:val="000000" w:themeColor="text1"/>
                <w:sz w:val="16"/>
                <w:lang w:val="en-US"/>
              </w:rPr>
              <w:t>:</w:t>
            </w:r>
          </w:p>
          <w:p w14:paraId="2A1D785C" w14:textId="77777777" w:rsidR="006F3C2D" w:rsidRPr="00C23E65" w:rsidRDefault="006F3C2D"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Technologies</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GmbH</w:t>
            </w:r>
          </w:p>
          <w:p w14:paraId="479F3A49" w14:textId="77777777" w:rsidR="006F3C2D" w:rsidRPr="00C23E65" w:rsidRDefault="000E0BA1" w:rsidP="00A75D14">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Moll</w:t>
            </w:r>
            <w:r w:rsidR="00F91F98" w:rsidRPr="00C23E65">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Field</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Marketing</w:t>
            </w:r>
            <w:r w:rsidR="00F91F98" w:rsidRPr="00C23E65">
              <w:rPr>
                <w:b w:val="0"/>
                <w:color w:val="000000" w:themeColor="text1"/>
                <w:spacing w:val="-2"/>
                <w:sz w:val="16"/>
                <w:szCs w:val="16"/>
                <w:lang w:val="en-US"/>
              </w:rPr>
              <w:t xml:space="preserve"> </w:t>
            </w:r>
            <w:r w:rsidRPr="00C23E65">
              <w:rPr>
                <w:b w:val="0"/>
                <w:color w:val="000000" w:themeColor="text1"/>
                <w:spacing w:val="-2"/>
                <w:sz w:val="16"/>
                <w:szCs w:val="16"/>
                <w:lang w:val="en-US"/>
              </w:rPr>
              <w:t>Manager</w:t>
            </w:r>
            <w:r w:rsidR="00F91F98" w:rsidRPr="00C23E65">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Central</w:t>
            </w:r>
            <w:r w:rsidR="00F91F98" w:rsidRPr="00C23E65">
              <w:rPr>
                <w:b w:val="0"/>
                <w:color w:val="000000" w:themeColor="text1"/>
                <w:spacing w:val="-2"/>
                <w:sz w:val="16"/>
                <w:szCs w:val="16"/>
                <w:lang w:val="en-US"/>
              </w:rPr>
              <w:t xml:space="preserve"> </w:t>
            </w:r>
            <w:r w:rsidR="006F3C2D" w:rsidRPr="00C23E65">
              <w:rPr>
                <w:b w:val="0"/>
                <w:color w:val="000000" w:themeColor="text1"/>
                <w:spacing w:val="-2"/>
                <w:sz w:val="16"/>
                <w:szCs w:val="16"/>
                <w:lang w:val="en-US"/>
              </w:rPr>
              <w:t>Europe</w:t>
            </w:r>
          </w:p>
          <w:p w14:paraId="428BECB1" w14:textId="77777777"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w:t>
            </w:r>
            <w:r w:rsidR="00F91F98" w:rsidRPr="00B46453">
              <w:rPr>
                <w:b w:val="0"/>
                <w:color w:val="000000" w:themeColor="text1"/>
                <w:spacing w:val="-2"/>
                <w:sz w:val="16"/>
                <w:szCs w:val="16"/>
              </w:rPr>
              <w:t xml:space="preserve"> </w:t>
            </w:r>
            <w:r w:rsidRPr="00B46453">
              <w:rPr>
                <w:b w:val="0"/>
                <w:color w:val="000000" w:themeColor="text1"/>
                <w:spacing w:val="-2"/>
                <w:sz w:val="16"/>
                <w:szCs w:val="16"/>
              </w:rPr>
              <w:t>379,</w:t>
            </w:r>
            <w:r w:rsidR="00F91F98" w:rsidRPr="00B46453">
              <w:rPr>
                <w:b w:val="0"/>
                <w:color w:val="000000" w:themeColor="text1"/>
                <w:spacing w:val="-2"/>
                <w:sz w:val="16"/>
                <w:szCs w:val="16"/>
              </w:rPr>
              <w:t xml:space="preserve"> </w:t>
            </w:r>
            <w:r w:rsidRPr="00B46453">
              <w:rPr>
                <w:b w:val="0"/>
                <w:color w:val="000000" w:themeColor="text1"/>
                <w:spacing w:val="-2"/>
                <w:sz w:val="16"/>
                <w:szCs w:val="16"/>
              </w:rPr>
              <w:t>20537</w:t>
            </w:r>
            <w:r w:rsidR="00F91F98" w:rsidRPr="00B46453">
              <w:rPr>
                <w:b w:val="0"/>
                <w:color w:val="000000" w:themeColor="text1"/>
                <w:spacing w:val="-2"/>
                <w:sz w:val="16"/>
                <w:szCs w:val="16"/>
              </w:rPr>
              <w:t xml:space="preserve"> </w:t>
            </w:r>
            <w:r w:rsidRPr="00B46453">
              <w:rPr>
                <w:b w:val="0"/>
                <w:color w:val="000000" w:themeColor="text1"/>
                <w:spacing w:val="-2"/>
                <w:sz w:val="16"/>
                <w:szCs w:val="16"/>
              </w:rPr>
              <w:t>Hamburg</w:t>
            </w:r>
          </w:p>
          <w:p w14:paraId="0D042AE7" w14:textId="77777777" w:rsidR="006F3C2D" w:rsidRPr="00B46453" w:rsidRDefault="006F3C2D"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w:t>
            </w:r>
            <w:r w:rsidR="00F91F98" w:rsidRPr="00B46453">
              <w:rPr>
                <w:b w:val="0"/>
                <w:color w:val="000000" w:themeColor="text1"/>
                <w:spacing w:val="-2"/>
                <w:sz w:val="16"/>
                <w:szCs w:val="16"/>
              </w:rPr>
              <w:t xml:space="preserve"> </w:t>
            </w:r>
            <w:r w:rsidR="00825C5E" w:rsidRPr="00B46453">
              <w:rPr>
                <w:b w:val="0"/>
                <w:color w:val="000000" w:themeColor="text1"/>
                <w:spacing w:val="-2"/>
                <w:sz w:val="16"/>
                <w:szCs w:val="16"/>
              </w:rPr>
              <w:t>+49</w:t>
            </w:r>
            <w:r w:rsidR="00F91F98" w:rsidRPr="00B46453">
              <w:rPr>
                <w:b w:val="0"/>
                <w:color w:val="000000" w:themeColor="text1"/>
                <w:spacing w:val="-2"/>
                <w:sz w:val="16"/>
                <w:szCs w:val="16"/>
              </w:rPr>
              <w:t xml:space="preserve"> </w:t>
            </w:r>
            <w:r w:rsidR="00825C5E" w:rsidRPr="00B46453">
              <w:rPr>
                <w:b w:val="0"/>
                <w:color w:val="000000" w:themeColor="text1"/>
                <w:spacing w:val="-2"/>
                <w:sz w:val="16"/>
                <w:szCs w:val="16"/>
              </w:rPr>
              <w:t>152</w:t>
            </w:r>
            <w:r w:rsidR="00F91F98" w:rsidRPr="00B46453">
              <w:rPr>
                <w:b w:val="0"/>
                <w:color w:val="000000" w:themeColor="text1"/>
                <w:spacing w:val="-2"/>
                <w:sz w:val="16"/>
                <w:szCs w:val="16"/>
              </w:rPr>
              <w:t xml:space="preserve"> </w:t>
            </w:r>
            <w:r w:rsidR="00825C5E" w:rsidRPr="00B46453">
              <w:rPr>
                <w:b w:val="0"/>
                <w:color w:val="000000" w:themeColor="text1"/>
                <w:spacing w:val="-2"/>
                <w:sz w:val="16"/>
                <w:szCs w:val="16"/>
              </w:rPr>
              <w:t>31795040</w:t>
            </w:r>
          </w:p>
          <w:p w14:paraId="73EEA945" w14:textId="77777777" w:rsidR="006F3C2D" w:rsidRPr="00B46453" w:rsidRDefault="000E0BA1" w:rsidP="00A75D14">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t>
            </w:r>
            <w:r w:rsidR="006F3C2D" w:rsidRPr="00B46453">
              <w:rPr>
                <w:b w:val="0"/>
                <w:color w:val="000000" w:themeColor="text1"/>
                <w:spacing w:val="-2"/>
                <w:sz w:val="16"/>
                <w:szCs w:val="16"/>
              </w:rPr>
              <w:t>@watchguard.com</w:t>
            </w:r>
          </w:p>
          <w:p w14:paraId="25E0B59A" w14:textId="77777777" w:rsidR="006F3C2D" w:rsidRPr="00B46453" w:rsidRDefault="006F3C2D" w:rsidP="00A75D14">
            <w:pPr>
              <w:pStyle w:val="Textkrper"/>
              <w:tabs>
                <w:tab w:val="left" w:pos="7513"/>
              </w:tabs>
              <w:spacing w:line="312" w:lineRule="auto"/>
              <w:rPr>
                <w:b w:val="0"/>
                <w:color w:val="000000" w:themeColor="text1"/>
                <w:sz w:val="16"/>
              </w:rPr>
            </w:pPr>
            <w:r w:rsidRPr="00B46453">
              <w:rPr>
                <w:b w:val="0"/>
                <w:color w:val="000000" w:themeColor="text1"/>
                <w:spacing w:val="-2"/>
                <w:sz w:val="16"/>
                <w:szCs w:val="16"/>
              </w:rPr>
              <w:t>www.watchguard.de</w:t>
            </w:r>
          </w:p>
        </w:tc>
        <w:tc>
          <w:tcPr>
            <w:tcW w:w="4111" w:type="dxa"/>
          </w:tcPr>
          <w:p w14:paraId="38A3A066" w14:textId="77777777" w:rsidR="006F3C2D" w:rsidRPr="00B46453" w:rsidRDefault="006F3C2D" w:rsidP="00A75D14">
            <w:pPr>
              <w:pStyle w:val="Textkrper"/>
              <w:tabs>
                <w:tab w:val="left" w:pos="7513"/>
              </w:tabs>
              <w:spacing w:line="312" w:lineRule="auto"/>
              <w:ind w:right="426"/>
              <w:rPr>
                <w:bCs/>
                <w:color w:val="000000" w:themeColor="text1"/>
                <w:sz w:val="16"/>
              </w:rPr>
            </w:pPr>
            <w:r w:rsidRPr="00B46453">
              <w:rPr>
                <w:bCs/>
                <w:color w:val="000000" w:themeColor="text1"/>
                <w:sz w:val="16"/>
              </w:rPr>
              <w:t>Presse-</w:t>
            </w:r>
            <w:r w:rsidR="00F91F98" w:rsidRPr="00B46453">
              <w:rPr>
                <w:bCs/>
                <w:color w:val="000000" w:themeColor="text1"/>
                <w:sz w:val="16"/>
              </w:rPr>
              <w:t xml:space="preserve"> </w:t>
            </w:r>
            <w:r w:rsidRPr="00B46453">
              <w:rPr>
                <w:bCs/>
                <w:color w:val="000000" w:themeColor="text1"/>
                <w:sz w:val="16"/>
              </w:rPr>
              <w:t>und</w:t>
            </w:r>
            <w:r w:rsidR="00F91F98" w:rsidRPr="00B46453">
              <w:rPr>
                <w:bCs/>
                <w:color w:val="000000" w:themeColor="text1"/>
                <w:sz w:val="16"/>
              </w:rPr>
              <w:t xml:space="preserve"> </w:t>
            </w:r>
            <w:r w:rsidRPr="00B46453">
              <w:rPr>
                <w:bCs/>
                <w:color w:val="000000" w:themeColor="text1"/>
                <w:sz w:val="16"/>
              </w:rPr>
              <w:t>Öffentlichkeitsarbeit:</w:t>
            </w:r>
          </w:p>
          <w:p w14:paraId="784D3F85" w14:textId="77777777"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w:t>
            </w:r>
            <w:r w:rsidR="00F91F98" w:rsidRPr="00B46453">
              <w:rPr>
                <w:b w:val="0"/>
                <w:color w:val="000000" w:themeColor="text1"/>
                <w:spacing w:val="-2"/>
                <w:sz w:val="16"/>
                <w:szCs w:val="16"/>
              </w:rPr>
              <w:t xml:space="preserve"> </w:t>
            </w:r>
            <w:r w:rsidRPr="00B46453">
              <w:rPr>
                <w:b w:val="0"/>
                <w:color w:val="000000" w:themeColor="text1"/>
                <w:spacing w:val="-2"/>
                <w:sz w:val="16"/>
                <w:szCs w:val="16"/>
              </w:rPr>
              <w:t>GmbH</w:t>
            </w:r>
          </w:p>
          <w:p w14:paraId="468AC2AF" w14:textId="64B8A0F7" w:rsidR="006F3C2D" w:rsidRPr="00B46453" w:rsidRDefault="006F3C2D" w:rsidP="00A75D14">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w:t>
            </w:r>
            <w:r w:rsidR="00F91F98" w:rsidRPr="00B46453">
              <w:rPr>
                <w:b w:val="0"/>
                <w:color w:val="000000" w:themeColor="text1"/>
                <w:spacing w:val="-2"/>
                <w:sz w:val="16"/>
                <w:szCs w:val="16"/>
              </w:rPr>
              <w:t xml:space="preserve"> </w:t>
            </w:r>
            <w:r w:rsidR="00C03B66" w:rsidRPr="00B46453">
              <w:rPr>
                <w:b w:val="0"/>
                <w:color w:val="000000" w:themeColor="text1"/>
                <w:spacing w:val="-2"/>
                <w:sz w:val="16"/>
                <w:szCs w:val="16"/>
              </w:rPr>
              <w:t>Horn</w:t>
            </w:r>
          </w:p>
          <w:p w14:paraId="545B86AB" w14:textId="7777777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w:t>
            </w:r>
            <w:r w:rsidR="00F91F98" w:rsidRPr="00B46453">
              <w:rPr>
                <w:b w:val="0"/>
                <w:color w:val="000000" w:themeColor="text1"/>
                <w:spacing w:val="-2"/>
                <w:sz w:val="16"/>
                <w:szCs w:val="16"/>
              </w:rPr>
              <w:t xml:space="preserve"> </w:t>
            </w:r>
            <w:r w:rsidRPr="00B46453">
              <w:rPr>
                <w:b w:val="0"/>
                <w:color w:val="000000" w:themeColor="text1"/>
                <w:spacing w:val="-2"/>
                <w:sz w:val="16"/>
                <w:szCs w:val="16"/>
              </w:rPr>
              <w:t>33,</w:t>
            </w:r>
            <w:r w:rsidR="00F91F98" w:rsidRPr="00B46453">
              <w:rPr>
                <w:b w:val="0"/>
                <w:color w:val="000000" w:themeColor="text1"/>
                <w:spacing w:val="-2"/>
                <w:sz w:val="16"/>
                <w:szCs w:val="16"/>
              </w:rPr>
              <w:t xml:space="preserve"> </w:t>
            </w:r>
            <w:r w:rsidRPr="00B46453">
              <w:rPr>
                <w:b w:val="0"/>
                <w:color w:val="000000" w:themeColor="text1"/>
                <w:spacing w:val="-2"/>
                <w:sz w:val="16"/>
                <w:szCs w:val="16"/>
              </w:rPr>
              <w:t>89077</w:t>
            </w:r>
            <w:r w:rsidR="00F91F98" w:rsidRPr="00B46453">
              <w:rPr>
                <w:b w:val="0"/>
                <w:color w:val="000000" w:themeColor="text1"/>
                <w:spacing w:val="-2"/>
                <w:sz w:val="16"/>
                <w:szCs w:val="16"/>
              </w:rPr>
              <w:t xml:space="preserve"> </w:t>
            </w:r>
            <w:r w:rsidRPr="00B46453">
              <w:rPr>
                <w:b w:val="0"/>
                <w:color w:val="000000" w:themeColor="text1"/>
                <w:spacing w:val="-2"/>
                <w:sz w:val="16"/>
                <w:szCs w:val="16"/>
              </w:rPr>
              <w:t>Ulm</w:t>
            </w:r>
          </w:p>
          <w:p w14:paraId="564A38D1" w14:textId="7777777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Tel.:</w:t>
            </w:r>
            <w:r w:rsidR="00F91F98" w:rsidRPr="00B46453">
              <w:rPr>
                <w:b w:val="0"/>
                <w:color w:val="000000" w:themeColor="text1"/>
                <w:spacing w:val="-2"/>
                <w:sz w:val="16"/>
                <w:szCs w:val="16"/>
              </w:rPr>
              <w:t xml:space="preserve"> </w:t>
            </w:r>
            <w:r w:rsidRPr="00B46453">
              <w:rPr>
                <w:b w:val="0"/>
                <w:color w:val="000000" w:themeColor="text1"/>
                <w:spacing w:val="-2"/>
                <w:sz w:val="16"/>
                <w:szCs w:val="16"/>
              </w:rPr>
              <w:t>+49</w:t>
            </w:r>
            <w:r w:rsidR="00F91F98" w:rsidRPr="00B46453">
              <w:rPr>
                <w:b w:val="0"/>
                <w:color w:val="000000" w:themeColor="text1"/>
                <w:spacing w:val="-2"/>
                <w:sz w:val="16"/>
                <w:szCs w:val="16"/>
              </w:rPr>
              <w:t xml:space="preserve"> </w:t>
            </w:r>
            <w:r w:rsidRPr="00B46453">
              <w:rPr>
                <w:b w:val="0"/>
                <w:color w:val="000000" w:themeColor="text1"/>
                <w:spacing w:val="-2"/>
                <w:sz w:val="16"/>
                <w:szCs w:val="16"/>
              </w:rPr>
              <w:t>731</w:t>
            </w:r>
            <w:r w:rsidR="00F91F98" w:rsidRPr="00B46453">
              <w:rPr>
                <w:b w:val="0"/>
                <w:color w:val="000000" w:themeColor="text1"/>
                <w:spacing w:val="-2"/>
                <w:sz w:val="16"/>
                <w:szCs w:val="16"/>
              </w:rPr>
              <w:t xml:space="preserve"> </w:t>
            </w:r>
            <w:r w:rsidRPr="00B46453">
              <w:rPr>
                <w:b w:val="0"/>
                <w:color w:val="000000" w:themeColor="text1"/>
                <w:spacing w:val="-2"/>
                <w:sz w:val="16"/>
                <w:szCs w:val="16"/>
              </w:rPr>
              <w:t>962</w:t>
            </w:r>
            <w:r w:rsidR="00F91F98" w:rsidRPr="00B46453">
              <w:rPr>
                <w:b w:val="0"/>
                <w:color w:val="000000" w:themeColor="text1"/>
                <w:spacing w:val="-2"/>
                <w:sz w:val="16"/>
                <w:szCs w:val="16"/>
              </w:rPr>
              <w:t xml:space="preserve"> </w:t>
            </w:r>
            <w:r w:rsidRPr="00B46453">
              <w:rPr>
                <w:b w:val="0"/>
                <w:color w:val="000000" w:themeColor="text1"/>
                <w:spacing w:val="-2"/>
                <w:sz w:val="16"/>
                <w:szCs w:val="16"/>
              </w:rPr>
              <w:t>87</w:t>
            </w:r>
            <w:r w:rsidR="00F91F98" w:rsidRPr="00B46453">
              <w:rPr>
                <w:b w:val="0"/>
                <w:color w:val="000000" w:themeColor="text1"/>
                <w:spacing w:val="-2"/>
                <w:sz w:val="16"/>
                <w:szCs w:val="16"/>
              </w:rPr>
              <w:t xml:space="preserve"> </w:t>
            </w:r>
            <w:r w:rsidRPr="00B46453">
              <w:rPr>
                <w:b w:val="0"/>
                <w:color w:val="000000" w:themeColor="text1"/>
                <w:spacing w:val="-2"/>
                <w:sz w:val="16"/>
                <w:szCs w:val="16"/>
              </w:rPr>
              <w:t>15</w:t>
            </w:r>
            <w:r w:rsidR="00F91F98" w:rsidRPr="00B46453">
              <w:rPr>
                <w:b w:val="0"/>
                <w:color w:val="000000" w:themeColor="text1"/>
                <w:spacing w:val="-2"/>
                <w:sz w:val="16"/>
                <w:szCs w:val="16"/>
              </w:rPr>
              <w:t xml:space="preserve"> </w:t>
            </w:r>
          </w:p>
          <w:p w14:paraId="78729CF0" w14:textId="77777777" w:rsidR="006F3C2D" w:rsidRPr="00B46453" w:rsidRDefault="006F3C2D" w:rsidP="00E6720B">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rh@press-n-relations.de</w:t>
            </w:r>
          </w:p>
          <w:p w14:paraId="5FFB9C6B" w14:textId="77777777" w:rsidR="006F3C2D" w:rsidRPr="00B46453" w:rsidRDefault="006F3C2D" w:rsidP="00E6720B">
            <w:pPr>
              <w:pStyle w:val="Textkrper"/>
              <w:tabs>
                <w:tab w:val="left" w:pos="7513"/>
              </w:tabs>
              <w:spacing w:line="312" w:lineRule="auto"/>
              <w:ind w:right="425"/>
              <w:rPr>
                <w:b w:val="0"/>
                <w:bCs/>
                <w:color w:val="000000" w:themeColor="text1"/>
                <w:sz w:val="16"/>
              </w:rPr>
            </w:pPr>
            <w:r w:rsidRPr="00B46453">
              <w:rPr>
                <w:b w:val="0"/>
                <w:color w:val="000000" w:themeColor="text1"/>
                <w:spacing w:val="-2"/>
                <w:sz w:val="16"/>
                <w:szCs w:val="16"/>
              </w:rPr>
              <w:t>www.press-n-relations.de</w:t>
            </w:r>
          </w:p>
        </w:tc>
      </w:tr>
    </w:tbl>
    <w:p w14:paraId="204C6C98" w14:textId="77777777" w:rsidR="00E41106" w:rsidRPr="00B46453" w:rsidRDefault="00E41106" w:rsidP="00AE2AD9">
      <w:pPr>
        <w:tabs>
          <w:tab w:val="left" w:pos="3828"/>
          <w:tab w:val="left" w:pos="8364"/>
        </w:tabs>
        <w:spacing w:line="288" w:lineRule="auto"/>
        <w:ind w:right="141"/>
        <w:outlineLvl w:val="0"/>
        <w:rPr>
          <w:rFonts w:ascii="Helvetica" w:hAnsi="Helvetica"/>
          <w:b/>
          <w:color w:val="000000" w:themeColor="text1"/>
          <w:sz w:val="16"/>
          <w:szCs w:val="16"/>
        </w:rPr>
      </w:pPr>
    </w:p>
    <w:p w14:paraId="693624E6" w14:textId="2BACD3F7" w:rsidR="00AC463A" w:rsidRPr="00B46453" w:rsidRDefault="00AC463A" w:rsidP="00AE2AD9">
      <w:pPr>
        <w:tabs>
          <w:tab w:val="left" w:pos="3828"/>
          <w:tab w:val="left" w:pos="8364"/>
        </w:tabs>
        <w:spacing w:line="288" w:lineRule="auto"/>
        <w:ind w:right="141"/>
        <w:outlineLvl w:val="0"/>
        <w:rPr>
          <w:rFonts w:ascii="Helvetica" w:hAnsi="Helvetica"/>
          <w:b/>
          <w:color w:val="000000" w:themeColor="text1"/>
          <w:sz w:val="16"/>
          <w:szCs w:val="16"/>
        </w:rPr>
      </w:pPr>
      <w:r w:rsidRPr="00B46453">
        <w:rPr>
          <w:rFonts w:ascii="Helvetica" w:hAnsi="Helvetica"/>
          <w:b/>
          <w:color w:val="000000" w:themeColor="text1"/>
          <w:sz w:val="16"/>
          <w:szCs w:val="16"/>
        </w:rPr>
        <w:t>Über WatchGuard Technologies</w:t>
      </w:r>
    </w:p>
    <w:p w14:paraId="4003B245" w14:textId="2B731B2B" w:rsidR="00DD1C5C" w:rsidRPr="00B46453" w:rsidRDefault="00DD1C5C" w:rsidP="00DD1C5C">
      <w:pPr>
        <w:tabs>
          <w:tab w:val="left" w:pos="3828"/>
          <w:tab w:val="left" w:pos="8364"/>
        </w:tabs>
        <w:spacing w:line="288" w:lineRule="auto"/>
        <w:ind w:right="1"/>
        <w:rPr>
          <w:rFonts w:ascii="Helvetica" w:hAnsi="Helvetica"/>
          <w:color w:val="000000" w:themeColor="text1"/>
          <w:spacing w:val="-2"/>
          <w:sz w:val="16"/>
          <w:szCs w:val="16"/>
        </w:rPr>
      </w:pPr>
      <w:r w:rsidRPr="00B46453">
        <w:rPr>
          <w:rFonts w:ascii="Helvetica" w:hAnsi="Helvetica"/>
          <w:color w:val="000000" w:themeColor="text1"/>
          <w:spacing w:val="-2"/>
          <w:sz w:val="16"/>
          <w:szCs w:val="16"/>
        </w:rPr>
        <w:t>WatchGuard Technologies gehört zu den führenden Anbietern im Bereich IT-Sicherheit. Das umfangreiche Produktportfolio reicht von hochentwickelten UTM (Unified Threat Management)- und Next-Generation-Firewall-Plattformen über Multifaktor-Authen</w:t>
      </w:r>
      <w:r w:rsidRPr="00B46453">
        <w:rPr>
          <w:rFonts w:ascii="Helvetica" w:hAnsi="Helvetica"/>
          <w:color w:val="000000" w:themeColor="text1"/>
          <w:spacing w:val="-2"/>
          <w:sz w:val="16"/>
          <w:szCs w:val="16"/>
        </w:rPr>
        <w:softHyphen/>
        <w:t xml:space="preserve">tifizierung bis hin zu Technologien für umfassenden WLAN-Schutz und Endpoint Protection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große, dezentral aufgestellte Organisationen </w:t>
      </w:r>
      <w:r w:rsidR="00E755FD" w:rsidRPr="00B46453">
        <w:rPr>
          <w:rFonts w:ascii="Helvetica" w:hAnsi="Helvetica"/>
          <w:color w:val="000000" w:themeColor="text1"/>
          <w:spacing w:val="-2"/>
          <w:sz w:val="16"/>
          <w:szCs w:val="16"/>
        </w:rPr>
        <w:t xml:space="preserve">und Managed Services Provider </w:t>
      </w:r>
      <w:r w:rsidRPr="00B46453">
        <w:rPr>
          <w:rFonts w:ascii="Helvetica" w:hAnsi="Helvetica"/>
          <w:color w:val="000000" w:themeColor="text1"/>
          <w:spacing w:val="-2"/>
          <w:sz w:val="16"/>
          <w:szCs w:val="16"/>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B46453" w:rsidRDefault="00DD1C5C" w:rsidP="00DD1C5C">
      <w:pPr>
        <w:tabs>
          <w:tab w:val="left" w:pos="3828"/>
          <w:tab w:val="left" w:pos="8364"/>
        </w:tabs>
        <w:spacing w:line="288" w:lineRule="auto"/>
        <w:ind w:right="1"/>
        <w:rPr>
          <w:rFonts w:ascii="Helvetica" w:hAnsi="Helvetica"/>
          <w:color w:val="000000" w:themeColor="text1"/>
          <w:spacing w:val="-2"/>
          <w:sz w:val="16"/>
          <w:szCs w:val="16"/>
        </w:rPr>
      </w:pPr>
    </w:p>
    <w:p w14:paraId="68DAE71B" w14:textId="1FE81B02" w:rsidR="00DD1C5C" w:rsidRPr="00B46453" w:rsidRDefault="00DD1C5C" w:rsidP="00DD1C5C">
      <w:pPr>
        <w:tabs>
          <w:tab w:val="left" w:pos="3828"/>
          <w:tab w:val="left" w:pos="8364"/>
        </w:tabs>
        <w:spacing w:line="288" w:lineRule="auto"/>
        <w:ind w:right="1"/>
        <w:rPr>
          <w:rFonts w:ascii="Helvetica" w:hAnsi="Helvetica"/>
          <w:color w:val="000000" w:themeColor="text1"/>
          <w:spacing w:val="-2"/>
          <w:sz w:val="16"/>
          <w:szCs w:val="16"/>
        </w:rPr>
      </w:pPr>
      <w:r w:rsidRPr="00B46453">
        <w:rPr>
          <w:rFonts w:ascii="Helvetica" w:hAnsi="Helvetica"/>
          <w:color w:val="000000" w:themeColor="text1"/>
          <w:spacing w:val="-2"/>
          <w:sz w:val="16"/>
          <w:szCs w:val="16"/>
        </w:rPr>
        <w:t>Aktuelle Informationen, Aktionen und Updates finden Sie auch auf</w:t>
      </w:r>
      <w:r w:rsidR="008667D5">
        <w:rPr>
          <w:rFonts w:ascii="Helvetica" w:hAnsi="Helvetica"/>
          <w:color w:val="000000" w:themeColor="text1"/>
          <w:spacing w:val="-2"/>
          <w:sz w:val="16"/>
          <w:szCs w:val="16"/>
        </w:rPr>
        <w:t xml:space="preserve"> </w:t>
      </w:r>
      <w:hyperlink r:id="rId15" w:history="1">
        <w:r w:rsidRPr="00B46453">
          <w:rPr>
            <w:rStyle w:val="Hyperlink"/>
            <w:rFonts w:ascii="Helvetica" w:hAnsi="Helvetica"/>
            <w:spacing w:val="-2"/>
            <w:sz w:val="16"/>
            <w:szCs w:val="16"/>
          </w:rPr>
          <w:t>Twitter</w:t>
        </w:r>
      </w:hyperlink>
      <w:r w:rsidRPr="00B46453">
        <w:rPr>
          <w:rFonts w:ascii="Helvetica" w:hAnsi="Helvetica"/>
          <w:color w:val="000000" w:themeColor="text1"/>
          <w:spacing w:val="-2"/>
          <w:sz w:val="16"/>
          <w:szCs w:val="16"/>
        </w:rPr>
        <w:t>,</w:t>
      </w:r>
      <w:r w:rsidR="008667D5">
        <w:rPr>
          <w:rFonts w:ascii="Helvetica" w:hAnsi="Helvetica"/>
          <w:color w:val="000000" w:themeColor="text1"/>
          <w:spacing w:val="-2"/>
          <w:sz w:val="16"/>
          <w:szCs w:val="16"/>
        </w:rPr>
        <w:t xml:space="preserve"> </w:t>
      </w:r>
      <w:hyperlink r:id="rId16" w:history="1">
        <w:r w:rsidRPr="00B46453">
          <w:rPr>
            <w:rStyle w:val="Hyperlink"/>
            <w:rFonts w:ascii="Helvetica" w:hAnsi="Helvetica"/>
            <w:spacing w:val="-2"/>
            <w:sz w:val="16"/>
            <w:szCs w:val="16"/>
          </w:rPr>
          <w:t>Facebook</w:t>
        </w:r>
      </w:hyperlink>
      <w:r w:rsidR="008667D5">
        <w:rPr>
          <w:rStyle w:val="Hyperlink"/>
          <w:rFonts w:ascii="Helvetica" w:hAnsi="Helvetica"/>
          <w:spacing w:val="-2"/>
          <w:sz w:val="16"/>
          <w:szCs w:val="16"/>
        </w:rPr>
        <w:t xml:space="preserve"> </w:t>
      </w:r>
      <w:r w:rsidRPr="00B46453">
        <w:rPr>
          <w:rFonts w:ascii="Helvetica" w:hAnsi="Helvetica"/>
          <w:color w:val="000000" w:themeColor="text1"/>
          <w:spacing w:val="-2"/>
          <w:sz w:val="16"/>
          <w:szCs w:val="16"/>
        </w:rPr>
        <w:t>oder</w:t>
      </w:r>
      <w:r w:rsidR="008667D5">
        <w:rPr>
          <w:rFonts w:ascii="Helvetica" w:hAnsi="Helvetica"/>
          <w:color w:val="000000" w:themeColor="text1"/>
          <w:spacing w:val="-2"/>
          <w:sz w:val="16"/>
          <w:szCs w:val="16"/>
        </w:rPr>
        <w:t xml:space="preserve"> </w:t>
      </w:r>
      <w:hyperlink r:id="rId17" w:history="1">
        <w:r w:rsidRPr="00B46453">
          <w:rPr>
            <w:rStyle w:val="Hyperlink"/>
            <w:rFonts w:ascii="Helvetica" w:hAnsi="Helvetica"/>
            <w:spacing w:val="-2"/>
            <w:sz w:val="16"/>
            <w:szCs w:val="16"/>
          </w:rPr>
          <w:t>LinkedIn</w:t>
        </w:r>
      </w:hyperlink>
      <w:r w:rsidRPr="00B46453">
        <w:rPr>
          <w:rFonts w:ascii="Helvetica" w:hAnsi="Helvetica"/>
          <w:color w:val="000000" w:themeColor="text1"/>
          <w:spacing w:val="-2"/>
          <w:sz w:val="16"/>
          <w:szCs w:val="16"/>
        </w:rPr>
        <w:t>. Der WatchGuard-Blog „Secplicity“ berichtet darüber hinaus über die neuesten Bedrohungen und zeigt auf, wie man mit ihnen umgeht:</w:t>
      </w:r>
      <w:r w:rsidR="008667D5">
        <w:rPr>
          <w:rFonts w:ascii="Helvetica" w:hAnsi="Helvetica"/>
          <w:color w:val="000000" w:themeColor="text1"/>
          <w:spacing w:val="-2"/>
          <w:sz w:val="16"/>
          <w:szCs w:val="16"/>
        </w:rPr>
        <w:t xml:space="preserve"> </w:t>
      </w:r>
      <w:hyperlink r:id="rId18" w:history="1">
        <w:r w:rsidRPr="00B46453">
          <w:rPr>
            <w:rStyle w:val="Hyperlink"/>
            <w:rFonts w:ascii="Helvetica" w:hAnsi="Helvetica"/>
            <w:spacing w:val="-2"/>
            <w:sz w:val="16"/>
            <w:szCs w:val="16"/>
          </w:rPr>
          <w:t>www.secplicity.org</w:t>
        </w:r>
      </w:hyperlink>
      <w:r w:rsidRPr="00B46453">
        <w:rPr>
          <w:rFonts w:ascii="Helvetica" w:hAnsi="Helvetica"/>
          <w:color w:val="000000" w:themeColor="text1"/>
          <w:spacing w:val="-2"/>
          <w:sz w:val="16"/>
          <w:szCs w:val="16"/>
        </w:rPr>
        <w:t>. Oder Sie abonnieren den „443 – Security Simplified“-Podcast bei</w:t>
      </w:r>
      <w:r w:rsidR="008667D5">
        <w:rPr>
          <w:rFonts w:ascii="Helvetica" w:hAnsi="Helvetica"/>
          <w:color w:val="000000" w:themeColor="text1"/>
          <w:spacing w:val="-2"/>
          <w:sz w:val="16"/>
          <w:szCs w:val="16"/>
        </w:rPr>
        <w:t xml:space="preserve"> </w:t>
      </w:r>
      <w:hyperlink r:id="rId19" w:history="1">
        <w:r w:rsidRPr="00B46453">
          <w:rPr>
            <w:rStyle w:val="Hyperlink"/>
            <w:rFonts w:ascii="Helvetica" w:hAnsi="Helvetica"/>
            <w:spacing w:val="-2"/>
            <w:sz w:val="16"/>
            <w:szCs w:val="16"/>
          </w:rPr>
          <w:t>Secplicity.org</w:t>
        </w:r>
      </w:hyperlink>
      <w:r w:rsidR="008667D5">
        <w:rPr>
          <w:rStyle w:val="Hyperlink"/>
          <w:rFonts w:ascii="Helvetica" w:hAnsi="Helvetica"/>
          <w:spacing w:val="-2"/>
          <w:sz w:val="16"/>
          <w:szCs w:val="16"/>
        </w:rPr>
        <w:t xml:space="preserve"> </w:t>
      </w:r>
      <w:r w:rsidRPr="00B46453">
        <w:rPr>
          <w:rFonts w:ascii="Helvetica" w:hAnsi="Helvetica"/>
          <w:color w:val="000000" w:themeColor="text1"/>
          <w:spacing w:val="-2"/>
          <w:sz w:val="16"/>
          <w:szCs w:val="16"/>
        </w:rPr>
        <w:t>bzw. wo immer Sie Ihre Lieblings-Podcasts finden. </w:t>
      </w:r>
    </w:p>
    <w:p w14:paraId="0A1F6EC8" w14:textId="77777777" w:rsidR="00D37950" w:rsidRPr="00B46453" w:rsidRDefault="00D37950">
      <w:pPr>
        <w:tabs>
          <w:tab w:val="left" w:pos="3828"/>
          <w:tab w:val="left" w:pos="8364"/>
        </w:tabs>
        <w:spacing w:line="288" w:lineRule="auto"/>
        <w:ind w:right="1"/>
        <w:rPr>
          <w:rFonts w:ascii="Helvetica" w:hAnsi="Helvetica"/>
          <w:sz w:val="16"/>
          <w:szCs w:val="16"/>
        </w:rPr>
      </w:pPr>
    </w:p>
    <w:sectPr w:rsidR="00D37950" w:rsidRPr="00B46453" w:rsidSect="00302AD1">
      <w:headerReference w:type="default" r:id="rId20"/>
      <w:footerReference w:type="even" r:id="rId21"/>
      <w:footerReference w:type="default" r:id="rId22"/>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130339" w14:textId="77777777" w:rsidR="0051641E" w:rsidRDefault="0051641E">
      <w:r>
        <w:separator/>
      </w:r>
    </w:p>
  </w:endnote>
  <w:endnote w:type="continuationSeparator" w:id="0">
    <w:p w14:paraId="1FCD561E" w14:textId="77777777" w:rsidR="0051641E" w:rsidRDefault="005164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A93727" w14:textId="77777777" w:rsidR="0051641E" w:rsidRDefault="0051641E">
      <w:r>
        <w:separator/>
      </w:r>
    </w:p>
  </w:footnote>
  <w:footnote w:type="continuationSeparator" w:id="0">
    <w:p w14:paraId="3DC7506E" w14:textId="77777777" w:rsidR="0051641E" w:rsidRDefault="005164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embedSystemFonts/>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47BA"/>
    <w:rsid w:val="00044D21"/>
    <w:rsid w:val="00046032"/>
    <w:rsid w:val="000468C1"/>
    <w:rsid w:val="00046923"/>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3D8"/>
    <w:rsid w:val="000C4953"/>
    <w:rsid w:val="000C5A00"/>
    <w:rsid w:val="000C5B45"/>
    <w:rsid w:val="000C615A"/>
    <w:rsid w:val="000C6F64"/>
    <w:rsid w:val="000C7816"/>
    <w:rsid w:val="000C78FF"/>
    <w:rsid w:val="000D0131"/>
    <w:rsid w:val="000D16B0"/>
    <w:rsid w:val="000D2801"/>
    <w:rsid w:val="000D3D44"/>
    <w:rsid w:val="000D478B"/>
    <w:rsid w:val="000D4EB0"/>
    <w:rsid w:val="000D555F"/>
    <w:rsid w:val="000D5B43"/>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5492"/>
    <w:rsid w:val="00105626"/>
    <w:rsid w:val="00105A4B"/>
    <w:rsid w:val="00105E7E"/>
    <w:rsid w:val="00105FE3"/>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47E2"/>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2900"/>
    <w:rsid w:val="00292C7D"/>
    <w:rsid w:val="00293465"/>
    <w:rsid w:val="002945AC"/>
    <w:rsid w:val="00295AB4"/>
    <w:rsid w:val="0029709A"/>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4E79"/>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43B"/>
    <w:rsid w:val="003A765B"/>
    <w:rsid w:val="003A7676"/>
    <w:rsid w:val="003A79D8"/>
    <w:rsid w:val="003B0419"/>
    <w:rsid w:val="003B1B58"/>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4DC1"/>
    <w:rsid w:val="003E599C"/>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8A4"/>
    <w:rsid w:val="00467935"/>
    <w:rsid w:val="00467DB3"/>
    <w:rsid w:val="004706FD"/>
    <w:rsid w:val="004709D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41E"/>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FD3"/>
    <w:rsid w:val="00580716"/>
    <w:rsid w:val="005816DD"/>
    <w:rsid w:val="005816EE"/>
    <w:rsid w:val="005825F4"/>
    <w:rsid w:val="005826E2"/>
    <w:rsid w:val="00582A3C"/>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86C"/>
    <w:rsid w:val="006273C7"/>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43A"/>
    <w:rsid w:val="00644B95"/>
    <w:rsid w:val="00645913"/>
    <w:rsid w:val="006462F3"/>
    <w:rsid w:val="0064693C"/>
    <w:rsid w:val="00646C0B"/>
    <w:rsid w:val="0064715F"/>
    <w:rsid w:val="00647CDD"/>
    <w:rsid w:val="00647EF5"/>
    <w:rsid w:val="006502AF"/>
    <w:rsid w:val="006502B2"/>
    <w:rsid w:val="00651EDE"/>
    <w:rsid w:val="00652626"/>
    <w:rsid w:val="006539F6"/>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17A1"/>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29FE"/>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5418"/>
    <w:rsid w:val="007C5CA9"/>
    <w:rsid w:val="007C5D28"/>
    <w:rsid w:val="007C6343"/>
    <w:rsid w:val="007C6EAF"/>
    <w:rsid w:val="007D151E"/>
    <w:rsid w:val="007D1F2D"/>
    <w:rsid w:val="007D292B"/>
    <w:rsid w:val="007D2CE1"/>
    <w:rsid w:val="007D36C9"/>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80F"/>
    <w:rsid w:val="00811AB7"/>
    <w:rsid w:val="00814BC5"/>
    <w:rsid w:val="00814BD0"/>
    <w:rsid w:val="0081544B"/>
    <w:rsid w:val="00817BCA"/>
    <w:rsid w:val="00820FFE"/>
    <w:rsid w:val="00821306"/>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994"/>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439"/>
    <w:rsid w:val="009675F1"/>
    <w:rsid w:val="00967FBC"/>
    <w:rsid w:val="00970239"/>
    <w:rsid w:val="009707CC"/>
    <w:rsid w:val="0097119D"/>
    <w:rsid w:val="00971B55"/>
    <w:rsid w:val="00971D4C"/>
    <w:rsid w:val="0097207A"/>
    <w:rsid w:val="00972EA5"/>
    <w:rsid w:val="009739BD"/>
    <w:rsid w:val="00973C27"/>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67D"/>
    <w:rsid w:val="00993711"/>
    <w:rsid w:val="0099460A"/>
    <w:rsid w:val="00995693"/>
    <w:rsid w:val="00996A56"/>
    <w:rsid w:val="00996EC0"/>
    <w:rsid w:val="009A07A8"/>
    <w:rsid w:val="009A0BA8"/>
    <w:rsid w:val="009A1516"/>
    <w:rsid w:val="009A17A9"/>
    <w:rsid w:val="009A29CA"/>
    <w:rsid w:val="009A2B14"/>
    <w:rsid w:val="009A3180"/>
    <w:rsid w:val="009A391F"/>
    <w:rsid w:val="009A3EB4"/>
    <w:rsid w:val="009A5572"/>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2048C"/>
    <w:rsid w:val="00B205D5"/>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4E2B"/>
    <w:rsid w:val="00B45599"/>
    <w:rsid w:val="00B45632"/>
    <w:rsid w:val="00B459BC"/>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FFC"/>
    <w:rsid w:val="00B754AC"/>
    <w:rsid w:val="00B75BCA"/>
    <w:rsid w:val="00B75E8C"/>
    <w:rsid w:val="00B76428"/>
    <w:rsid w:val="00B776CC"/>
    <w:rsid w:val="00B77CC0"/>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6300"/>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0747"/>
    <w:rsid w:val="00C710AB"/>
    <w:rsid w:val="00C7193B"/>
    <w:rsid w:val="00C71D85"/>
    <w:rsid w:val="00C71EB5"/>
    <w:rsid w:val="00C71EDB"/>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5519"/>
    <w:rsid w:val="00CF6CE4"/>
    <w:rsid w:val="00CF77FE"/>
    <w:rsid w:val="00CF79C0"/>
    <w:rsid w:val="00CF7A3D"/>
    <w:rsid w:val="00CF7FFB"/>
    <w:rsid w:val="00D00396"/>
    <w:rsid w:val="00D00E39"/>
    <w:rsid w:val="00D0169D"/>
    <w:rsid w:val="00D016DC"/>
    <w:rsid w:val="00D01807"/>
    <w:rsid w:val="00D01DB9"/>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C7C"/>
    <w:rsid w:val="00D20E2F"/>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322"/>
    <w:rsid w:val="00D47323"/>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6593"/>
    <w:rsid w:val="00DB6B6F"/>
    <w:rsid w:val="00DB77CA"/>
    <w:rsid w:val="00DC0AE6"/>
    <w:rsid w:val="00DC1F89"/>
    <w:rsid w:val="00DC3132"/>
    <w:rsid w:val="00DC4827"/>
    <w:rsid w:val="00DC4C93"/>
    <w:rsid w:val="00DC5C6F"/>
    <w:rsid w:val="00DC6576"/>
    <w:rsid w:val="00DC67A7"/>
    <w:rsid w:val="00DC6F07"/>
    <w:rsid w:val="00DD181D"/>
    <w:rsid w:val="00DD18CF"/>
    <w:rsid w:val="00DD1C5C"/>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526"/>
    <w:rsid w:val="00E33FE1"/>
    <w:rsid w:val="00E340F1"/>
    <w:rsid w:val="00E342F9"/>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F07"/>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3B21"/>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2FD9"/>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wgrd-resource-center/security-report-q2-2021" TargetMode="External"/><Relationship Id="rId13" Type="http://schemas.openxmlformats.org/officeDocument/2006/relationships/image" Target="media/image1.jpg"/><Relationship Id="rId18" Type="http://schemas.openxmlformats.org/officeDocument/2006/relationships/hyperlink" Target="http://www.secplicity.org/" TargetMode="External"/><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https://www.watchguard.com/wgrd-resource-center/security-report-q3-2021" TargetMode="External"/><Relationship Id="rId12" Type="http://schemas.openxmlformats.org/officeDocument/2006/relationships/hyperlink" Target="https://www.watchguard.com/wgrd-resource-center/security-report-q3-2021" TargetMode="External"/><Relationship Id="rId17" Type="http://schemas.openxmlformats.org/officeDocument/2006/relationships/hyperlink" Target="https://de.linkedin.com/company/watchguardsichersein" TargetMode="External"/><Relationship Id="rId2" Type="http://schemas.openxmlformats.org/officeDocument/2006/relationships/styles" Target="styles.xml"/><Relationship Id="rId16" Type="http://schemas.openxmlformats.org/officeDocument/2006/relationships/hyperlink" Target="https://de-de.facebook.com/WatchGuardSichersein/"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ecurityportal.watchguard.com/Threats/Detail?ruleId=1059160&amp;sigVers=4"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witter.com/sichersein" TargetMode="External"/><Relationship Id="rId23" Type="http://schemas.openxmlformats.org/officeDocument/2006/relationships/fontTable" Target="fontTable.xml"/><Relationship Id="rId10" Type="http://schemas.openxmlformats.org/officeDocument/2006/relationships/hyperlink" Target="https://www.watchguard.com/SecurityPortal/ThreatDetail.aspx?rule_id=1054837" TargetMode="External"/><Relationship Id="rId19" Type="http://schemas.openxmlformats.org/officeDocument/2006/relationships/hyperlink" Target="http://www.secplicity.org/" TargetMode="External"/><Relationship Id="rId4" Type="http://schemas.openxmlformats.org/officeDocument/2006/relationships/webSettings" Target="webSettings.xml"/><Relationship Id="rId9" Type="http://schemas.openxmlformats.org/officeDocument/2006/relationships/hyperlink" Target="https://www.watchguard.com/de/wgrd-resource-center/security-of-one" TargetMode="External"/><Relationship Id="rId14" Type="http://schemas.openxmlformats.org/officeDocument/2006/relationships/hyperlink" Target="https://press-n-relations.amid-pr.com/AMID-PR/searchresult/searchresult.xhtml?searchString=Corey+Nachreiner&amp;searchId=0&amp;searchType=detailed"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1765</Words>
  <Characters>11120</Characters>
  <Application>Microsoft Office Word</Application>
  <DocSecurity>0</DocSecurity>
  <Lines>92</Lines>
  <Paragraphs>25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12860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Thomas Seibold</cp:lastModifiedBy>
  <cp:revision>6</cp:revision>
  <cp:lastPrinted>2022-01-18T08:13:00Z</cp:lastPrinted>
  <dcterms:created xsi:type="dcterms:W3CDTF">2022-01-18T08:47:00Z</dcterms:created>
  <dcterms:modified xsi:type="dcterms:W3CDTF">2022-01-25T10:07:00Z</dcterms:modified>
  <cp:category/>
</cp:coreProperties>
</file>