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6A231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6A231C">
        <w:rPr>
          <w:rFonts w:ascii="Helvetica" w:hAnsi="Helvetica"/>
          <w:b/>
        </w:rPr>
        <w:t>P</w:t>
      </w:r>
      <w:r w:rsidR="00037D09" w:rsidRPr="006A231C">
        <w:rPr>
          <w:rFonts w:ascii="Helvetica" w:hAnsi="Helvetica"/>
          <w:b/>
        </w:rPr>
        <w:t>RESSEINFORMATION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A5B367F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6A231C">
        <w:rPr>
          <w:rFonts w:ascii="Helvetica" w:hAnsi="Helvetica"/>
          <w:sz w:val="20"/>
          <w:szCs w:val="20"/>
        </w:rPr>
        <w:t>Hamburg</w:t>
      </w:r>
      <w:r w:rsidR="00037D09" w:rsidRPr="006A231C">
        <w:rPr>
          <w:rFonts w:ascii="Helvetica" w:hAnsi="Helvetica"/>
          <w:sz w:val="20"/>
          <w:szCs w:val="20"/>
        </w:rPr>
        <w:t>,</w:t>
      </w:r>
      <w:r w:rsidR="00BF3442" w:rsidRPr="006A231C">
        <w:rPr>
          <w:rFonts w:ascii="Helvetica" w:hAnsi="Helvetica"/>
          <w:sz w:val="20"/>
          <w:szCs w:val="20"/>
        </w:rPr>
        <w:t xml:space="preserve"> </w:t>
      </w:r>
      <w:r w:rsidR="00543CC3" w:rsidRPr="00ED5B9F">
        <w:rPr>
          <w:rFonts w:ascii="Helvetica" w:hAnsi="Helvetica"/>
          <w:sz w:val="20"/>
          <w:szCs w:val="20"/>
        </w:rPr>
        <w:t>30</w:t>
      </w:r>
      <w:r w:rsidR="003B0419" w:rsidRPr="00ED5B9F">
        <w:rPr>
          <w:rFonts w:ascii="Helvetica" w:hAnsi="Helvetica"/>
          <w:sz w:val="20"/>
          <w:szCs w:val="20"/>
        </w:rPr>
        <w:t>.</w:t>
      </w:r>
      <w:r w:rsidR="003B0419" w:rsidRPr="006A231C">
        <w:rPr>
          <w:rFonts w:ascii="Helvetica" w:hAnsi="Helvetica"/>
          <w:sz w:val="20"/>
          <w:szCs w:val="20"/>
        </w:rPr>
        <w:t xml:space="preserve"> </w:t>
      </w:r>
      <w:r w:rsidR="00076932">
        <w:rPr>
          <w:rFonts w:ascii="Helvetica" w:hAnsi="Helvetica"/>
          <w:sz w:val="20"/>
          <w:szCs w:val="20"/>
        </w:rPr>
        <w:t>Juni</w:t>
      </w:r>
      <w:r w:rsidR="00223E27" w:rsidRPr="006A231C">
        <w:rPr>
          <w:rFonts w:ascii="Helvetica" w:hAnsi="Helvetica"/>
          <w:sz w:val="20"/>
          <w:szCs w:val="20"/>
        </w:rPr>
        <w:t xml:space="preserve"> </w:t>
      </w:r>
      <w:r w:rsidR="00037D09" w:rsidRPr="006A231C">
        <w:rPr>
          <w:rFonts w:ascii="Helvetica" w:hAnsi="Helvetica"/>
          <w:sz w:val="20"/>
          <w:szCs w:val="20"/>
        </w:rPr>
        <w:t>20</w:t>
      </w:r>
      <w:r w:rsidR="00A95484" w:rsidRPr="006A231C">
        <w:rPr>
          <w:rFonts w:ascii="Helvetica" w:hAnsi="Helvetica"/>
          <w:sz w:val="20"/>
          <w:szCs w:val="20"/>
        </w:rPr>
        <w:t>2</w:t>
      </w:r>
      <w:r w:rsidR="003B0419" w:rsidRPr="006A231C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0A112834" w:rsidR="00CD1DD9" w:rsidRPr="00CD1DD9" w:rsidRDefault="00323DA1" w:rsidP="00CD1DD9">
      <w:pPr>
        <w:spacing w:line="288" w:lineRule="auto"/>
        <w:ind w:right="1135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WatchGuard Internet Security Report: </w:t>
      </w:r>
      <w:r w:rsidR="00CD1DD9" w:rsidRPr="00CD1DD9">
        <w:rPr>
          <w:rFonts w:ascii="Helvetica" w:hAnsi="Helvetica"/>
          <w:b/>
          <w:bCs/>
        </w:rPr>
        <w:t>Ransomware-Volumen</w:t>
      </w:r>
      <w:r w:rsidR="00F37C28">
        <w:rPr>
          <w:rFonts w:ascii="Helvetica" w:hAnsi="Helvetica"/>
          <w:b/>
          <w:bCs/>
        </w:rPr>
        <w:t xml:space="preserve"> im</w:t>
      </w:r>
      <w:r w:rsidR="00CD1DD9" w:rsidRPr="00CD1DD9">
        <w:rPr>
          <w:rFonts w:ascii="Helvetica" w:hAnsi="Helvetica"/>
          <w:b/>
          <w:bCs/>
        </w:rPr>
        <w:t xml:space="preserve"> ersten Quartal 2022 bereits doppelt </w:t>
      </w:r>
      <w:r w:rsidR="00F37C28">
        <w:rPr>
          <w:rFonts w:ascii="Helvetica" w:hAnsi="Helvetica"/>
          <w:b/>
          <w:bCs/>
        </w:rPr>
        <w:t>so hoch wie in ganz 2021</w:t>
      </w:r>
    </w:p>
    <w:p w14:paraId="441FC8F2" w14:textId="3B40F984" w:rsidR="00CD1DD9" w:rsidRPr="00CD1DD9" w:rsidRDefault="009422FE" w:rsidP="00CD1DD9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Analyse</w:t>
      </w:r>
      <w:r w:rsidR="00CD1DD9" w:rsidRPr="00CD1DD9">
        <w:rPr>
          <w:rFonts w:ascii="Helvetica" w:hAnsi="Helvetica"/>
          <w:b/>
          <w:bCs/>
          <w:iCs/>
          <w:sz w:val="20"/>
          <w:szCs w:val="20"/>
        </w:rPr>
        <w:t xml:space="preserve"> zeig</w:t>
      </w:r>
      <w:r w:rsidR="00FD7585">
        <w:rPr>
          <w:rFonts w:ascii="Helvetica" w:hAnsi="Helvetica"/>
          <w:b/>
          <w:bCs/>
          <w:iCs/>
          <w:sz w:val="20"/>
          <w:szCs w:val="20"/>
        </w:rPr>
        <w:t>t</w:t>
      </w:r>
      <w:r w:rsidR="00CD1DD9" w:rsidRPr="00CD1DD9">
        <w:rPr>
          <w:rFonts w:ascii="Helvetica" w:hAnsi="Helvetica"/>
          <w:b/>
          <w:bCs/>
          <w:iCs/>
          <w:sz w:val="20"/>
          <w:szCs w:val="20"/>
        </w:rPr>
        <w:t xml:space="preserve"> außerdem</w:t>
      </w:r>
      <w:r w:rsidR="00323DA1">
        <w:rPr>
          <w:rFonts w:ascii="Helvetica" w:hAnsi="Helvetica"/>
          <w:b/>
          <w:bCs/>
          <w:iCs/>
          <w:sz w:val="20"/>
          <w:szCs w:val="20"/>
        </w:rPr>
        <w:t xml:space="preserve"> Verdreifachung bei </w:t>
      </w:r>
      <w:r w:rsidR="00B42DE9">
        <w:rPr>
          <w:rFonts w:ascii="Helvetica" w:hAnsi="Helvetica"/>
          <w:b/>
          <w:bCs/>
          <w:iCs/>
          <w:sz w:val="20"/>
          <w:szCs w:val="20"/>
        </w:rPr>
        <w:t>Angriffen via</w:t>
      </w:r>
      <w:r w:rsidR="00B42DE9" w:rsidRPr="00CD1DD9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CD1DD9" w:rsidRPr="00CD1DD9">
        <w:rPr>
          <w:rFonts w:ascii="Helvetica" w:hAnsi="Helvetica"/>
          <w:b/>
          <w:bCs/>
          <w:iCs/>
          <w:sz w:val="20"/>
          <w:szCs w:val="20"/>
        </w:rPr>
        <w:t>Log4Shell</w:t>
      </w:r>
      <w:r w:rsidR="00323DA1">
        <w:rPr>
          <w:rFonts w:ascii="Helvetica" w:hAnsi="Helvetica"/>
          <w:b/>
          <w:bCs/>
          <w:iCs/>
          <w:sz w:val="20"/>
          <w:szCs w:val="20"/>
        </w:rPr>
        <w:t xml:space="preserve">, die Rückkehr des </w:t>
      </w:r>
      <w:proofErr w:type="spellStart"/>
      <w:r w:rsidR="00CD1DD9" w:rsidRPr="00CD1DD9">
        <w:rPr>
          <w:rFonts w:ascii="Helvetica" w:hAnsi="Helvetica"/>
          <w:b/>
          <w:bCs/>
          <w:iCs/>
          <w:sz w:val="20"/>
          <w:szCs w:val="20"/>
        </w:rPr>
        <w:t>Emotet</w:t>
      </w:r>
      <w:proofErr w:type="spellEnd"/>
      <w:r w:rsidR="00CD1DD9" w:rsidRPr="00CD1DD9">
        <w:rPr>
          <w:rFonts w:ascii="Helvetica" w:hAnsi="Helvetica"/>
          <w:b/>
          <w:bCs/>
          <w:iCs/>
          <w:sz w:val="20"/>
          <w:szCs w:val="20"/>
        </w:rPr>
        <w:t>-Botnet</w:t>
      </w:r>
      <w:r w:rsidR="00323DA1">
        <w:rPr>
          <w:rFonts w:ascii="Helvetica" w:hAnsi="Helvetica"/>
          <w:b/>
          <w:bCs/>
          <w:iCs/>
          <w:sz w:val="20"/>
          <w:szCs w:val="20"/>
        </w:rPr>
        <w:t>s</w:t>
      </w:r>
      <w:r w:rsidR="00C73616">
        <w:rPr>
          <w:rFonts w:ascii="Helvetica" w:hAnsi="Helvetica"/>
          <w:b/>
          <w:bCs/>
          <w:iCs/>
          <w:sz w:val="20"/>
          <w:szCs w:val="20"/>
        </w:rPr>
        <w:t xml:space="preserve"> und eine Zunahme bei</w:t>
      </w:r>
      <w:r w:rsidR="00CD1DD9" w:rsidRPr="00CD1DD9">
        <w:rPr>
          <w:rFonts w:ascii="Helvetica" w:hAnsi="Helvetica"/>
          <w:b/>
          <w:bCs/>
          <w:iCs/>
          <w:sz w:val="20"/>
          <w:szCs w:val="20"/>
        </w:rPr>
        <w:t xml:space="preserve"> </w:t>
      </w:r>
      <w:proofErr w:type="spellStart"/>
      <w:r w:rsidR="00CD1DD9" w:rsidRPr="00CD1DD9">
        <w:rPr>
          <w:rFonts w:ascii="Helvetica" w:hAnsi="Helvetica"/>
          <w:b/>
          <w:bCs/>
          <w:iCs/>
          <w:sz w:val="20"/>
          <w:szCs w:val="20"/>
        </w:rPr>
        <w:t>Kryptomining</w:t>
      </w:r>
      <w:proofErr w:type="spellEnd"/>
      <w:r w:rsidR="00CD1DD9" w:rsidRPr="00CD1DD9">
        <w:rPr>
          <w:rFonts w:ascii="Helvetica" w:hAnsi="Helvetica"/>
          <w:b/>
          <w:bCs/>
          <w:iCs/>
          <w:sz w:val="20"/>
          <w:szCs w:val="20"/>
        </w:rPr>
        <w:t>-Aktivitäten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90A8A95" w14:textId="29C90B62" w:rsidR="00CD1DD9" w:rsidRPr="00CD1DD9" w:rsidRDefault="00945680" w:rsidP="00CD1DD9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Die Bedrohung durch</w:t>
      </w:r>
      <w:r w:rsidR="00CB75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Ransomware </w:t>
      </w:r>
      <w:r w:rsidR="00101DE6">
        <w:rPr>
          <w:rFonts w:ascii="Helvetica" w:hAnsi="Helvetica"/>
          <w:b/>
          <w:bCs/>
          <w:color w:val="000000" w:themeColor="text1"/>
          <w:sz w:val="20"/>
          <w:szCs w:val="20"/>
        </w:rPr>
        <w:t>wächst unaufhaltsam weiter: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150B9">
        <w:rPr>
          <w:rFonts w:ascii="Helvetica" w:hAnsi="Helvetica"/>
          <w:b/>
          <w:bCs/>
          <w:color w:val="000000" w:themeColor="text1"/>
          <w:sz w:val="20"/>
          <w:szCs w:val="20"/>
        </w:rPr>
        <w:t>Laut Analyse des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D1DD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proofErr w:type="spellStart"/>
      <w:r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</w:t>
      </w:r>
      <w:r w:rsidR="002655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7435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gab es bereits </w:t>
      </w:r>
      <w:r w:rsidR="00101DE6">
        <w:rPr>
          <w:rFonts w:ascii="Helvetica" w:hAnsi="Helvetica"/>
          <w:b/>
          <w:bCs/>
          <w:color w:val="000000" w:themeColor="text1"/>
          <w:sz w:val="20"/>
          <w:szCs w:val="20"/>
        </w:rPr>
        <w:t>im ersten Quartal 2022</w:t>
      </w:r>
      <w:r w:rsidR="002655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7435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doppelt so viele </w:t>
      </w:r>
      <w:r w:rsidR="0075021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einschlägige </w:t>
      </w:r>
      <w:r w:rsidR="00F2590D">
        <w:rPr>
          <w:rFonts w:ascii="Helvetica" w:hAnsi="Helvetica"/>
          <w:b/>
          <w:bCs/>
          <w:color w:val="000000" w:themeColor="text1"/>
          <w:sz w:val="20"/>
          <w:szCs w:val="20"/>
        </w:rPr>
        <w:t>Angriffsversuche</w:t>
      </w:r>
      <w:r w:rsidR="0067435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wie im </w:t>
      </w:r>
      <w:r w:rsidR="007C7E17">
        <w:rPr>
          <w:rFonts w:ascii="Helvetica" w:hAnsi="Helvetica"/>
          <w:b/>
          <w:bCs/>
          <w:color w:val="000000" w:themeColor="text1"/>
          <w:sz w:val="20"/>
          <w:szCs w:val="20"/>
        </w:rPr>
        <w:t>gesamten Vorjahr.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Dazu 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Corey Nachreiner, Chief Security Officer bei WatchGuard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>: „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Basierend auf </w:t>
      </w:r>
      <w:r w:rsidR="00C30198">
        <w:rPr>
          <w:rFonts w:ascii="Helvetica" w:hAnsi="Helvetica"/>
          <w:b/>
          <w:bCs/>
          <w:color w:val="000000" w:themeColor="text1"/>
          <w:sz w:val="20"/>
          <w:szCs w:val="20"/>
        </w:rPr>
        <w:t>dem</w:t>
      </w:r>
      <w:r w:rsidR="00C30198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="00F3713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extrem </w:t>
      </w:r>
      <w:r w:rsidR="00C30198">
        <w:rPr>
          <w:rFonts w:ascii="Helvetica" w:hAnsi="Helvetica"/>
          <w:b/>
          <w:bCs/>
          <w:color w:val="000000" w:themeColor="text1"/>
          <w:sz w:val="20"/>
          <w:szCs w:val="20"/>
        </w:rPr>
        <w:t>hohen</w:t>
      </w:r>
      <w:proofErr w:type="gramEnd"/>
      <w:r w:rsidR="00C301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Niveau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Ransomware </w:t>
      </w:r>
      <w:r w:rsidR="00C301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 zu Jahresbeginn 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F3713D">
        <w:rPr>
          <w:rFonts w:ascii="Helvetica" w:hAnsi="Helvetica"/>
          <w:b/>
          <w:bCs/>
          <w:color w:val="000000" w:themeColor="text1"/>
          <w:sz w:val="20"/>
          <w:szCs w:val="20"/>
        </w:rPr>
        <w:t>unseren</w:t>
      </w:r>
      <w:r w:rsidR="00F3713D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Daten aus den vorangegangenen Quartalen gehen wir davon aus, dass 2022 </w:t>
      </w:r>
      <w:r w:rsidR="00525BD1">
        <w:rPr>
          <w:rFonts w:ascii="Helvetica" w:hAnsi="Helvetica"/>
          <w:b/>
          <w:bCs/>
          <w:color w:val="000000" w:themeColor="text1"/>
          <w:sz w:val="20"/>
          <w:szCs w:val="20"/>
        </w:rPr>
        <w:t>im Hinblick auf</w:t>
      </w:r>
      <w:r w:rsidR="00CE424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Ransomware </w:t>
      </w:r>
      <w:r w:rsidR="00525BD1">
        <w:rPr>
          <w:rFonts w:ascii="Helvetica" w:hAnsi="Helvetica"/>
          <w:b/>
          <w:bCs/>
          <w:color w:val="000000" w:themeColor="text1"/>
          <w:sz w:val="20"/>
          <w:szCs w:val="20"/>
        </w:rPr>
        <w:t>alle bisherigen Rekorde brechen wird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Aus diesem Grund </w:t>
      </w:r>
      <w:r w:rsidR="009D076B">
        <w:rPr>
          <w:rFonts w:ascii="Helvetica" w:hAnsi="Helvetica"/>
          <w:b/>
          <w:bCs/>
          <w:color w:val="000000" w:themeColor="text1"/>
          <w:sz w:val="20"/>
          <w:szCs w:val="20"/>
        </w:rPr>
        <w:t>empfehlen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wir </w:t>
      </w:r>
      <w:r w:rsidR="00F3713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jedem 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>Unternehmen</w:t>
      </w:r>
      <w:r w:rsidR="00AC7F2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und </w:t>
      </w:r>
      <w:r w:rsidR="00617B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 allem </w:t>
      </w:r>
      <w:r w:rsidR="002150B9">
        <w:rPr>
          <w:rFonts w:ascii="Helvetica" w:hAnsi="Helvetica"/>
          <w:b/>
          <w:bCs/>
          <w:color w:val="000000" w:themeColor="text1"/>
          <w:sz w:val="20"/>
          <w:szCs w:val="20"/>
        </w:rPr>
        <w:t>den</w:t>
      </w:r>
      <w:r w:rsidR="003A13C6">
        <w:rPr>
          <w:rFonts w:ascii="Helvetica" w:hAnsi="Helvetica"/>
          <w:b/>
          <w:bCs/>
          <w:color w:val="000000" w:themeColor="text1"/>
          <w:sz w:val="20"/>
          <w:szCs w:val="20"/>
        </w:rPr>
        <w:t>jenigen</w:t>
      </w:r>
      <w:r w:rsidR="00AC7F2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der </w:t>
      </w:r>
      <w:r w:rsidR="009D07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besonders betroffenen </w:t>
      </w:r>
      <w:r w:rsidR="00AC7F2E" w:rsidRPr="00AC7F2E">
        <w:rPr>
          <w:rFonts w:ascii="Helvetica" w:hAnsi="Helvetica"/>
          <w:b/>
          <w:bCs/>
          <w:color w:val="000000" w:themeColor="text1"/>
          <w:sz w:val="20"/>
          <w:szCs w:val="20"/>
        </w:rPr>
        <w:t>EMEA</w:t>
      </w:r>
      <w:r w:rsidR="00AC7F2E">
        <w:rPr>
          <w:rFonts w:ascii="Helvetica" w:hAnsi="Helvetica"/>
          <w:b/>
          <w:bCs/>
          <w:color w:val="000000" w:themeColor="text1"/>
          <w:sz w:val="20"/>
          <w:szCs w:val="20"/>
        </w:rPr>
        <w:t>-Region</w:t>
      </w:r>
      <w:r w:rsidR="003A13C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C7F2E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 w:rsidR="009D07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dringend, 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>wirksame Maßnahmen für einen weitreichenden Schutz der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IT-Infrastruktur</w:t>
      </w:r>
      <w:r w:rsidR="00617B2B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umzusetzen. Ganzheitlichkeit spielt in dem Zusammenhang eine entscheidende Rolle, denn nur mithilfe von Unified Security </w:t>
      </w:r>
      <w:r w:rsidR="00F71805">
        <w:rPr>
          <w:rFonts w:ascii="Helvetica" w:hAnsi="Helvetica"/>
          <w:b/>
          <w:bCs/>
          <w:color w:val="000000" w:themeColor="text1"/>
          <w:sz w:val="20"/>
          <w:szCs w:val="20"/>
        </w:rPr>
        <w:t>kann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den </w:t>
      </w:r>
      <w:r w:rsidR="00F718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 </w:t>
      </w:r>
      <w:r w:rsidR="008A7B59">
        <w:rPr>
          <w:rFonts w:ascii="Helvetica" w:hAnsi="Helvetica"/>
          <w:b/>
          <w:bCs/>
          <w:color w:val="000000" w:themeColor="text1"/>
          <w:sz w:val="20"/>
          <w:szCs w:val="20"/>
        </w:rPr>
        <w:t>stetig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>weiterentwickelnden Bedrohungen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dauerhaft effizient begegn</w:t>
      </w:r>
      <w:r w:rsidR="00F71805">
        <w:rPr>
          <w:rFonts w:ascii="Helvetica" w:hAnsi="Helvetica"/>
          <w:b/>
          <w:bCs/>
          <w:color w:val="000000" w:themeColor="text1"/>
          <w:sz w:val="20"/>
          <w:szCs w:val="20"/>
        </w:rPr>
        <w:t>et werden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>.“</w:t>
      </w:r>
      <w:r w:rsidR="00CE424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2D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wäre die </w:t>
      </w:r>
      <w:r w:rsidR="007538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 </w:t>
      </w:r>
      <w:r w:rsidR="00B42D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durch Ransomware nicht schon genug, 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verzeichnete das WatchGuard </w:t>
      </w:r>
      <w:proofErr w:type="spellStart"/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</w:t>
      </w:r>
      <w:r w:rsidR="00E60C2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2D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darüber hinaus </w:t>
      </w:r>
      <w:r w:rsidR="00E60C20">
        <w:rPr>
          <w:rFonts w:ascii="Helvetica" w:hAnsi="Helvetica"/>
          <w:b/>
          <w:bCs/>
          <w:color w:val="000000" w:themeColor="text1"/>
          <w:sz w:val="20"/>
          <w:szCs w:val="20"/>
        </w:rPr>
        <w:t>im ersten Quartal 2022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 Rückkehr des </w:t>
      </w:r>
      <w:proofErr w:type="spellStart"/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>Emotet</w:t>
      </w:r>
      <w:proofErr w:type="spellEnd"/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-Botnets in großem Stil, </w:t>
      </w:r>
      <w:r w:rsidR="00E60C20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Verdreifachung von Angriffen auf die </w:t>
      </w:r>
      <w:r w:rsidR="00383DA3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Log4Shell-Schwachstelle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eine Zunahme von b</w:t>
      </w:r>
      <w:r w:rsidR="00CD1DD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ösartige</w:t>
      </w:r>
      <w:r w:rsidR="00383DA3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CD1DD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CD1DD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Kryptomining</w:t>
      </w:r>
      <w:proofErr w:type="spellEnd"/>
      <w:r w:rsidR="00CD1DD9" w:rsidRPr="00CD1DD9">
        <w:rPr>
          <w:rFonts w:ascii="Helvetica" w:hAnsi="Helvetica"/>
          <w:b/>
          <w:bCs/>
          <w:color w:val="000000" w:themeColor="text1"/>
          <w:sz w:val="20"/>
          <w:szCs w:val="20"/>
        </w:rPr>
        <w:t>-Aktivitäten.</w:t>
      </w:r>
    </w:p>
    <w:p w14:paraId="45931027" w14:textId="77777777" w:rsidR="00CD1DD9" w:rsidRPr="00CD1DD9" w:rsidRDefault="00CD1DD9" w:rsidP="00CB75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5DF7139" w14:textId="20C67410" w:rsidR="00CD1DD9" w:rsidRPr="00CD1DD9" w:rsidRDefault="00D21245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ichtige Erkenntnisse aus dem Internet Security Report</w:t>
      </w:r>
      <w:r w:rsidR="00390951">
        <w:rPr>
          <w:rFonts w:ascii="Helvetica" w:hAnsi="Helvetica"/>
          <w:color w:val="000000" w:themeColor="text1"/>
          <w:sz w:val="20"/>
          <w:szCs w:val="20"/>
        </w:rPr>
        <w:t xml:space="preserve"> für das 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 xml:space="preserve">erste Quartal 2022 </w:t>
      </w:r>
      <w:r w:rsidR="0092588D">
        <w:rPr>
          <w:rFonts w:ascii="Helvetica" w:hAnsi="Helvetica"/>
          <w:color w:val="000000" w:themeColor="text1"/>
          <w:sz w:val="20"/>
          <w:szCs w:val="20"/>
        </w:rPr>
        <w:t>im Überblick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52F52666" w14:textId="087E672D" w:rsidR="00B8002C" w:rsidRDefault="00B8002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B67CBAA" w14:textId="18A4BCA1" w:rsidR="00CD1DD9" w:rsidRPr="0061258C" w:rsidRDefault="003A13C6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Anzahl der </w:t>
      </w:r>
      <w:r w:rsidR="00CD1DD9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Ransomware</w:t>
      </w:r>
      <w:r w:rsidR="00AC7F2E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-Attacken explodier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Noch im vierten Quartal 2021 </w:t>
      </w:r>
      <w:r w:rsidR="008D16D0">
        <w:rPr>
          <w:rFonts w:ascii="Helvetica" w:hAnsi="Helvetica"/>
          <w:color w:val="000000" w:themeColor="text1"/>
          <w:sz w:val="20"/>
          <w:szCs w:val="20"/>
        </w:rPr>
        <w:t>notierte</w:t>
      </w:r>
      <w:r w:rsidR="008D16D0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>der</w:t>
      </w:r>
      <w:r w:rsidR="006851D0" w:rsidRPr="0061258C">
        <w:rPr>
          <w:rFonts w:ascii="Helvetica" w:hAnsi="Helvetica"/>
          <w:color w:val="000000" w:themeColor="text1"/>
          <w:sz w:val="20"/>
          <w:szCs w:val="20"/>
        </w:rPr>
        <w:t xml:space="preserve"> WatchGuard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Internet Security Report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eine rückläufige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Zahl der Ransomware-Angriffe im Vergleich zum Vorjahr</w:t>
      </w:r>
      <w:r w:rsidRPr="0061258C">
        <w:rPr>
          <w:rFonts w:ascii="Helvetica" w:hAnsi="Helvetica"/>
          <w:color w:val="000000" w:themeColor="text1"/>
          <w:sz w:val="20"/>
          <w:szCs w:val="20"/>
        </w:rPr>
        <w:t>. Dieser Trend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 xml:space="preserve"> kehrte sich 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im ersten Quartal 2022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dramatisch um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. Auffallend ist, dass die </w:t>
      </w:r>
      <w:r w:rsidR="00AC7F2E" w:rsidRPr="0061258C">
        <w:rPr>
          <w:rFonts w:ascii="Helvetica" w:hAnsi="Helvetica"/>
          <w:color w:val="000000" w:themeColor="text1"/>
          <w:sz w:val="20"/>
          <w:szCs w:val="20"/>
        </w:rPr>
        <w:t>Anz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ahl der im ersten Quartal </w:t>
      </w:r>
      <w:r w:rsidR="00421325">
        <w:rPr>
          <w:rFonts w:ascii="Helvetica" w:hAnsi="Helvetica"/>
          <w:color w:val="000000" w:themeColor="text1"/>
          <w:sz w:val="20"/>
          <w:szCs w:val="20"/>
        </w:rPr>
        <w:t>erkannten</w:t>
      </w:r>
      <w:r w:rsidR="00421325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Ransomware-Angriffe bereits doppelt so hoch ist wie die Gesamtzahl der Entdeckungen im Jahr 2021. </w:t>
      </w:r>
    </w:p>
    <w:p w14:paraId="497A8622" w14:textId="77777777" w:rsidR="002643BB" w:rsidRPr="002643BB" w:rsidRDefault="002643BB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A44DD98" w14:textId="73930C03" w:rsidR="002643BB" w:rsidRPr="0061258C" w:rsidRDefault="002643BB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EMEA</w:t>
      </w:r>
      <w:r w:rsidR="003A13C6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-Region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weiterhin ein Hotspot für Malware-Bedrohungen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– Die regionale </w:t>
      </w:r>
      <w:r w:rsidR="00EB1A91">
        <w:rPr>
          <w:rFonts w:ascii="Helvetica" w:hAnsi="Helvetica"/>
          <w:color w:val="000000" w:themeColor="text1"/>
          <w:sz w:val="20"/>
          <w:szCs w:val="20"/>
        </w:rPr>
        <w:t xml:space="preserve">Zuordnung </w:t>
      </w:r>
      <w:r w:rsidR="00732F58">
        <w:rPr>
          <w:rFonts w:ascii="Helvetica" w:hAnsi="Helvetica"/>
          <w:color w:val="000000" w:themeColor="text1"/>
          <w:sz w:val="20"/>
          <w:szCs w:val="20"/>
        </w:rPr>
        <w:t>im Hinblick auf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gramStart"/>
      <w:r w:rsidRPr="0061258C">
        <w:rPr>
          <w:rFonts w:ascii="Helvetica" w:hAnsi="Helvetica"/>
          <w:color w:val="000000" w:themeColor="text1"/>
          <w:sz w:val="20"/>
          <w:szCs w:val="20"/>
        </w:rPr>
        <w:t>einfache</w:t>
      </w:r>
      <w:proofErr w:type="gram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A1440">
        <w:rPr>
          <w:rFonts w:ascii="Helvetica" w:hAnsi="Helvetica"/>
          <w:color w:val="000000" w:themeColor="text1"/>
          <w:sz w:val="20"/>
          <w:szCs w:val="20"/>
        </w:rPr>
        <w:t xml:space="preserve">wie </w:t>
      </w:r>
      <w:r w:rsidRPr="0061258C">
        <w:rPr>
          <w:rFonts w:ascii="Helvetica" w:hAnsi="Helvetica"/>
          <w:color w:val="000000" w:themeColor="text1"/>
          <w:sz w:val="20"/>
          <w:szCs w:val="20"/>
        </w:rPr>
        <w:t>evasive Malware zeig</w:t>
      </w:r>
      <w:r w:rsidR="00480C15">
        <w:rPr>
          <w:rFonts w:ascii="Helvetica" w:hAnsi="Helvetica"/>
          <w:color w:val="000000" w:themeColor="text1"/>
          <w:sz w:val="20"/>
          <w:szCs w:val="20"/>
        </w:rPr>
        <w:t>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Firebox</w:t>
      </w:r>
      <w:r w:rsidR="00B25D69">
        <w:rPr>
          <w:rFonts w:ascii="Helvetica" w:hAnsi="Helvetica"/>
          <w:color w:val="000000" w:themeColor="text1"/>
          <w:sz w:val="20"/>
          <w:szCs w:val="20"/>
        </w:rPr>
        <w:t>-Aplliances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in Europa, dem Nahen Osten und Afrika (EMEA) mit 57 Prozent </w:t>
      </w:r>
      <w:r w:rsidR="00154BA6">
        <w:rPr>
          <w:rFonts w:ascii="Helvetica" w:hAnsi="Helvetica"/>
          <w:color w:val="000000" w:themeColor="text1"/>
          <w:sz w:val="20"/>
          <w:szCs w:val="20"/>
        </w:rPr>
        <w:t xml:space="preserve">Anteil in der Gesamtstatistik </w:t>
      </w:r>
      <w:r w:rsidR="00E35EB6">
        <w:rPr>
          <w:rFonts w:ascii="Helvetica" w:hAnsi="Helvetica"/>
          <w:color w:val="000000" w:themeColor="text1"/>
          <w:sz w:val="20"/>
          <w:szCs w:val="20"/>
        </w:rPr>
        <w:t xml:space="preserve">deutlich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stärker </w:t>
      </w:r>
      <w:r w:rsidR="00E56D76">
        <w:rPr>
          <w:rFonts w:ascii="Helvetica" w:hAnsi="Helvetica"/>
          <w:color w:val="000000" w:themeColor="text1"/>
          <w:sz w:val="20"/>
          <w:szCs w:val="20"/>
        </w:rPr>
        <w:t>unter Beschuss standen</w:t>
      </w:r>
      <w:r w:rsidR="00E56D76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>als die</w:t>
      </w:r>
      <w:r w:rsidR="00E42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42CB0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in Nord-, Mittel- und Südamerika (AMER</w:t>
      </w:r>
      <w:r w:rsidR="00E35EB6">
        <w:rPr>
          <w:rFonts w:ascii="Helvetica" w:hAnsi="Helvetica"/>
          <w:color w:val="000000" w:themeColor="text1"/>
          <w:sz w:val="20"/>
          <w:szCs w:val="20"/>
        </w:rPr>
        <w:t>, hier 22 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>)</w:t>
      </w:r>
      <w:r w:rsidR="00154BA6">
        <w:rPr>
          <w:rFonts w:ascii="Helvetica" w:hAnsi="Helvetica"/>
          <w:color w:val="000000" w:themeColor="text1"/>
          <w:sz w:val="20"/>
          <w:szCs w:val="20"/>
        </w:rPr>
        <w:t xml:space="preserve"> oder der Region </w:t>
      </w:r>
      <w:r w:rsidRPr="0061258C">
        <w:rPr>
          <w:rFonts w:ascii="Helvetica" w:hAnsi="Helvetica"/>
          <w:color w:val="000000" w:themeColor="text1"/>
          <w:sz w:val="20"/>
          <w:szCs w:val="20"/>
        </w:rPr>
        <w:t>Asien-Pazifik (APAC</w:t>
      </w:r>
      <w:r w:rsidR="00154BA6">
        <w:rPr>
          <w:rFonts w:ascii="Helvetica" w:hAnsi="Helvetica"/>
          <w:color w:val="000000" w:themeColor="text1"/>
          <w:sz w:val="20"/>
          <w:szCs w:val="20"/>
        </w:rPr>
        <w:t>, 21 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). </w:t>
      </w:r>
    </w:p>
    <w:p w14:paraId="67FD161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346632C" w14:textId="6B40C087" w:rsidR="00CD1DD9" w:rsidRPr="0061258C" w:rsidRDefault="00AC7F2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REvil</w:t>
      </w:r>
      <w:proofErr w:type="spellEnd"/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ist Geschichte, dafür kommt </w:t>
      </w:r>
      <w:r w:rsidR="00CD1DD9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LAPSUS$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Zwar wurde i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m vierten Quartal 2021 die berüchtigte Cybergang </w:t>
      </w:r>
      <w:proofErr w:type="spellStart"/>
      <w:r w:rsidR="00CD1DD9" w:rsidRPr="0061258C">
        <w:rPr>
          <w:rFonts w:ascii="Helvetica" w:hAnsi="Helvetica"/>
          <w:color w:val="000000" w:themeColor="text1"/>
          <w:sz w:val="20"/>
          <w:szCs w:val="20"/>
        </w:rPr>
        <w:t>REvil</w:t>
      </w:r>
      <w:proofErr w:type="spellEnd"/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aufgelöst,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 xml:space="preserve">dafür macht </w:t>
      </w:r>
      <w:r w:rsidR="002643BB" w:rsidRPr="0061258C">
        <w:rPr>
          <w:rFonts w:ascii="Helvetica" w:hAnsi="Helvetica"/>
          <w:color w:val="000000" w:themeColor="text1"/>
          <w:sz w:val="20"/>
          <w:szCs w:val="20"/>
        </w:rPr>
        <w:t xml:space="preserve">nun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 xml:space="preserve">mit LAPSUS$ eine 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andere </w:t>
      </w:r>
      <w:r w:rsidR="00C82257" w:rsidRPr="0061258C">
        <w:rPr>
          <w:rFonts w:ascii="Helvetica" w:hAnsi="Helvetica"/>
          <w:color w:val="000000" w:themeColor="text1"/>
          <w:sz w:val="20"/>
          <w:szCs w:val="20"/>
        </w:rPr>
        <w:t>Erpresserg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>ruppe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 xml:space="preserve"> negativ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auf sich aufmerksam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Erste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Analyse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n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von WatchGuard deute</w:t>
      </w:r>
      <w:r w:rsidR="00E60C20" w:rsidRPr="0061258C">
        <w:rPr>
          <w:rFonts w:ascii="Helvetica" w:hAnsi="Helvetica"/>
          <w:color w:val="000000" w:themeColor="text1"/>
          <w:sz w:val="20"/>
          <w:szCs w:val="20"/>
        </w:rPr>
        <w:t>n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darauf hin, dass die</w:t>
      </w:r>
      <w:r w:rsidR="00B42DE9" w:rsidRPr="0061258C">
        <w:rPr>
          <w:rFonts w:ascii="Helvetica" w:hAnsi="Helvetica"/>
          <w:color w:val="000000" w:themeColor="text1"/>
          <w:sz w:val="20"/>
          <w:szCs w:val="20"/>
        </w:rPr>
        <w:t xml:space="preserve">se in Verbindung 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mit vielen neuen Ransomware-Varianten wie </w:t>
      </w:r>
      <w:proofErr w:type="spellStart"/>
      <w:r w:rsidR="00CD1DD9" w:rsidRPr="0061258C">
        <w:rPr>
          <w:rFonts w:ascii="Helvetica" w:hAnsi="Helvetica"/>
          <w:color w:val="000000" w:themeColor="text1"/>
          <w:sz w:val="20"/>
          <w:szCs w:val="20"/>
        </w:rPr>
        <w:lastRenderedPageBreak/>
        <w:t>BlackCat</w:t>
      </w:r>
      <w:proofErr w:type="spellEnd"/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, der ersten </w:t>
      </w:r>
      <w:r w:rsidR="00CF6E65" w:rsidRPr="0061258C">
        <w:rPr>
          <w:rFonts w:ascii="Helvetica" w:hAnsi="Helvetica"/>
          <w:color w:val="000000" w:themeColor="text1"/>
          <w:sz w:val="20"/>
          <w:szCs w:val="20"/>
        </w:rPr>
        <w:t>in der Programmiersprache Rust geschriebenen Schadsoftware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, zu einer </w:t>
      </w:r>
      <w:r w:rsidR="00CC7D94">
        <w:rPr>
          <w:rFonts w:ascii="Helvetica" w:hAnsi="Helvetica"/>
          <w:color w:val="000000" w:themeColor="text1"/>
          <w:sz w:val="20"/>
          <w:szCs w:val="20"/>
        </w:rPr>
        <w:t xml:space="preserve">konsequenten </w:t>
      </w:r>
      <w:r w:rsidR="00AA1440">
        <w:rPr>
          <w:rFonts w:ascii="Helvetica" w:hAnsi="Helvetica"/>
          <w:color w:val="000000" w:themeColor="text1"/>
          <w:sz w:val="20"/>
          <w:szCs w:val="20"/>
        </w:rPr>
        <w:t>Ausdehnung</w:t>
      </w:r>
      <w:r w:rsidR="00AA1440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F6E65" w:rsidRPr="0061258C">
        <w:rPr>
          <w:rFonts w:ascii="Helvetica" w:hAnsi="Helvetica"/>
          <w:color w:val="000000" w:themeColor="text1"/>
          <w:sz w:val="20"/>
          <w:szCs w:val="20"/>
        </w:rPr>
        <w:t>der</w:t>
      </w:r>
      <w:r w:rsidR="00CD1DD9" w:rsidRPr="0061258C">
        <w:rPr>
          <w:rFonts w:ascii="Helvetica" w:hAnsi="Helvetica"/>
          <w:color w:val="000000" w:themeColor="text1"/>
          <w:sz w:val="20"/>
          <w:szCs w:val="20"/>
        </w:rPr>
        <w:t xml:space="preserve"> Ransomware-Bedrohungslandschaft beitragen könnte.</w:t>
      </w:r>
    </w:p>
    <w:p w14:paraId="6E578CDD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FC3DA1F" w14:textId="315861C5" w:rsidR="00CD1DD9" w:rsidRPr="0061258C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Log4Shell </w:t>
      </w:r>
      <w:r w:rsidR="00CF6E65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neu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 der Top-10-Liste der Netzwerkangriffe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Die Apache Log4j2-Schwachstelle, auch bekannt als Log4Shell, wurde Anfang Dezember 2021 </w:t>
      </w:r>
      <w:r w:rsidR="006851D0" w:rsidRPr="0061258C">
        <w:rPr>
          <w:rFonts w:ascii="Helvetica" w:hAnsi="Helvetica"/>
          <w:color w:val="000000" w:themeColor="text1"/>
          <w:sz w:val="20"/>
          <w:szCs w:val="20"/>
        </w:rPr>
        <w:t>bekannt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und tauchte i</w:t>
      </w:r>
      <w:r w:rsidR="002643BB" w:rsidRPr="0061258C">
        <w:rPr>
          <w:rFonts w:ascii="Helvetica" w:hAnsi="Helvetica"/>
          <w:color w:val="000000" w:themeColor="text1"/>
          <w:sz w:val="20"/>
          <w:szCs w:val="20"/>
        </w:rPr>
        <w:t>m besagten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Quartal erst spät auf der Top-10-Liste der Netzwerkangriffe auf. Im Vergleich zu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>allen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IPS-Erkennungen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>in diesem Zeitraum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hat sich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>der Anteil der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Log4Shell-Signatur im ersten Quartal dieses Jahres</w:t>
      </w:r>
      <w:r w:rsidR="00CF6E65" w:rsidRPr="0061258C">
        <w:rPr>
          <w:rFonts w:ascii="Helvetica" w:hAnsi="Helvetica"/>
          <w:color w:val="000000" w:themeColor="text1"/>
          <w:sz w:val="20"/>
          <w:szCs w:val="20"/>
        </w:rPr>
        <w:t xml:space="preserve"> jedoch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fast verdreifacht. Log4Shell wurde im letzten Internet Security Report </w:t>
      </w:r>
      <w:r w:rsidR="006851D0" w:rsidRPr="0061258C">
        <w:rPr>
          <w:rFonts w:ascii="Helvetica" w:hAnsi="Helvetica"/>
          <w:color w:val="000000" w:themeColor="text1"/>
          <w:sz w:val="20"/>
          <w:szCs w:val="20"/>
        </w:rPr>
        <w:t xml:space="preserve">aufgrund der höchstmöglichen 10,0-Punktzahl im Common </w:t>
      </w:r>
      <w:proofErr w:type="spellStart"/>
      <w:r w:rsidR="006851D0" w:rsidRPr="0061258C">
        <w:rPr>
          <w:rFonts w:ascii="Helvetica" w:hAnsi="Helvetica"/>
          <w:color w:val="000000" w:themeColor="text1"/>
          <w:sz w:val="20"/>
          <w:szCs w:val="20"/>
        </w:rPr>
        <w:t>Vulnerability</w:t>
      </w:r>
      <w:proofErr w:type="spellEnd"/>
      <w:r w:rsidR="006851D0" w:rsidRPr="0061258C">
        <w:rPr>
          <w:rFonts w:ascii="Helvetica" w:hAnsi="Helvetica"/>
          <w:color w:val="000000" w:themeColor="text1"/>
          <w:sz w:val="20"/>
          <w:szCs w:val="20"/>
        </w:rPr>
        <w:t xml:space="preserve"> Scoring System (CVSS) als </w:t>
      </w:r>
      <w:r w:rsidRPr="0061258C">
        <w:rPr>
          <w:rFonts w:ascii="Helvetica" w:hAnsi="Helvetica"/>
          <w:color w:val="000000" w:themeColor="text1"/>
          <w:sz w:val="20"/>
          <w:szCs w:val="20"/>
        </w:rPr>
        <w:t>Top-Sicherheitsvorfall hervorgehoben</w:t>
      </w:r>
      <w:r w:rsidR="00CF6E65" w:rsidRPr="0061258C">
        <w:rPr>
          <w:rFonts w:ascii="Helvetica" w:hAnsi="Helvetica"/>
          <w:color w:val="000000" w:themeColor="text1"/>
          <w:sz w:val="20"/>
          <w:szCs w:val="20"/>
        </w:rPr>
        <w:t xml:space="preserve">. Die Gründe dafür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finden sich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 in der</w:t>
      </w:r>
      <w:r w:rsidR="00CF6E65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breiten Verwendung von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Java-Programmen und 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 xml:space="preserve">einfachen </w:t>
      </w:r>
      <w:r w:rsidRPr="0061258C">
        <w:rPr>
          <w:rFonts w:ascii="Helvetica" w:hAnsi="Helvetica"/>
          <w:color w:val="000000" w:themeColor="text1"/>
          <w:sz w:val="20"/>
          <w:szCs w:val="20"/>
        </w:rPr>
        <w:t>Ausführung von beliebigem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>Code.</w:t>
      </w:r>
    </w:p>
    <w:p w14:paraId="07939708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415B11F" w14:textId="359E0689" w:rsidR="00CD1DD9" w:rsidRPr="0061258C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Comeback von </w:t>
      </w:r>
      <w:proofErr w:type="spellStart"/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Emotet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machte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 xml:space="preserve">in den ersten drei Monaten dieses Jahres 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gleich mit </w:t>
      </w:r>
      <w:r w:rsidRPr="0061258C">
        <w:rPr>
          <w:rFonts w:ascii="Helvetica" w:hAnsi="Helvetica"/>
          <w:color w:val="000000" w:themeColor="text1"/>
          <w:sz w:val="20"/>
          <w:szCs w:val="20"/>
        </w:rPr>
        <w:t>drei der Top-10-Erkennungen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 xml:space="preserve"> auf sich aufmerksam und stellt nach seiner Rückkehr im vierten Quartal 2021 die am </w:t>
      </w:r>
      <w:r w:rsidRPr="0061258C">
        <w:rPr>
          <w:rFonts w:ascii="Helvetica" w:hAnsi="Helvetica"/>
          <w:color w:val="000000" w:themeColor="text1"/>
          <w:sz w:val="20"/>
          <w:szCs w:val="20"/>
        </w:rPr>
        <w:t>weitesten verbreitete Malware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 xml:space="preserve"> in Q1</w:t>
      </w:r>
      <w:r w:rsidR="009265F0" w:rsidRPr="0061258C">
        <w:rPr>
          <w:rFonts w:ascii="Helvetica" w:hAnsi="Helvetica"/>
          <w:color w:val="000000" w:themeColor="text1"/>
          <w:sz w:val="20"/>
          <w:szCs w:val="20"/>
        </w:rPr>
        <w:t>/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2022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931BF" w:rsidRPr="0061258C">
        <w:rPr>
          <w:rFonts w:ascii="Helvetica" w:hAnsi="Helvetica"/>
          <w:color w:val="000000" w:themeColor="text1"/>
          <w:sz w:val="20"/>
          <w:szCs w:val="20"/>
        </w:rPr>
        <w:t>dar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 w:rsidR="005C4B85" w:rsidRPr="0061258C">
        <w:rPr>
          <w:rFonts w:ascii="Helvetica" w:hAnsi="Helvetica"/>
          <w:color w:val="000000" w:themeColor="text1"/>
          <w:sz w:val="20"/>
          <w:szCs w:val="20"/>
        </w:rPr>
        <w:t>entdeckten Varianten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Trojan.Vita</w:t>
      </w:r>
      <w:proofErr w:type="spellEnd"/>
      <w:r w:rsidR="00EA320D">
        <w:rPr>
          <w:rFonts w:ascii="Helvetica" w:hAnsi="Helvetica"/>
          <w:color w:val="000000" w:themeColor="text1"/>
          <w:sz w:val="20"/>
          <w:szCs w:val="20"/>
        </w:rPr>
        <w:t xml:space="preserve"> (diese hat</w:t>
      </w:r>
      <w:r w:rsidR="00410E8D">
        <w:rPr>
          <w:rFonts w:ascii="Helvetica" w:hAnsi="Helvetica"/>
          <w:color w:val="000000" w:themeColor="text1"/>
          <w:sz w:val="20"/>
          <w:szCs w:val="20"/>
        </w:rPr>
        <w:t>te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es vor allem auf Japan abgesehen und </w:t>
      </w:r>
      <w:r w:rsidR="00EA320D">
        <w:rPr>
          <w:rFonts w:ascii="Helvetica" w:hAnsi="Helvetica"/>
          <w:color w:val="000000" w:themeColor="text1"/>
          <w:sz w:val="20"/>
          <w:szCs w:val="20"/>
        </w:rPr>
        <w:t xml:space="preserve">taucht </w:t>
      </w:r>
      <w:r w:rsidRPr="0061258C">
        <w:rPr>
          <w:rFonts w:ascii="Helvetica" w:hAnsi="Helvetica"/>
          <w:color w:val="000000" w:themeColor="text1"/>
          <w:sz w:val="20"/>
          <w:szCs w:val="20"/>
        </w:rPr>
        <w:t>in der Liste der fünf meistverschlüsselten Malware-Varianten auf</w:t>
      </w:r>
      <w:r w:rsidR="00EA320D">
        <w:rPr>
          <w:rFonts w:ascii="Helvetica" w:hAnsi="Helvetica"/>
          <w:color w:val="000000" w:themeColor="text1"/>
          <w:sz w:val="20"/>
          <w:szCs w:val="20"/>
        </w:rPr>
        <w:t>)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und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Trojan.Valyria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nutzen beide Exploits in Microsoft Office, um das Botnetz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herunterzuladen. Das dritte </w:t>
      </w:r>
      <w:r w:rsidR="005C4B85" w:rsidRPr="0061258C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proofErr w:type="spellStart"/>
      <w:r w:rsidR="005C4B85" w:rsidRPr="0061258C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="005C4B85" w:rsidRPr="0061258C">
        <w:rPr>
          <w:rFonts w:ascii="Helvetica" w:hAnsi="Helvetica"/>
          <w:color w:val="000000" w:themeColor="text1"/>
          <w:sz w:val="20"/>
          <w:szCs w:val="20"/>
        </w:rPr>
        <w:t xml:space="preserve"> in Verbindung stehende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Malware-Sample MSIL.Mensa.4 kann sich über angeschlossene Speichergeräte verbreiten und zielte hauptsächlich auf Netzwerke in den USA ab. Die Daten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des WatchGuard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Lab zeigen, dass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als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Dropper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fungiert und die Datei von einem Malware-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Delivery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>-Server herunterlädt und installiert.</w:t>
      </w:r>
    </w:p>
    <w:p w14:paraId="0F38DA57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31CFA8C" w14:textId="087EAE6D" w:rsidR="00CD1DD9" w:rsidRPr="0061258C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PowerShell-Skripte </w:t>
      </w:r>
      <w:r w:rsidR="003B6BFC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 </w:t>
      </w:r>
      <w:r w:rsidR="006F676E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Spitze der zunehmenden </w:t>
      </w:r>
      <w:r w:rsidR="009D7378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Angriffe auf 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Endpunkte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Die Gesamtzahl der </w:t>
      </w:r>
      <w:r w:rsidR="009D661B">
        <w:rPr>
          <w:rFonts w:ascii="Helvetica" w:hAnsi="Helvetica"/>
          <w:color w:val="000000" w:themeColor="text1"/>
          <w:sz w:val="20"/>
          <w:szCs w:val="20"/>
        </w:rPr>
        <w:t xml:space="preserve">identifizierten </w:t>
      </w:r>
      <w:r w:rsidRPr="0061258C">
        <w:rPr>
          <w:rFonts w:ascii="Helvetica" w:hAnsi="Helvetica"/>
          <w:color w:val="000000" w:themeColor="text1"/>
          <w:sz w:val="20"/>
          <w:szCs w:val="20"/>
        </w:rPr>
        <w:t>Endpunkt-</w:t>
      </w:r>
      <w:r w:rsidR="00EA7101">
        <w:rPr>
          <w:rFonts w:ascii="Helvetica" w:hAnsi="Helvetica"/>
          <w:color w:val="000000" w:themeColor="text1"/>
          <w:sz w:val="20"/>
          <w:szCs w:val="20"/>
        </w:rPr>
        <w:t>Attacken</w:t>
      </w:r>
      <w:r w:rsidR="009D661B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im ersten Quartal ist gegenüber dem Vorquartal um 38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gestiegen. Skripte, insbesondere PowerShell-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basierte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stellten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 xml:space="preserve"> in diesem Zeitraum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 xml:space="preserve"> den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dominierende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Angriffsvektor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 xml:space="preserve"> dar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. Mit einem Anteil von 88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trieben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sie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die Zahl der gesamten Endpunkt-</w:t>
      </w:r>
      <w:r w:rsidR="00392ACD">
        <w:rPr>
          <w:rFonts w:ascii="Helvetica" w:hAnsi="Helvetica"/>
          <w:color w:val="000000" w:themeColor="text1"/>
          <w:sz w:val="20"/>
          <w:szCs w:val="20"/>
        </w:rPr>
        <w:t>fokussierten Ereignisse</w:t>
      </w:r>
      <w:r w:rsidR="00392ACD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im Vergleich zum vorherigen Quartal deutlich nach oben. PowerShell-Skripte waren für 99,6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r w:rsidR="009568A3">
        <w:rPr>
          <w:rFonts w:ascii="Helvetica" w:hAnsi="Helvetica"/>
          <w:color w:val="000000" w:themeColor="text1"/>
          <w:sz w:val="20"/>
          <w:szCs w:val="20"/>
        </w:rPr>
        <w:t>S</w:t>
      </w:r>
      <w:r w:rsidR="008030CF">
        <w:rPr>
          <w:rFonts w:ascii="Helvetica" w:hAnsi="Helvetica"/>
          <w:color w:val="000000" w:themeColor="text1"/>
          <w:sz w:val="20"/>
          <w:szCs w:val="20"/>
        </w:rPr>
        <w:t>k</w:t>
      </w:r>
      <w:r w:rsidR="009568A3">
        <w:rPr>
          <w:rFonts w:ascii="Helvetica" w:hAnsi="Helvetica"/>
          <w:color w:val="000000" w:themeColor="text1"/>
          <w:sz w:val="20"/>
          <w:szCs w:val="20"/>
        </w:rPr>
        <w:t>ript-bezogenen Vorfälle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in den ersten drei Monaten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verantwortlich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. Da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>raus lässt sich</w:t>
      </w:r>
      <w:r w:rsidR="009265F0" w:rsidRPr="0061258C">
        <w:rPr>
          <w:rFonts w:ascii="Helvetica" w:hAnsi="Helvetica"/>
          <w:color w:val="000000" w:themeColor="text1"/>
          <w:sz w:val="20"/>
          <w:szCs w:val="20"/>
        </w:rPr>
        <w:t xml:space="preserve"> ein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 xml:space="preserve"> klar</w:t>
      </w:r>
      <w:r w:rsidR="009265F0" w:rsidRPr="0061258C">
        <w:rPr>
          <w:rFonts w:ascii="Helvetica" w:hAnsi="Helvetica"/>
          <w:color w:val="000000" w:themeColor="text1"/>
          <w:sz w:val="20"/>
          <w:szCs w:val="20"/>
        </w:rPr>
        <w:t>er</w:t>
      </w:r>
      <w:r w:rsidR="006F676E" w:rsidRPr="0061258C">
        <w:rPr>
          <w:rFonts w:ascii="Helvetica" w:hAnsi="Helvetica"/>
          <w:color w:val="000000" w:themeColor="text1"/>
          <w:sz w:val="20"/>
          <w:szCs w:val="20"/>
        </w:rPr>
        <w:t xml:space="preserve"> Trend ablesen: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Angreifer</w:t>
      </w:r>
      <w:r w:rsidR="00B978BF" w:rsidRPr="0061258C">
        <w:rPr>
          <w:rFonts w:ascii="Helvetica" w:hAnsi="Helvetica"/>
          <w:color w:val="000000" w:themeColor="text1"/>
          <w:sz w:val="20"/>
          <w:szCs w:val="20"/>
        </w:rPr>
        <w:t xml:space="preserve"> setzen zunehmend auf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dateilose und Living-off-</w:t>
      </w:r>
      <w:proofErr w:type="spellStart"/>
      <w:r w:rsidR="009D7378" w:rsidRPr="0061258C">
        <w:rPr>
          <w:rFonts w:ascii="Helvetica" w:hAnsi="Helvetica"/>
          <w:color w:val="000000" w:themeColor="text1"/>
          <w:sz w:val="20"/>
          <w:szCs w:val="20"/>
        </w:rPr>
        <w:t>the</w:t>
      </w:r>
      <w:proofErr w:type="spellEnd"/>
      <w:r w:rsidR="009D7378" w:rsidRPr="0061258C">
        <w:rPr>
          <w:rFonts w:ascii="Helvetica" w:hAnsi="Helvetica"/>
          <w:color w:val="000000" w:themeColor="text1"/>
          <w:sz w:val="20"/>
          <w:szCs w:val="20"/>
        </w:rPr>
        <w:t>-land-Attacken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mit legitimen Tools. Obwohl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 xml:space="preserve">sich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diese Skripte </w:t>
      </w:r>
      <w:r w:rsidR="009D7378" w:rsidRPr="0061258C">
        <w:rPr>
          <w:rFonts w:ascii="Helvetica" w:hAnsi="Helvetica"/>
          <w:color w:val="000000" w:themeColor="text1"/>
          <w:sz w:val="20"/>
          <w:szCs w:val="20"/>
        </w:rPr>
        <w:t>einer hohen Beliebtheit erfreuen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, zeigen die Daten von WatchGuard, dass </w:t>
      </w:r>
      <w:r w:rsidR="002643BB" w:rsidRPr="0061258C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Pr="0061258C">
        <w:rPr>
          <w:rFonts w:ascii="Helvetica" w:hAnsi="Helvetica"/>
          <w:color w:val="000000" w:themeColor="text1"/>
          <w:sz w:val="20"/>
          <w:szCs w:val="20"/>
        </w:rPr>
        <w:t>andere Quellen für Malware nicht übersehen werden sollten.</w:t>
      </w:r>
    </w:p>
    <w:p w14:paraId="59C49683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5CF0EA2" w14:textId="462925B9" w:rsidR="00CD1DD9" w:rsidRPr="0061258C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Legale</w:t>
      </w:r>
      <w:r w:rsidR="009265F0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Kryptomining</w:t>
      </w:r>
      <w:proofErr w:type="spellEnd"/>
      <w:r w:rsidR="009265F0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D7378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mit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bösartige</w:t>
      </w:r>
      <w:r w:rsidR="009265F0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n Hintergrunda</w:t>
      </w:r>
      <w:r w:rsidR="00B978BF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ktivitäten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65F0" w:rsidRPr="0061258C">
        <w:rPr>
          <w:rFonts w:ascii="Helvetica" w:hAnsi="Helvetica"/>
          <w:color w:val="000000" w:themeColor="text1"/>
          <w:sz w:val="20"/>
          <w:szCs w:val="20"/>
        </w:rPr>
        <w:t>Die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drei Neuzugänge in der Liste der Top-Malware-Domänen im ersten Quartal standen in Zusammenhang mit </w:t>
      </w:r>
      <w:proofErr w:type="spellStart"/>
      <w:r w:rsidRPr="0061258C">
        <w:rPr>
          <w:rFonts w:ascii="Helvetica" w:hAnsi="Helvetica"/>
          <w:color w:val="000000" w:themeColor="text1"/>
          <w:sz w:val="20"/>
          <w:szCs w:val="20"/>
        </w:rPr>
        <w:t>Nanopool</w:t>
      </w:r>
      <w:proofErr w:type="spellEnd"/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978BF" w:rsidRPr="0061258C">
        <w:rPr>
          <w:rFonts w:ascii="Helvetica" w:hAnsi="Helvetica"/>
          <w:color w:val="000000" w:themeColor="text1"/>
          <w:sz w:val="20"/>
          <w:szCs w:val="20"/>
        </w:rPr>
        <w:t>Auf dieser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beliebte</w:t>
      </w:r>
      <w:r w:rsidR="00B978BF" w:rsidRPr="0061258C">
        <w:rPr>
          <w:rFonts w:ascii="Helvetica" w:hAnsi="Helvetica"/>
          <w:color w:val="000000" w:themeColor="text1"/>
          <w:sz w:val="20"/>
          <w:szCs w:val="20"/>
        </w:rPr>
        <w:t>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978BF" w:rsidRPr="0061258C">
        <w:rPr>
          <w:rFonts w:ascii="Helvetica" w:hAnsi="Helvetica"/>
          <w:color w:val="000000" w:themeColor="text1"/>
          <w:sz w:val="20"/>
          <w:szCs w:val="20"/>
        </w:rPr>
        <w:t>Kryptomining</w:t>
      </w:r>
      <w:proofErr w:type="spellEnd"/>
      <w:r w:rsidR="00B978BF" w:rsidRPr="0061258C">
        <w:rPr>
          <w:rFonts w:ascii="Helvetica" w:hAnsi="Helvetica"/>
          <w:color w:val="000000" w:themeColor="text1"/>
          <w:sz w:val="20"/>
          <w:szCs w:val="20"/>
        </w:rPr>
        <w:t>-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Plattform </w:t>
      </w:r>
      <w:r w:rsidR="00B978BF" w:rsidRPr="0061258C">
        <w:rPr>
          <w:rFonts w:ascii="Helvetica" w:hAnsi="Helvetica"/>
          <w:color w:val="000000" w:themeColor="text1"/>
          <w:sz w:val="20"/>
          <w:szCs w:val="20"/>
        </w:rPr>
        <w:t xml:space="preserve">werden unterschiedliche </w:t>
      </w:r>
      <w:r w:rsidR="00FB65ED" w:rsidRPr="0061258C">
        <w:rPr>
          <w:rFonts w:ascii="Helvetica" w:hAnsi="Helvetica"/>
          <w:color w:val="000000" w:themeColor="text1"/>
          <w:sz w:val="20"/>
          <w:szCs w:val="20"/>
        </w:rPr>
        <w:t>Kryptowährungen</w:t>
      </w:r>
      <w:r w:rsidR="00B978BF" w:rsidRPr="0061258C">
        <w:rPr>
          <w:rFonts w:ascii="Helvetica" w:hAnsi="Helvetica"/>
          <w:color w:val="000000" w:themeColor="text1"/>
          <w:sz w:val="20"/>
          <w:szCs w:val="20"/>
        </w:rPr>
        <w:t xml:space="preserve"> gebündelt</w:t>
      </w:r>
      <w:r w:rsidR="003B6BFC" w:rsidRPr="0061258C">
        <w:rPr>
          <w:rFonts w:ascii="Helvetica" w:hAnsi="Helvetica"/>
          <w:color w:val="000000" w:themeColor="text1"/>
          <w:sz w:val="20"/>
          <w:szCs w:val="20"/>
        </w:rPr>
        <w:t>, um einen stetigen Ertragsfluss zu gewährleisten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B6BFC" w:rsidRPr="0061258C">
        <w:rPr>
          <w:rFonts w:ascii="Helvetica" w:hAnsi="Helvetica"/>
          <w:color w:val="000000" w:themeColor="text1"/>
          <w:sz w:val="20"/>
          <w:szCs w:val="20"/>
        </w:rPr>
        <w:t>Technisch gesehen sind d</w:t>
      </w:r>
      <w:r w:rsidRPr="0061258C">
        <w:rPr>
          <w:rFonts w:ascii="Helvetica" w:hAnsi="Helvetica"/>
          <w:color w:val="000000" w:themeColor="text1"/>
          <w:sz w:val="20"/>
          <w:szCs w:val="20"/>
        </w:rPr>
        <w:t>iese Domänen legitim</w:t>
      </w:r>
      <w:r w:rsidR="003B6BFC" w:rsidRPr="0061258C">
        <w:rPr>
          <w:rFonts w:ascii="Helvetica" w:hAnsi="Helvetica"/>
          <w:color w:val="000000" w:themeColor="text1"/>
          <w:sz w:val="20"/>
          <w:szCs w:val="20"/>
        </w:rPr>
        <w:t xml:space="preserve"> und mit</w:t>
      </w:r>
      <w:r w:rsidR="007F4C9E" w:rsidRPr="0061258C">
        <w:rPr>
          <w:rFonts w:ascii="Helvetica" w:hAnsi="Helvetica"/>
          <w:color w:val="000000" w:themeColor="text1"/>
          <w:sz w:val="20"/>
          <w:szCs w:val="20"/>
        </w:rPr>
        <w:t xml:space="preserve"> einer</w:t>
      </w:r>
      <w:r w:rsidR="003B6BFC" w:rsidRPr="0061258C">
        <w:rPr>
          <w:rFonts w:ascii="Helvetica" w:hAnsi="Helvetica"/>
          <w:color w:val="000000" w:themeColor="text1"/>
          <w:sz w:val="20"/>
          <w:szCs w:val="20"/>
        </w:rPr>
        <w:t xml:space="preserve"> legal arbeitenden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Organisation</w:t>
      </w:r>
      <w:r w:rsidR="003B6BFC"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1258C">
        <w:rPr>
          <w:rFonts w:ascii="Helvetica" w:hAnsi="Helvetica"/>
          <w:color w:val="000000" w:themeColor="text1"/>
          <w:sz w:val="20"/>
          <w:szCs w:val="20"/>
        </w:rPr>
        <w:t>verbunden. Die Verbindungen zu diesen Mining-Pools entstehen jedoch fast immer in einem Unternehmens- oder Bildungsnetzwerk durch Malware-Infektionen und nicht durch legitime Mining-Aktivitäten.</w:t>
      </w:r>
    </w:p>
    <w:p w14:paraId="53713E08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A65A94D" w14:textId="7EF63328" w:rsidR="00CD1DD9" w:rsidRPr="0061258C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 xml:space="preserve">Unternehmen </w:t>
      </w:r>
      <w:r w:rsidR="00EF4CAA"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>sehen sich</w:t>
      </w:r>
      <w:r w:rsidRPr="006125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nach wie vor mit einer Vielzahl einzigartiger Netzwerkangriffe konfrontiert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Während die Top-10-IPS-Signaturen 87 </w:t>
      </w:r>
      <w:r w:rsidR="007F4C9E" w:rsidRPr="0061258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aller Netzwerkangriffe ausmachten, erreichte die Zahl der einzigartigen Erkennungen den höchsten Stand seit </w:t>
      </w:r>
      <w:r w:rsidR="00B37412">
        <w:rPr>
          <w:rFonts w:ascii="Helvetica" w:hAnsi="Helvetica"/>
          <w:color w:val="000000" w:themeColor="text1"/>
          <w:sz w:val="20"/>
          <w:szCs w:val="20"/>
        </w:rPr>
        <w:t xml:space="preserve">Anfang 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2019. Dieser Anstieg deutet darauf hin, dass sich automatisierte Angriffe auf eine kleinere Teilmenge potenzieller Exploits konzentrieren, anstatt </w:t>
      </w:r>
      <w:r w:rsidR="009265F0" w:rsidRPr="0061258C">
        <w:rPr>
          <w:rFonts w:ascii="Helvetica" w:hAnsi="Helvetica"/>
          <w:color w:val="000000" w:themeColor="text1"/>
          <w:sz w:val="20"/>
          <w:szCs w:val="20"/>
        </w:rPr>
        <w:t>auf Masse zu setzen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F4C9E" w:rsidRPr="0061258C">
        <w:rPr>
          <w:rFonts w:ascii="Helvetica" w:hAnsi="Helvetica"/>
          <w:color w:val="000000" w:themeColor="text1"/>
          <w:sz w:val="20"/>
          <w:szCs w:val="20"/>
        </w:rPr>
        <w:t xml:space="preserve">In Summe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>prasselt auf</w:t>
      </w:r>
      <w:r w:rsidRPr="0061258C">
        <w:rPr>
          <w:rFonts w:ascii="Helvetica" w:hAnsi="Helvetica"/>
          <w:color w:val="000000" w:themeColor="text1"/>
          <w:sz w:val="20"/>
          <w:szCs w:val="20"/>
        </w:rPr>
        <w:t xml:space="preserve"> Unternehmen jedoch immer noch eine große Bandbreite an </w:t>
      </w:r>
      <w:r w:rsidR="00EF4CAA" w:rsidRPr="0061258C">
        <w:rPr>
          <w:rFonts w:ascii="Helvetica" w:hAnsi="Helvetica"/>
          <w:color w:val="000000" w:themeColor="text1"/>
          <w:sz w:val="20"/>
          <w:szCs w:val="20"/>
        </w:rPr>
        <w:t>Angriffen ein</w:t>
      </w:r>
      <w:r w:rsidRPr="0061258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CF59E5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B224564" w14:textId="0E787278" w:rsidR="007F4C9E" w:rsidRPr="007F4C9E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All diese Erkenntnisse des vierteljährlichen Forschungsberichts von WatchGuard basieren auf anonymisierten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-Feed-Daten von aktiven WatchGuard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, deren Besitzer der Weitergabe von Daten zur Unterstützung der Forschungsarbeit des </w:t>
      </w:r>
      <w:proofErr w:type="spellStart"/>
      <w:r w:rsidRPr="007F4C9E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Lab zugestimmt haben. Im </w:t>
      </w:r>
      <w:r>
        <w:rPr>
          <w:rFonts w:ascii="Helvetica" w:hAnsi="Helvetica"/>
          <w:color w:val="000000" w:themeColor="text1"/>
          <w:sz w:val="20"/>
          <w:szCs w:val="20"/>
        </w:rPr>
        <w:t>ersten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blockierte WatchGuard insgesamt mehr als </w:t>
      </w:r>
      <w:r>
        <w:rPr>
          <w:rFonts w:ascii="Helvetica" w:hAnsi="Helvetica"/>
          <w:color w:val="000000" w:themeColor="text1"/>
          <w:sz w:val="20"/>
          <w:szCs w:val="20"/>
        </w:rPr>
        <w:t>21,5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Malware-Varianten (</w:t>
      </w:r>
      <w:r>
        <w:rPr>
          <w:rFonts w:ascii="Helvetica" w:hAnsi="Helvetica"/>
          <w:color w:val="000000" w:themeColor="text1"/>
          <w:sz w:val="20"/>
          <w:szCs w:val="20"/>
        </w:rPr>
        <w:t>274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 und rund </w:t>
      </w:r>
      <w:r>
        <w:rPr>
          <w:rFonts w:ascii="Helvetica" w:hAnsi="Helvetica"/>
          <w:color w:val="000000" w:themeColor="text1"/>
          <w:sz w:val="20"/>
          <w:szCs w:val="20"/>
        </w:rPr>
        <w:t>4,7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Netzwerkbedrohungen (</w:t>
      </w:r>
      <w:r>
        <w:rPr>
          <w:rFonts w:ascii="Helvetica" w:hAnsi="Helvetica"/>
          <w:color w:val="000000" w:themeColor="text1"/>
          <w:sz w:val="20"/>
          <w:szCs w:val="20"/>
        </w:rPr>
        <w:t>60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Gerät). Der vollständige Bericht enthält neben den vielfältigen Einblicken in die Malware- und Netzwerktrends aus dem </w:t>
      </w:r>
      <w:r>
        <w:rPr>
          <w:rFonts w:ascii="Helvetica" w:hAnsi="Helvetica"/>
          <w:color w:val="000000" w:themeColor="text1"/>
          <w:sz w:val="20"/>
          <w:szCs w:val="20"/>
        </w:rPr>
        <w:t>ersten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adäquate Hinweise zu empfohlenen Sicherheitsstrategien sowie wichtige Abwehrtipps für Unternehmen aller Größen und Branchen.</w:t>
      </w:r>
    </w:p>
    <w:p w14:paraId="6EDF58B2" w14:textId="77777777" w:rsidR="007F4C9E" w:rsidRPr="00CD1DD9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9C19D2" w14:textId="47D8BCE1" w:rsidR="00CD1DD9" w:rsidRDefault="0061258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Der Internet Security Report in englischer Sprache steht online zum Download zur Verfügung: </w:t>
      </w:r>
      <w:hyperlink r:id="rId7" w:history="1">
        <w:r w:rsidR="008B2BD7" w:rsidRPr="00921B3A">
          <w:rPr>
            <w:rStyle w:val="Hyperlink"/>
            <w:rFonts w:ascii="Helvetica" w:hAnsi="Helvetica"/>
            <w:sz w:val="20"/>
            <w:szCs w:val="20"/>
          </w:rPr>
          <w:t>https://www.watchguard.com/de/wgrd-resource-ce</w:t>
        </w:r>
        <w:r w:rsidR="008B2BD7" w:rsidRPr="00921B3A">
          <w:rPr>
            <w:rStyle w:val="Hyperlink"/>
            <w:rFonts w:ascii="Helvetica" w:hAnsi="Helvetica"/>
            <w:sz w:val="20"/>
            <w:szCs w:val="20"/>
          </w:rPr>
          <w:t>n</w:t>
        </w:r>
        <w:r w:rsidR="008B2BD7" w:rsidRPr="00921B3A">
          <w:rPr>
            <w:rStyle w:val="Hyperlink"/>
            <w:rFonts w:ascii="Helvetica" w:hAnsi="Helvetica"/>
            <w:sz w:val="20"/>
            <w:szCs w:val="20"/>
          </w:rPr>
          <w:t>ter/security-report-q1-2022</w:t>
        </w:r>
      </w:hyperlink>
    </w:p>
    <w:p w14:paraId="07975BBE" w14:textId="77777777" w:rsidR="00CD1DD9" w:rsidRPr="00CD1DD9" w:rsidRDefault="00CD1DD9" w:rsidP="00CB75B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9D5F752" w14:textId="77777777" w:rsidR="008B2BD7" w:rsidRPr="000E3C60" w:rsidRDefault="008B2BD7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8B2BD7" w:rsidRPr="000E3C60" w14:paraId="6A1579CF" w14:textId="77777777" w:rsidTr="003648EF">
        <w:trPr>
          <w:trHeight w:val="1985"/>
        </w:trPr>
        <w:tc>
          <w:tcPr>
            <w:tcW w:w="3686" w:type="dxa"/>
          </w:tcPr>
          <w:p w14:paraId="307DD3FD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663A6A86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7DE752A8" wp14:editId="2E5ADFDB">
                  <wp:extent cx="837505" cy="1045028"/>
                  <wp:effectExtent l="0" t="0" r="1270" b="0"/>
                  <wp:docPr id="2" name="Grafik 2" descr="Ein Bild, das Person, Mann, Wand, drinn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Person, Mann, Wand, drinnen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BD7" w:rsidRPr="00ED5B9F" w14:paraId="6B1260BD" w14:textId="77777777" w:rsidTr="003648EF">
        <w:trPr>
          <w:trHeight w:val="544"/>
        </w:trPr>
        <w:tc>
          <w:tcPr>
            <w:tcW w:w="3686" w:type="dxa"/>
          </w:tcPr>
          <w:p w14:paraId="54EEDFF3" w14:textId="77777777" w:rsidR="008B2BD7" w:rsidRPr="000E3C60" w:rsidRDefault="008B2BD7" w:rsidP="003648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B162F57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D230009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2C5348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27D2864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8335C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2B30F01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A535F92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B864573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91067E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B2DD7A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</w:t>
        </w:r>
        <w:r w:rsidRPr="000E3C60">
          <w:rPr>
            <w:rStyle w:val="Hyperlink"/>
            <w:rFonts w:ascii="Helvetica" w:hAnsi="Helvetica"/>
            <w:sz w:val="20"/>
            <w:szCs w:val="20"/>
          </w:rPr>
          <w:t>e</w:t>
        </w:r>
        <w:r w:rsidRPr="000E3C60">
          <w:rPr>
            <w:rStyle w:val="Hyperlink"/>
            <w:rFonts w:ascii="Helvetica" w:hAnsi="Helvetica"/>
            <w:sz w:val="20"/>
            <w:szCs w:val="20"/>
          </w:rPr>
          <w:t>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6A231C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6A231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1E54B8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6AE1930E" w:rsidR="00DD1C5C" w:rsidRPr="001E54B8" w:rsidRDefault="00DD1C5C" w:rsidP="0020146E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</w:t>
      </w:r>
      <w:r w:rsidR="0020146E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17.000 Security-Reseller und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250.000 Kunden weltweit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 xml:space="preserve">vertrauen auf die ausgeklügelten Schutzmechanismen auf Enterprise-Niveau, wobei dank der einfachen Handhabung neben kleinen und mittelständischen Unternehmen nicht zuletzt auch große, dezentral aufgestellte Organisationen </w:t>
      </w:r>
      <w:r w:rsidR="00E755FD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1E54B8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0A1F6EC8" w14:textId="3814CF05" w:rsidR="00D37950" w:rsidRPr="006A231C" w:rsidRDefault="00DD1C5C" w:rsidP="003A4227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1E54B8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1E54B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 w:rsidRPr="001E54B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1E54B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="0020146E" w:rsidRPr="001E54B8">
        <w:rPr>
          <w:color w:val="000000" w:themeColor="text1"/>
        </w:rPr>
        <w:t xml:space="preserve">. </w:t>
      </w:r>
      <w:r w:rsidR="00A727E7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3" w:history="1">
        <w:r w:rsidR="00A727E7" w:rsidRPr="001E54B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727E7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</w:t>
      </w:r>
      <w:r w:rsidR="0020146E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Trendthemen </w:t>
      </w:r>
      <w:r w:rsidR="00475CC5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im Umfeld von </w:t>
      </w:r>
      <w:r w:rsidR="0020146E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IT-Sicherheit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A727E7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Reinschauen lohnt sich.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Sie abonnieren den „443 – Security </w:t>
      </w:r>
      <w:proofErr w:type="spellStart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1E54B8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 w:rsidRPr="001E54B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1E54B8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sectPr w:rsidR="00D37950" w:rsidRPr="006A231C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69D0A" w14:textId="77777777" w:rsidR="00B679EA" w:rsidRDefault="00B679EA">
      <w:r>
        <w:separator/>
      </w:r>
    </w:p>
  </w:endnote>
  <w:endnote w:type="continuationSeparator" w:id="0">
    <w:p w14:paraId="243CFCBF" w14:textId="77777777" w:rsidR="00B679EA" w:rsidRDefault="00B67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A46C1" w14:textId="77777777" w:rsidR="00B679EA" w:rsidRDefault="00B679EA">
      <w:r>
        <w:separator/>
      </w:r>
    </w:p>
  </w:footnote>
  <w:footnote w:type="continuationSeparator" w:id="0">
    <w:p w14:paraId="581AED90" w14:textId="77777777" w:rsidR="00B679EA" w:rsidRDefault="00B67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5"/>
  </w:num>
  <w:num w:numId="2" w16cid:durableId="615328846">
    <w:abstractNumId w:val="0"/>
  </w:num>
  <w:num w:numId="3" w16cid:durableId="1226256254">
    <w:abstractNumId w:val="4"/>
  </w:num>
  <w:num w:numId="4" w16cid:durableId="2047245737">
    <w:abstractNumId w:val="3"/>
  </w:num>
  <w:num w:numId="5" w16cid:durableId="1562714478">
    <w:abstractNumId w:val="1"/>
  </w:num>
  <w:num w:numId="6" w16cid:durableId="138775355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1BF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D7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3DA1"/>
    <w:rsid w:val="003244BF"/>
    <w:rsid w:val="00325DD5"/>
    <w:rsid w:val="00326A17"/>
    <w:rsid w:val="00327158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DA3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21B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325"/>
    <w:rsid w:val="004214F6"/>
    <w:rsid w:val="004233C4"/>
    <w:rsid w:val="0042399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17B2B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975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57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C7E17"/>
    <w:rsid w:val="007D151E"/>
    <w:rsid w:val="007D1D7D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4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7BD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6E8"/>
    <w:rsid w:val="00920B7F"/>
    <w:rsid w:val="0092126F"/>
    <w:rsid w:val="00921392"/>
    <w:rsid w:val="009214F9"/>
    <w:rsid w:val="00921B3A"/>
    <w:rsid w:val="00922D9E"/>
    <w:rsid w:val="00924670"/>
    <w:rsid w:val="0092588D"/>
    <w:rsid w:val="00925EB2"/>
    <w:rsid w:val="009265F0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680"/>
    <w:rsid w:val="00945FEC"/>
    <w:rsid w:val="00946CEF"/>
    <w:rsid w:val="00946D27"/>
    <w:rsid w:val="00946D7D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8A3"/>
    <w:rsid w:val="00956C53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EC0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5572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61B"/>
    <w:rsid w:val="009D6ADA"/>
    <w:rsid w:val="009D6E4B"/>
    <w:rsid w:val="009D70CA"/>
    <w:rsid w:val="009D7378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F0B"/>
    <w:rsid w:val="00B03BD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913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5D6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198"/>
    <w:rsid w:val="00C30A1C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4249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6E65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D030A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5EB6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815"/>
    <w:rsid w:val="00EE5A9C"/>
    <w:rsid w:val="00EE5F75"/>
    <w:rsid w:val="00EE7578"/>
    <w:rsid w:val="00EF00E1"/>
    <w:rsid w:val="00EF186A"/>
    <w:rsid w:val="00EF1CDF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13D"/>
    <w:rsid w:val="00F376B1"/>
    <w:rsid w:val="00F37C28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805"/>
    <w:rsid w:val="00F71F03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40F"/>
    <w:rsid w:val="00FD6E65"/>
    <w:rsid w:val="00FD73FA"/>
    <w:rsid w:val="00FD7585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watchguard.com/de/wgrd-news/blo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1-2022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1176</Words>
  <Characters>8209</Characters>
  <Application>Microsoft Office Word</Application>
  <DocSecurity>0</DocSecurity>
  <Lines>161</Lines>
  <Paragraphs>36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9376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_x000d_</dc:description>
  <cp:lastModifiedBy>Thomas Seibold</cp:lastModifiedBy>
  <cp:revision>35</cp:revision>
  <cp:lastPrinted>2022-06-27T11:30:00Z</cp:lastPrinted>
  <dcterms:created xsi:type="dcterms:W3CDTF">2022-06-27T12:27:00Z</dcterms:created>
  <dcterms:modified xsi:type="dcterms:W3CDTF">2022-06-29T13:56:00Z</dcterms:modified>
  <cp:category/>
</cp:coreProperties>
</file>