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860222E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2E1C7E">
        <w:rPr>
          <w:rFonts w:ascii="Helvetica" w:hAnsi="Helvetica"/>
          <w:sz w:val="20"/>
          <w:szCs w:val="20"/>
        </w:rPr>
        <w:t xml:space="preserve"> 1</w:t>
      </w:r>
      <w:r w:rsidR="0059361E">
        <w:rPr>
          <w:rFonts w:ascii="Helvetica" w:hAnsi="Helvetica"/>
          <w:sz w:val="20"/>
          <w:szCs w:val="20"/>
        </w:rPr>
        <w:t>2</w:t>
      </w:r>
      <w:r w:rsidR="002E1C7E">
        <w:rPr>
          <w:rFonts w:ascii="Helvetica" w:hAnsi="Helvetica"/>
          <w:sz w:val="20"/>
          <w:szCs w:val="20"/>
        </w:rPr>
        <w:t xml:space="preserve">. </w:t>
      </w:r>
      <w:r w:rsidR="005B66A4">
        <w:rPr>
          <w:rFonts w:ascii="Helvetica" w:hAnsi="Helvetica"/>
          <w:sz w:val="20"/>
          <w:szCs w:val="20"/>
        </w:rPr>
        <w:t xml:space="preserve">März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B6D2288" w14:textId="5A2F37D3" w:rsidR="00824EE0" w:rsidRDefault="00030F4A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Push für hybride SASE-Implementierung: WatchGuard stellt neue Lösung „</w:t>
      </w:r>
      <w:proofErr w:type="spellStart"/>
      <w:r>
        <w:rPr>
          <w:rFonts w:eastAsia="Times New Roman"/>
          <w:bCs/>
          <w:sz w:val="24"/>
          <w:szCs w:val="24"/>
          <w:lang w:eastAsia="de-DE"/>
        </w:rPr>
        <w:t>FireCloud</w:t>
      </w:r>
      <w:proofErr w:type="spellEnd"/>
      <w:r>
        <w:rPr>
          <w:rFonts w:eastAsia="Times New Roman"/>
          <w:bCs/>
          <w:sz w:val="24"/>
          <w:szCs w:val="24"/>
          <w:lang w:eastAsia="de-DE"/>
        </w:rPr>
        <w:t xml:space="preserve"> Internet Access“ vor</w:t>
      </w:r>
    </w:p>
    <w:p w14:paraId="6C5CEE52" w14:textId="18427E29" w:rsidR="00030F4A" w:rsidRPr="00824EE0" w:rsidRDefault="00030F4A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E</w:t>
      </w:r>
      <w:r w:rsidRPr="00030F4A">
        <w:rPr>
          <w:rFonts w:eastAsia="Times New Roman"/>
          <w:b w:val="0"/>
          <w:sz w:val="20"/>
          <w:szCs w:val="20"/>
          <w:lang w:eastAsia="de-DE"/>
        </w:rPr>
        <w:t>rste</w:t>
      </w:r>
      <w:r>
        <w:rPr>
          <w:rFonts w:eastAsia="Times New Roman"/>
          <w:b w:val="0"/>
          <w:sz w:val="20"/>
          <w:szCs w:val="20"/>
          <w:lang w:eastAsia="de-DE"/>
        </w:rPr>
        <w:t>s</w:t>
      </w:r>
      <w:r w:rsidRPr="00030F4A">
        <w:rPr>
          <w:rFonts w:eastAsia="Times New Roman"/>
          <w:b w:val="0"/>
          <w:sz w:val="20"/>
          <w:szCs w:val="20"/>
          <w:lang w:eastAsia="de-DE"/>
        </w:rPr>
        <w:t xml:space="preserve"> Produkt aus der </w:t>
      </w:r>
      <w:proofErr w:type="spellStart"/>
      <w:r w:rsidRPr="00030F4A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030F4A">
        <w:rPr>
          <w:rFonts w:eastAsia="Times New Roman"/>
          <w:b w:val="0"/>
          <w:sz w:val="20"/>
          <w:szCs w:val="20"/>
          <w:lang w:eastAsia="de-DE"/>
        </w:rPr>
        <w:t>-Suite im SASE-Portfolio von WatchGuard</w:t>
      </w:r>
      <w:r>
        <w:rPr>
          <w:rFonts w:eastAsia="Times New Roman"/>
          <w:b w:val="0"/>
          <w:sz w:val="20"/>
          <w:szCs w:val="20"/>
          <w:lang w:eastAsia="de-DE"/>
        </w:rPr>
        <w:t xml:space="preserve"> verfügbar</w:t>
      </w:r>
    </w:p>
    <w:p w14:paraId="79C58368" w14:textId="77777777" w:rsidR="00DF352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2AD945B3" w14:textId="627AB129" w:rsidR="00B1738A" w:rsidRDefault="00B1738A" w:rsidP="00B1738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Mit „</w:t>
      </w:r>
      <w:proofErr w:type="spellStart"/>
      <w:r w:rsidR="002E1C7E">
        <w:rPr>
          <w:rFonts w:ascii="Helvetica" w:hAnsi="Helvetica"/>
          <w:b/>
          <w:bCs/>
          <w:sz w:val="20"/>
          <w:szCs w:val="20"/>
        </w:rPr>
        <w:fldChar w:fldCharType="begin"/>
      </w:r>
      <w:r w:rsidR="002E1C7E">
        <w:rPr>
          <w:rFonts w:ascii="Helvetica" w:hAnsi="Helvetica"/>
          <w:b/>
          <w:bCs/>
          <w:sz w:val="20"/>
          <w:szCs w:val="20"/>
        </w:rPr>
        <w:instrText>HYPERLINK "https://www.watchguard.com/de/wgrd-products/sase/firecloud-internet-access"</w:instrText>
      </w:r>
      <w:r w:rsidR="002E1C7E">
        <w:rPr>
          <w:rFonts w:ascii="Helvetica" w:hAnsi="Helvetica"/>
          <w:b/>
          <w:bCs/>
          <w:sz w:val="20"/>
          <w:szCs w:val="20"/>
        </w:rPr>
      </w:r>
      <w:r w:rsidR="002E1C7E">
        <w:rPr>
          <w:rFonts w:ascii="Helvetica" w:hAnsi="Helvetica"/>
          <w:b/>
          <w:bCs/>
          <w:sz w:val="20"/>
          <w:szCs w:val="20"/>
        </w:rPr>
        <w:fldChar w:fldCharType="separate"/>
      </w:r>
      <w:r w:rsidRPr="002E1C7E">
        <w:rPr>
          <w:rStyle w:val="Hyperlink"/>
          <w:rFonts w:ascii="Helvetica" w:hAnsi="Helvetica"/>
          <w:b/>
          <w:bCs/>
          <w:sz w:val="20"/>
          <w:szCs w:val="20"/>
        </w:rPr>
        <w:t>FireCloud</w:t>
      </w:r>
      <w:proofErr w:type="spellEnd"/>
      <w:r w:rsidRPr="002E1C7E">
        <w:rPr>
          <w:rStyle w:val="Hyperlink"/>
          <w:rFonts w:ascii="Helvetica" w:hAnsi="Helvetica"/>
          <w:b/>
          <w:bCs/>
          <w:sz w:val="20"/>
          <w:szCs w:val="20"/>
        </w:rPr>
        <w:t xml:space="preserve"> Internet Access</w:t>
      </w:r>
      <w:r w:rsidR="002E1C7E">
        <w:rPr>
          <w:rFonts w:ascii="Helvetica" w:hAnsi="Helvetica"/>
          <w:b/>
          <w:bCs/>
          <w:sz w:val="20"/>
          <w:szCs w:val="20"/>
        </w:rPr>
        <w:fldChar w:fldCharType="end"/>
      </w:r>
      <w:r>
        <w:rPr>
          <w:rFonts w:ascii="Helvetica" w:hAnsi="Helvetica"/>
          <w:b/>
          <w:bCs/>
          <w:sz w:val="20"/>
          <w:szCs w:val="20"/>
        </w:rPr>
        <w:t xml:space="preserve">“ präsentiert WatchGuard Technologies das </w:t>
      </w:r>
      <w:r w:rsidRPr="00B1738A">
        <w:rPr>
          <w:rFonts w:ascii="Helvetica" w:hAnsi="Helvetica"/>
          <w:b/>
          <w:bCs/>
          <w:sz w:val="20"/>
          <w:szCs w:val="20"/>
        </w:rPr>
        <w:t>erste Produkt einer neuen Familie von hybriden Secure Access Service Edge (SASE)-</w:t>
      </w:r>
      <w:r>
        <w:rPr>
          <w:rFonts w:ascii="Helvetica" w:hAnsi="Helvetica"/>
          <w:b/>
          <w:bCs/>
          <w:sz w:val="20"/>
          <w:szCs w:val="20"/>
        </w:rPr>
        <w:t>Lösungen</w:t>
      </w:r>
      <w:r w:rsidRPr="00B1738A">
        <w:rPr>
          <w:rFonts w:ascii="Helvetica" w:hAnsi="Helvetica"/>
          <w:b/>
          <w:bCs/>
          <w:sz w:val="20"/>
          <w:szCs w:val="20"/>
        </w:rPr>
        <w:t xml:space="preserve">. </w:t>
      </w:r>
      <w:r w:rsidR="002D189D">
        <w:rPr>
          <w:rFonts w:ascii="Helvetica" w:hAnsi="Helvetica"/>
          <w:b/>
          <w:bCs/>
          <w:sz w:val="20"/>
          <w:szCs w:val="20"/>
        </w:rPr>
        <w:t xml:space="preserve">Adressiert werden damit gezielt </w:t>
      </w:r>
      <w:r w:rsidRPr="00B1738A">
        <w:rPr>
          <w:rFonts w:ascii="Helvetica" w:hAnsi="Helvetica"/>
          <w:b/>
          <w:bCs/>
          <w:sz w:val="20"/>
          <w:szCs w:val="20"/>
        </w:rPr>
        <w:t xml:space="preserve">die Anforderungen </w:t>
      </w:r>
      <w:r w:rsidR="00517958">
        <w:rPr>
          <w:rFonts w:ascii="Helvetica" w:hAnsi="Helvetica"/>
          <w:b/>
          <w:bCs/>
          <w:sz w:val="20"/>
          <w:szCs w:val="20"/>
        </w:rPr>
        <w:t xml:space="preserve">von </w:t>
      </w:r>
      <w:r w:rsidR="00E2129C">
        <w:rPr>
          <w:rFonts w:ascii="Helvetica" w:hAnsi="Helvetica"/>
          <w:b/>
          <w:bCs/>
          <w:sz w:val="20"/>
          <w:szCs w:val="20"/>
        </w:rPr>
        <w:t>Unternehmen</w:t>
      </w:r>
      <w:r w:rsidRPr="00B1738A">
        <w:rPr>
          <w:rFonts w:ascii="Helvetica" w:hAnsi="Helvetica"/>
          <w:b/>
          <w:bCs/>
          <w:sz w:val="20"/>
          <w:szCs w:val="20"/>
        </w:rPr>
        <w:t xml:space="preserve"> und WatchGuard-Partnern</w:t>
      </w:r>
      <w:r w:rsidR="00517958">
        <w:rPr>
          <w:rFonts w:ascii="Helvetica" w:hAnsi="Helvetica"/>
          <w:b/>
          <w:bCs/>
          <w:sz w:val="20"/>
          <w:szCs w:val="20"/>
        </w:rPr>
        <w:t xml:space="preserve"> mit hybriden IT-Strukturen</w:t>
      </w:r>
      <w:r w:rsidR="00EE2A97">
        <w:rPr>
          <w:rFonts w:ascii="Helvetica" w:hAnsi="Helvetica"/>
          <w:b/>
          <w:bCs/>
          <w:sz w:val="20"/>
          <w:szCs w:val="20"/>
        </w:rPr>
        <w:t xml:space="preserve">. </w:t>
      </w:r>
      <w:r w:rsidR="008F713F">
        <w:rPr>
          <w:rFonts w:ascii="Helvetica" w:hAnsi="Helvetica"/>
          <w:b/>
          <w:bCs/>
          <w:sz w:val="20"/>
          <w:szCs w:val="20"/>
        </w:rPr>
        <w:t xml:space="preserve">Dank </w:t>
      </w:r>
      <w:proofErr w:type="spellStart"/>
      <w:r w:rsidR="00EE2A97">
        <w:rPr>
          <w:rFonts w:ascii="Helvetica" w:hAnsi="Helvetica"/>
          <w:b/>
          <w:bCs/>
          <w:sz w:val="20"/>
          <w:szCs w:val="20"/>
        </w:rPr>
        <w:t>FireCloud</w:t>
      </w:r>
      <w:proofErr w:type="spellEnd"/>
      <w:r w:rsidR="008F713F">
        <w:rPr>
          <w:rFonts w:ascii="Helvetica" w:hAnsi="Helvetica"/>
          <w:b/>
          <w:bCs/>
          <w:sz w:val="20"/>
          <w:szCs w:val="20"/>
        </w:rPr>
        <w:t xml:space="preserve"> lässt sich für </w:t>
      </w:r>
      <w:r w:rsidR="008763B9">
        <w:rPr>
          <w:rFonts w:ascii="Helvetica" w:hAnsi="Helvetica"/>
          <w:b/>
          <w:bCs/>
          <w:sz w:val="20"/>
          <w:szCs w:val="20"/>
        </w:rPr>
        <w:t xml:space="preserve">die gesamte IT-Sphäre </w:t>
      </w:r>
      <w:r w:rsidR="008F713F">
        <w:rPr>
          <w:rFonts w:ascii="Helvetica" w:hAnsi="Helvetica"/>
          <w:b/>
          <w:bCs/>
          <w:sz w:val="20"/>
          <w:szCs w:val="20"/>
        </w:rPr>
        <w:t>ein konsistenter Schutz herstellen und selbst jenseits des klassischen Perimeters eine Absicherung mit nahezu identischer Konfiguration –</w:t>
      </w:r>
      <w:r w:rsidR="008763B9">
        <w:rPr>
          <w:rFonts w:ascii="Helvetica" w:hAnsi="Helvetica"/>
          <w:b/>
          <w:bCs/>
          <w:sz w:val="20"/>
          <w:szCs w:val="20"/>
        </w:rPr>
        <w:t xml:space="preserve"> </w:t>
      </w:r>
      <w:r w:rsidR="008F713F">
        <w:rPr>
          <w:rFonts w:ascii="Helvetica" w:hAnsi="Helvetica"/>
          <w:b/>
          <w:bCs/>
          <w:sz w:val="20"/>
          <w:szCs w:val="20"/>
        </w:rPr>
        <w:t xml:space="preserve">und ohne zusätzlichen Aufwand – gewährleisten. </w:t>
      </w:r>
      <w:r w:rsidR="00664EEE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019722E5" w14:textId="77777777" w:rsidR="009E6D80" w:rsidRDefault="009E6D80" w:rsidP="00B1738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296AB9B" w14:textId="7E26A022" w:rsidR="00B1738A" w:rsidRPr="00DB3C2B" w:rsidRDefault="009E6D80" w:rsidP="00B1738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B3C2B">
        <w:rPr>
          <w:rFonts w:ascii="Helvetica" w:hAnsi="Helvetica"/>
          <w:sz w:val="20"/>
          <w:szCs w:val="20"/>
        </w:rPr>
        <w:t>Hybride IT-Security-Umgebungen, in denen es neben traditionellen On-</w:t>
      </w:r>
      <w:proofErr w:type="spellStart"/>
      <w:r w:rsidRPr="00DB3C2B">
        <w:rPr>
          <w:rFonts w:ascii="Helvetica" w:hAnsi="Helvetica"/>
          <w:sz w:val="20"/>
          <w:szCs w:val="20"/>
        </w:rPr>
        <w:t>premises</w:t>
      </w:r>
      <w:proofErr w:type="spellEnd"/>
      <w:r w:rsidRPr="00DB3C2B">
        <w:rPr>
          <w:rFonts w:ascii="Helvetica" w:hAnsi="Helvetica"/>
          <w:sz w:val="20"/>
          <w:szCs w:val="20"/>
        </w:rPr>
        <w:t xml:space="preserve">-Firewalls </w:t>
      </w:r>
      <w:r w:rsidR="002E2F15">
        <w:rPr>
          <w:rFonts w:ascii="Helvetica" w:hAnsi="Helvetica"/>
          <w:sz w:val="20"/>
          <w:szCs w:val="20"/>
        </w:rPr>
        <w:t>zunehmend</w:t>
      </w:r>
      <w:r w:rsidR="00DB3C2B" w:rsidRPr="00DB3C2B">
        <w:rPr>
          <w:rFonts w:ascii="Helvetica" w:hAnsi="Helvetica"/>
          <w:sz w:val="20"/>
          <w:szCs w:val="20"/>
        </w:rPr>
        <w:t xml:space="preserve"> auf den Einsatz von </w:t>
      </w:r>
      <w:r w:rsidR="00B1738A" w:rsidRPr="00DB3C2B">
        <w:rPr>
          <w:rFonts w:ascii="Helvetica" w:hAnsi="Helvetica"/>
          <w:sz w:val="20"/>
          <w:szCs w:val="20"/>
        </w:rPr>
        <w:t>Cloud</w:t>
      </w:r>
      <w:r w:rsidR="008763B9">
        <w:rPr>
          <w:rFonts w:ascii="Helvetica" w:hAnsi="Helvetica"/>
          <w:sz w:val="20"/>
          <w:szCs w:val="20"/>
        </w:rPr>
        <w:t>-</w:t>
      </w:r>
      <w:r w:rsidR="00DB3C2B" w:rsidRPr="00DB3C2B">
        <w:rPr>
          <w:rFonts w:ascii="Helvetica" w:hAnsi="Helvetica"/>
          <w:sz w:val="20"/>
          <w:szCs w:val="20"/>
        </w:rPr>
        <w:t xml:space="preserve"> bzw. </w:t>
      </w:r>
      <w:r w:rsidR="00B1738A" w:rsidRPr="00DB3C2B">
        <w:rPr>
          <w:rFonts w:ascii="Helvetica" w:hAnsi="Helvetica"/>
          <w:sz w:val="20"/>
          <w:szCs w:val="20"/>
        </w:rPr>
        <w:t>Firewall-</w:t>
      </w:r>
      <w:proofErr w:type="spellStart"/>
      <w:r w:rsidR="00B1738A" w:rsidRPr="00DB3C2B">
        <w:rPr>
          <w:rFonts w:ascii="Helvetica" w:hAnsi="Helvetica"/>
          <w:sz w:val="20"/>
          <w:szCs w:val="20"/>
        </w:rPr>
        <w:t>as</w:t>
      </w:r>
      <w:proofErr w:type="spellEnd"/>
      <w:r w:rsidR="00B1738A" w:rsidRPr="00DB3C2B">
        <w:rPr>
          <w:rFonts w:ascii="Helvetica" w:hAnsi="Helvetica"/>
          <w:sz w:val="20"/>
          <w:szCs w:val="20"/>
        </w:rPr>
        <w:t>-a-Service</w:t>
      </w:r>
      <w:r w:rsidR="00DB3C2B" w:rsidRPr="00DB3C2B">
        <w:rPr>
          <w:rFonts w:ascii="Helvetica" w:hAnsi="Helvetica"/>
          <w:sz w:val="20"/>
          <w:szCs w:val="20"/>
        </w:rPr>
        <w:t>-</w:t>
      </w:r>
      <w:r w:rsidR="00F00995">
        <w:rPr>
          <w:rFonts w:ascii="Helvetica" w:hAnsi="Helvetica"/>
          <w:sz w:val="20"/>
          <w:szCs w:val="20"/>
        </w:rPr>
        <w:t>Produkten</w:t>
      </w:r>
      <w:r w:rsidR="00E71D33">
        <w:rPr>
          <w:rFonts w:ascii="Helvetica" w:hAnsi="Helvetica"/>
          <w:sz w:val="20"/>
          <w:szCs w:val="20"/>
        </w:rPr>
        <w:t xml:space="preserve"> </w:t>
      </w:r>
      <w:r w:rsidR="00DB3C2B" w:rsidRPr="00DB3C2B">
        <w:rPr>
          <w:rFonts w:ascii="Helvetica" w:hAnsi="Helvetica"/>
          <w:sz w:val="20"/>
          <w:szCs w:val="20"/>
        </w:rPr>
        <w:t>ankommt,</w:t>
      </w:r>
      <w:r w:rsidR="00DB3C2B">
        <w:rPr>
          <w:rFonts w:ascii="Helvetica" w:hAnsi="Helvetica"/>
          <w:b/>
          <w:bCs/>
          <w:sz w:val="20"/>
          <w:szCs w:val="20"/>
        </w:rPr>
        <w:t xml:space="preserve"> </w:t>
      </w:r>
      <w:r w:rsidR="00DB3C2B">
        <w:rPr>
          <w:rFonts w:ascii="Helvetica" w:hAnsi="Helvetica"/>
          <w:sz w:val="20"/>
          <w:szCs w:val="20"/>
        </w:rPr>
        <w:t xml:space="preserve">gehören mittlerweile </w:t>
      </w:r>
      <w:r w:rsidR="000E7278">
        <w:rPr>
          <w:rFonts w:ascii="Helvetica" w:hAnsi="Helvetica"/>
          <w:sz w:val="20"/>
          <w:szCs w:val="20"/>
        </w:rPr>
        <w:t>zur</w:t>
      </w:r>
      <w:r w:rsidR="00DB3C2B">
        <w:rPr>
          <w:rFonts w:ascii="Helvetica" w:hAnsi="Helvetica"/>
          <w:sz w:val="20"/>
          <w:szCs w:val="20"/>
        </w:rPr>
        <w:t xml:space="preserve"> Lebenswelt zahlreicher Unternehmen. </w:t>
      </w:r>
      <w:r w:rsidR="00B1738A" w:rsidRPr="00DB3C2B">
        <w:rPr>
          <w:rFonts w:ascii="Helvetica" w:hAnsi="Helvetica"/>
          <w:sz w:val="20"/>
          <w:szCs w:val="20"/>
        </w:rPr>
        <w:t xml:space="preserve">Anbieter von SASE-Lösungen übersehen </w:t>
      </w:r>
      <w:r w:rsidR="00DB3C2B">
        <w:rPr>
          <w:rFonts w:ascii="Helvetica" w:hAnsi="Helvetica"/>
          <w:sz w:val="20"/>
          <w:szCs w:val="20"/>
        </w:rPr>
        <w:t xml:space="preserve">dabei jedoch </w:t>
      </w:r>
      <w:r w:rsidR="001E3687">
        <w:rPr>
          <w:rFonts w:ascii="Helvetica" w:hAnsi="Helvetica"/>
          <w:sz w:val="20"/>
          <w:szCs w:val="20"/>
        </w:rPr>
        <w:t>nicht selten</w:t>
      </w:r>
      <w:r w:rsidR="00DB3C2B">
        <w:rPr>
          <w:rFonts w:ascii="Helvetica" w:hAnsi="Helvetica"/>
          <w:sz w:val="20"/>
          <w:szCs w:val="20"/>
        </w:rPr>
        <w:t xml:space="preserve"> </w:t>
      </w:r>
      <w:r w:rsidR="000E7278">
        <w:rPr>
          <w:rFonts w:ascii="Helvetica" w:hAnsi="Helvetica"/>
          <w:sz w:val="20"/>
          <w:szCs w:val="20"/>
        </w:rPr>
        <w:t xml:space="preserve">den Stellenwert </w:t>
      </w:r>
      <w:r w:rsidR="004E61F9">
        <w:rPr>
          <w:rFonts w:ascii="Helvetica" w:hAnsi="Helvetica"/>
          <w:sz w:val="20"/>
          <w:szCs w:val="20"/>
        </w:rPr>
        <w:t xml:space="preserve">nahtloser Prozesse im Hinblick auf die </w:t>
      </w:r>
      <w:r w:rsidR="000E7278">
        <w:rPr>
          <w:rFonts w:ascii="Helvetica" w:hAnsi="Helvetica"/>
          <w:sz w:val="20"/>
          <w:szCs w:val="20"/>
        </w:rPr>
        <w:t xml:space="preserve">eingebundenen </w:t>
      </w:r>
      <w:r w:rsidR="00DB3C2B">
        <w:rPr>
          <w:rFonts w:ascii="Helvetica" w:hAnsi="Helvetica"/>
          <w:sz w:val="20"/>
          <w:szCs w:val="20"/>
        </w:rPr>
        <w:t>On-</w:t>
      </w:r>
      <w:proofErr w:type="spellStart"/>
      <w:r w:rsidR="00DB3C2B">
        <w:rPr>
          <w:rFonts w:ascii="Helvetica" w:hAnsi="Helvetica"/>
          <w:sz w:val="20"/>
          <w:szCs w:val="20"/>
        </w:rPr>
        <w:t>premises</w:t>
      </w:r>
      <w:proofErr w:type="spellEnd"/>
      <w:r w:rsidR="00DB3C2B">
        <w:rPr>
          <w:rFonts w:ascii="Helvetica" w:hAnsi="Helvetica"/>
          <w:sz w:val="20"/>
          <w:szCs w:val="20"/>
        </w:rPr>
        <w:t>-Strukturen</w:t>
      </w:r>
      <w:r w:rsidR="004E61F9">
        <w:rPr>
          <w:rFonts w:ascii="Helvetica" w:hAnsi="Helvetica"/>
          <w:sz w:val="20"/>
          <w:szCs w:val="20"/>
        </w:rPr>
        <w:t>. Dadurch lässt</w:t>
      </w:r>
      <w:r w:rsidR="001E3687">
        <w:rPr>
          <w:rFonts w:ascii="Helvetica" w:hAnsi="Helvetica"/>
          <w:sz w:val="20"/>
          <w:szCs w:val="20"/>
        </w:rPr>
        <w:t xml:space="preserve"> </w:t>
      </w:r>
      <w:r w:rsidR="00726E70">
        <w:rPr>
          <w:rFonts w:ascii="Helvetica" w:hAnsi="Helvetica"/>
          <w:sz w:val="20"/>
          <w:szCs w:val="20"/>
        </w:rPr>
        <w:t xml:space="preserve">sich </w:t>
      </w:r>
      <w:r w:rsidR="001E3687">
        <w:rPr>
          <w:rFonts w:ascii="Helvetica" w:hAnsi="Helvetica"/>
          <w:sz w:val="20"/>
          <w:szCs w:val="20"/>
        </w:rPr>
        <w:t xml:space="preserve">der eigentliche Mehrwert einer SASE-Lösung nicht </w:t>
      </w:r>
      <w:r w:rsidR="00726E70">
        <w:rPr>
          <w:rFonts w:ascii="Helvetica" w:hAnsi="Helvetica"/>
          <w:sz w:val="20"/>
          <w:szCs w:val="20"/>
        </w:rPr>
        <w:t>vollumfänglich ausspielen.</w:t>
      </w:r>
      <w:r w:rsidR="0079128D">
        <w:rPr>
          <w:rFonts w:ascii="Helvetica" w:hAnsi="Helvetica"/>
          <w:sz w:val="20"/>
          <w:szCs w:val="20"/>
        </w:rPr>
        <w:t xml:space="preserve"> Bei mangelnder Integration </w:t>
      </w:r>
      <w:r w:rsidR="00B1738A" w:rsidRPr="00DB3C2B">
        <w:rPr>
          <w:rFonts w:ascii="Helvetica" w:hAnsi="Helvetica"/>
          <w:sz w:val="20"/>
          <w:szCs w:val="20"/>
        </w:rPr>
        <w:t>entstehen isolierte Systeme, die separat verwaltet werden</w:t>
      </w:r>
      <w:r w:rsidR="00B97554">
        <w:rPr>
          <w:rFonts w:ascii="Helvetica" w:hAnsi="Helvetica"/>
          <w:sz w:val="20"/>
          <w:szCs w:val="20"/>
        </w:rPr>
        <w:t xml:space="preserve"> mü</w:t>
      </w:r>
      <w:r w:rsidR="001651CA">
        <w:rPr>
          <w:rFonts w:ascii="Helvetica" w:hAnsi="Helvetica"/>
          <w:sz w:val="20"/>
          <w:szCs w:val="20"/>
        </w:rPr>
        <w:t>s</w:t>
      </w:r>
      <w:r w:rsidR="00B97554">
        <w:rPr>
          <w:rFonts w:ascii="Helvetica" w:hAnsi="Helvetica"/>
          <w:sz w:val="20"/>
          <w:szCs w:val="20"/>
        </w:rPr>
        <w:t>sen</w:t>
      </w:r>
      <w:r w:rsidR="00B1738A" w:rsidRPr="00DB3C2B">
        <w:rPr>
          <w:rFonts w:ascii="Helvetica" w:hAnsi="Helvetica"/>
          <w:sz w:val="20"/>
          <w:szCs w:val="20"/>
        </w:rPr>
        <w:t xml:space="preserve">, was zu unnötiger Komplexität und </w:t>
      </w:r>
      <w:r w:rsidR="001651CA">
        <w:rPr>
          <w:rFonts w:ascii="Helvetica" w:hAnsi="Helvetica"/>
          <w:sz w:val="20"/>
          <w:szCs w:val="20"/>
        </w:rPr>
        <w:t>zusätzliche</w:t>
      </w:r>
      <w:r w:rsidR="00611384">
        <w:rPr>
          <w:rFonts w:ascii="Helvetica" w:hAnsi="Helvetica"/>
          <w:sz w:val="20"/>
          <w:szCs w:val="20"/>
        </w:rPr>
        <w:t>r Belastung</w:t>
      </w:r>
      <w:r w:rsidR="00B1738A" w:rsidRPr="00DB3C2B">
        <w:rPr>
          <w:rFonts w:ascii="Helvetica" w:hAnsi="Helvetica"/>
          <w:sz w:val="20"/>
          <w:szCs w:val="20"/>
        </w:rPr>
        <w:t xml:space="preserve"> führt.</w:t>
      </w:r>
    </w:p>
    <w:p w14:paraId="49423AA4" w14:textId="77777777" w:rsidR="00B1738A" w:rsidRPr="00B1738A" w:rsidRDefault="00B1738A" w:rsidP="00B1738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28303839" w14:textId="1CF47D43" w:rsidR="00D47C10" w:rsidRDefault="00F00995" w:rsidP="00F00995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In exakt solchen Szenarios spielt das neue WatchGuard-Angebot „</w:t>
      </w:r>
      <w:proofErr w:type="spellStart"/>
      <w:r w:rsidRPr="00F00995">
        <w:rPr>
          <w:rFonts w:ascii="Helvetica" w:hAnsi="Helvetica"/>
          <w:sz w:val="20"/>
          <w:szCs w:val="20"/>
        </w:rPr>
        <w:t>FireCloud</w:t>
      </w:r>
      <w:proofErr w:type="spellEnd"/>
      <w:r w:rsidRPr="00F00995">
        <w:rPr>
          <w:rFonts w:ascii="Helvetica" w:hAnsi="Helvetica"/>
          <w:sz w:val="20"/>
          <w:szCs w:val="20"/>
        </w:rPr>
        <w:t xml:space="preserve"> Internet Access</w:t>
      </w:r>
      <w:r>
        <w:rPr>
          <w:rFonts w:ascii="Helvetica" w:hAnsi="Helvetica"/>
          <w:sz w:val="20"/>
          <w:szCs w:val="20"/>
        </w:rPr>
        <w:t xml:space="preserve">“ seine Stärken aus. </w:t>
      </w:r>
      <w:r w:rsidR="00F935B1">
        <w:rPr>
          <w:rFonts w:ascii="Helvetica" w:hAnsi="Helvetica"/>
          <w:sz w:val="20"/>
          <w:szCs w:val="20"/>
        </w:rPr>
        <w:t xml:space="preserve">Dieses ist vollständig in </w:t>
      </w:r>
      <w:r w:rsidRPr="00F00995">
        <w:rPr>
          <w:rFonts w:ascii="Helvetica" w:hAnsi="Helvetica"/>
          <w:sz w:val="20"/>
          <w:szCs w:val="20"/>
        </w:rPr>
        <w:t xml:space="preserve">WatchGuard Cloud integriert und </w:t>
      </w:r>
      <w:r w:rsidR="00F96F2E">
        <w:rPr>
          <w:rFonts w:ascii="Helvetica" w:hAnsi="Helvetica"/>
          <w:sz w:val="20"/>
          <w:szCs w:val="20"/>
        </w:rPr>
        <w:t>umfasst</w:t>
      </w:r>
      <w:r w:rsidR="004C2AD0">
        <w:rPr>
          <w:rFonts w:ascii="Helvetica" w:hAnsi="Helvetica"/>
          <w:sz w:val="20"/>
          <w:szCs w:val="20"/>
        </w:rPr>
        <w:t xml:space="preserve"> das gleiche</w:t>
      </w:r>
      <w:r w:rsidR="00D47C10">
        <w:rPr>
          <w:rFonts w:ascii="Helvetica" w:hAnsi="Helvetica"/>
          <w:sz w:val="20"/>
          <w:szCs w:val="20"/>
        </w:rPr>
        <w:t>, konsistente</w:t>
      </w:r>
      <w:r w:rsidRPr="00F00995">
        <w:rPr>
          <w:rFonts w:ascii="Helvetica" w:hAnsi="Helvetica"/>
          <w:sz w:val="20"/>
          <w:szCs w:val="20"/>
        </w:rPr>
        <w:t xml:space="preserve"> Richtlinienmanagement</w:t>
      </w:r>
      <w:r w:rsidR="001E1473">
        <w:rPr>
          <w:rFonts w:ascii="Helvetica" w:hAnsi="Helvetica"/>
          <w:sz w:val="20"/>
          <w:szCs w:val="20"/>
        </w:rPr>
        <w:t xml:space="preserve">, wie es </w:t>
      </w:r>
      <w:r w:rsidR="00EB1BCF">
        <w:rPr>
          <w:rFonts w:ascii="Helvetica" w:hAnsi="Helvetica"/>
          <w:sz w:val="20"/>
          <w:szCs w:val="20"/>
        </w:rPr>
        <w:t xml:space="preserve">Anwender </w:t>
      </w:r>
      <w:r w:rsidR="001E1473">
        <w:rPr>
          <w:rFonts w:ascii="Helvetica" w:hAnsi="Helvetica"/>
          <w:sz w:val="20"/>
          <w:szCs w:val="20"/>
        </w:rPr>
        <w:t xml:space="preserve">von </w:t>
      </w:r>
      <w:r w:rsidR="001403B2">
        <w:rPr>
          <w:rFonts w:ascii="Helvetica" w:hAnsi="Helvetica"/>
          <w:sz w:val="20"/>
          <w:szCs w:val="20"/>
        </w:rPr>
        <w:t>alle</w:t>
      </w:r>
      <w:r w:rsidR="001E1473">
        <w:rPr>
          <w:rFonts w:ascii="Helvetica" w:hAnsi="Helvetica"/>
          <w:sz w:val="20"/>
          <w:szCs w:val="20"/>
        </w:rPr>
        <w:t xml:space="preserve">n weiteren </w:t>
      </w:r>
      <w:proofErr w:type="spellStart"/>
      <w:r w:rsidRPr="00F00995">
        <w:rPr>
          <w:rFonts w:ascii="Helvetica" w:hAnsi="Helvetica"/>
          <w:sz w:val="20"/>
          <w:szCs w:val="20"/>
        </w:rPr>
        <w:t>Firebox</w:t>
      </w:r>
      <w:r w:rsidR="004E61F9">
        <w:rPr>
          <w:rFonts w:ascii="Helvetica" w:hAnsi="Helvetica"/>
          <w:sz w:val="20"/>
          <w:szCs w:val="20"/>
        </w:rPr>
        <w:t>-Appliances</w:t>
      </w:r>
      <w:proofErr w:type="spellEnd"/>
      <w:r w:rsidR="001E1473">
        <w:rPr>
          <w:rFonts w:ascii="Helvetica" w:hAnsi="Helvetica"/>
          <w:sz w:val="20"/>
          <w:szCs w:val="20"/>
        </w:rPr>
        <w:t xml:space="preserve"> </w:t>
      </w:r>
      <w:r w:rsidR="00EB1BCF">
        <w:rPr>
          <w:rFonts w:ascii="Helvetica" w:hAnsi="Helvetica"/>
          <w:sz w:val="20"/>
          <w:szCs w:val="20"/>
        </w:rPr>
        <w:t>gewohnt sind</w:t>
      </w:r>
      <w:r w:rsidRPr="00F00995">
        <w:rPr>
          <w:rFonts w:ascii="Helvetica" w:hAnsi="Helvetica"/>
          <w:sz w:val="20"/>
          <w:szCs w:val="20"/>
        </w:rPr>
        <w:t xml:space="preserve">. </w:t>
      </w:r>
      <w:r w:rsidR="00EB1BCF">
        <w:rPr>
          <w:rFonts w:ascii="Helvetica" w:hAnsi="Helvetica"/>
          <w:sz w:val="20"/>
          <w:szCs w:val="20"/>
        </w:rPr>
        <w:t xml:space="preserve">Die nahtlose Kombination von </w:t>
      </w:r>
      <w:r w:rsidRPr="00F00995">
        <w:rPr>
          <w:rFonts w:ascii="Helvetica" w:hAnsi="Helvetica"/>
          <w:sz w:val="20"/>
          <w:szCs w:val="20"/>
        </w:rPr>
        <w:t>Firewall-</w:t>
      </w:r>
      <w:proofErr w:type="spellStart"/>
      <w:r w:rsidRPr="00F00995">
        <w:rPr>
          <w:rFonts w:ascii="Helvetica" w:hAnsi="Helvetica"/>
          <w:sz w:val="20"/>
          <w:szCs w:val="20"/>
        </w:rPr>
        <w:t>as</w:t>
      </w:r>
      <w:proofErr w:type="spellEnd"/>
      <w:r w:rsidRPr="00F00995">
        <w:rPr>
          <w:rFonts w:ascii="Helvetica" w:hAnsi="Helvetica"/>
          <w:sz w:val="20"/>
          <w:szCs w:val="20"/>
        </w:rPr>
        <w:t>-a-Service (</w:t>
      </w:r>
      <w:proofErr w:type="spellStart"/>
      <w:r w:rsidRPr="00F00995">
        <w:rPr>
          <w:rFonts w:ascii="Helvetica" w:hAnsi="Helvetica"/>
          <w:sz w:val="20"/>
          <w:szCs w:val="20"/>
        </w:rPr>
        <w:t>FWaaS</w:t>
      </w:r>
      <w:proofErr w:type="spellEnd"/>
      <w:r w:rsidRPr="00F00995">
        <w:rPr>
          <w:rFonts w:ascii="Helvetica" w:hAnsi="Helvetica"/>
          <w:sz w:val="20"/>
          <w:szCs w:val="20"/>
        </w:rPr>
        <w:t xml:space="preserve">) und Secure Web Gateway (SWG) </w:t>
      </w:r>
      <w:r w:rsidR="00EB1BCF">
        <w:rPr>
          <w:rFonts w:ascii="Helvetica" w:hAnsi="Helvetica"/>
          <w:sz w:val="20"/>
          <w:szCs w:val="20"/>
        </w:rPr>
        <w:t xml:space="preserve">sorgt für </w:t>
      </w:r>
      <w:r w:rsidRPr="00F00995">
        <w:rPr>
          <w:rFonts w:ascii="Helvetica" w:hAnsi="Helvetica"/>
          <w:sz w:val="20"/>
          <w:szCs w:val="20"/>
        </w:rPr>
        <w:t xml:space="preserve">robusten Schutz ohne </w:t>
      </w:r>
      <w:r w:rsidR="00163DC9">
        <w:rPr>
          <w:rFonts w:ascii="Helvetica" w:hAnsi="Helvetica"/>
          <w:sz w:val="20"/>
          <w:szCs w:val="20"/>
        </w:rPr>
        <w:t>zusätzliche</w:t>
      </w:r>
      <w:r w:rsidR="00EB1BCF">
        <w:rPr>
          <w:rFonts w:ascii="Helvetica" w:hAnsi="Helvetica"/>
          <w:sz w:val="20"/>
          <w:szCs w:val="20"/>
        </w:rPr>
        <w:t xml:space="preserve"> </w:t>
      </w:r>
      <w:r w:rsidRPr="00F00995">
        <w:rPr>
          <w:rFonts w:ascii="Helvetica" w:hAnsi="Helvetica"/>
          <w:sz w:val="20"/>
          <w:szCs w:val="20"/>
        </w:rPr>
        <w:t xml:space="preserve">Komplexität. </w:t>
      </w:r>
      <w:r w:rsidR="00F96F2E">
        <w:rPr>
          <w:rFonts w:ascii="Helvetica" w:hAnsi="Helvetica"/>
          <w:sz w:val="20"/>
          <w:szCs w:val="20"/>
        </w:rPr>
        <w:t xml:space="preserve">Damit versetzt </w:t>
      </w:r>
      <w:r w:rsidRPr="00F00995">
        <w:rPr>
          <w:rFonts w:ascii="Helvetica" w:hAnsi="Helvetica"/>
          <w:sz w:val="20"/>
          <w:szCs w:val="20"/>
        </w:rPr>
        <w:t xml:space="preserve">WatchGuard </w:t>
      </w:r>
      <w:r w:rsidR="00FE7764">
        <w:rPr>
          <w:rFonts w:ascii="Helvetica" w:hAnsi="Helvetica"/>
          <w:sz w:val="20"/>
          <w:szCs w:val="20"/>
        </w:rPr>
        <w:t>gerade</w:t>
      </w:r>
      <w:r w:rsidRPr="00F00995">
        <w:rPr>
          <w:rFonts w:ascii="Helvetica" w:hAnsi="Helvetica"/>
          <w:sz w:val="20"/>
          <w:szCs w:val="20"/>
        </w:rPr>
        <w:t xml:space="preserve"> </w:t>
      </w:r>
      <w:proofErr w:type="spellStart"/>
      <w:r w:rsidRPr="00F00995">
        <w:rPr>
          <w:rFonts w:ascii="Helvetica" w:hAnsi="Helvetica"/>
          <w:sz w:val="20"/>
          <w:szCs w:val="20"/>
        </w:rPr>
        <w:t>Managed</w:t>
      </w:r>
      <w:proofErr w:type="spellEnd"/>
      <w:r w:rsidRPr="00F00995">
        <w:rPr>
          <w:rFonts w:ascii="Helvetica" w:hAnsi="Helvetica"/>
          <w:sz w:val="20"/>
          <w:szCs w:val="20"/>
        </w:rPr>
        <w:t xml:space="preserve"> Service Provider (MSP)</w:t>
      </w:r>
      <w:r w:rsidR="00F96F2E">
        <w:rPr>
          <w:rFonts w:ascii="Helvetica" w:hAnsi="Helvetica"/>
          <w:sz w:val="20"/>
          <w:szCs w:val="20"/>
        </w:rPr>
        <w:t xml:space="preserve"> in die Lage</w:t>
      </w:r>
      <w:r w:rsidRPr="00F00995">
        <w:rPr>
          <w:rFonts w:ascii="Helvetica" w:hAnsi="Helvetica"/>
          <w:sz w:val="20"/>
          <w:szCs w:val="20"/>
        </w:rPr>
        <w:t xml:space="preserve">, ihren Kunden eine </w:t>
      </w:r>
      <w:r w:rsidR="003D7287">
        <w:rPr>
          <w:rFonts w:ascii="Helvetica" w:hAnsi="Helvetica"/>
          <w:sz w:val="20"/>
          <w:szCs w:val="20"/>
        </w:rPr>
        <w:t>hochwertige</w:t>
      </w:r>
      <w:r w:rsidRPr="00F00995">
        <w:rPr>
          <w:rFonts w:ascii="Helvetica" w:hAnsi="Helvetica"/>
          <w:sz w:val="20"/>
          <w:szCs w:val="20"/>
        </w:rPr>
        <w:t xml:space="preserve"> SASE-Lösung </w:t>
      </w:r>
      <w:r w:rsidR="005A7830">
        <w:rPr>
          <w:rFonts w:ascii="Helvetica" w:hAnsi="Helvetica"/>
          <w:sz w:val="20"/>
          <w:szCs w:val="20"/>
        </w:rPr>
        <w:t xml:space="preserve">anzubieten, die sich an jede </w:t>
      </w:r>
      <w:r w:rsidRPr="00F00995">
        <w:rPr>
          <w:rFonts w:ascii="Helvetica" w:hAnsi="Helvetica"/>
          <w:sz w:val="20"/>
          <w:szCs w:val="20"/>
        </w:rPr>
        <w:t>Umgebung</w:t>
      </w:r>
      <w:r w:rsidR="005A7830">
        <w:rPr>
          <w:rFonts w:ascii="Helvetica" w:hAnsi="Helvetica"/>
          <w:sz w:val="20"/>
          <w:szCs w:val="20"/>
        </w:rPr>
        <w:t xml:space="preserve"> flexibel</w:t>
      </w:r>
      <w:r w:rsidRPr="00F00995">
        <w:rPr>
          <w:rFonts w:ascii="Helvetica" w:hAnsi="Helvetica"/>
          <w:sz w:val="20"/>
          <w:szCs w:val="20"/>
        </w:rPr>
        <w:t xml:space="preserve"> </w:t>
      </w:r>
      <w:r w:rsidR="00BD38A2">
        <w:rPr>
          <w:rFonts w:ascii="Helvetica" w:hAnsi="Helvetica"/>
          <w:sz w:val="20"/>
          <w:szCs w:val="20"/>
        </w:rPr>
        <w:t>an</w:t>
      </w:r>
      <w:r w:rsidRPr="00F00995">
        <w:rPr>
          <w:rFonts w:ascii="Helvetica" w:hAnsi="Helvetica"/>
          <w:sz w:val="20"/>
          <w:szCs w:val="20"/>
        </w:rPr>
        <w:t xml:space="preserve">passt. </w:t>
      </w:r>
      <w:r w:rsidR="00E27B93">
        <w:rPr>
          <w:rFonts w:ascii="Helvetica" w:hAnsi="Helvetica"/>
          <w:sz w:val="20"/>
          <w:szCs w:val="20"/>
        </w:rPr>
        <w:t>D</w:t>
      </w:r>
      <w:r w:rsidR="008D0A4B">
        <w:rPr>
          <w:rFonts w:ascii="Helvetica" w:hAnsi="Helvetica"/>
          <w:sz w:val="20"/>
          <w:szCs w:val="20"/>
        </w:rPr>
        <w:t>ie</w:t>
      </w:r>
      <w:r w:rsidRPr="00F00995">
        <w:rPr>
          <w:rFonts w:ascii="Helvetica" w:hAnsi="Helvetica"/>
          <w:sz w:val="20"/>
          <w:szCs w:val="20"/>
        </w:rPr>
        <w:t xml:space="preserve"> Lösung </w:t>
      </w:r>
      <w:r w:rsidR="00E27B93">
        <w:rPr>
          <w:rFonts w:ascii="Helvetica" w:hAnsi="Helvetica"/>
          <w:sz w:val="20"/>
          <w:szCs w:val="20"/>
        </w:rPr>
        <w:t xml:space="preserve">basiert </w:t>
      </w:r>
      <w:r w:rsidR="008D0A4B">
        <w:rPr>
          <w:rFonts w:ascii="Helvetica" w:hAnsi="Helvetica"/>
          <w:sz w:val="20"/>
          <w:szCs w:val="20"/>
        </w:rPr>
        <w:t>auf der</w:t>
      </w:r>
      <w:r w:rsidRPr="00F00995">
        <w:rPr>
          <w:rFonts w:ascii="Helvetica" w:hAnsi="Helvetica"/>
          <w:sz w:val="20"/>
          <w:szCs w:val="20"/>
        </w:rPr>
        <w:t xml:space="preserve"> WatchGuard Unified Security </w:t>
      </w:r>
      <w:proofErr w:type="spellStart"/>
      <w:r w:rsidRPr="00F00995">
        <w:rPr>
          <w:rFonts w:ascii="Helvetica" w:hAnsi="Helvetica"/>
          <w:sz w:val="20"/>
          <w:szCs w:val="20"/>
        </w:rPr>
        <w:t>Platform</w:t>
      </w:r>
      <w:proofErr w:type="spellEnd"/>
      <w:r w:rsidRPr="00F00995">
        <w:rPr>
          <w:rFonts w:ascii="Helvetica" w:hAnsi="Helvetica"/>
          <w:sz w:val="20"/>
          <w:szCs w:val="20"/>
        </w:rPr>
        <w:t xml:space="preserve">-Architektur, </w:t>
      </w:r>
      <w:r w:rsidR="00023DFF">
        <w:rPr>
          <w:rFonts w:ascii="Helvetica" w:hAnsi="Helvetica"/>
          <w:sz w:val="20"/>
          <w:szCs w:val="20"/>
        </w:rPr>
        <w:t xml:space="preserve">die die Welten von Identitäts-, Netzwerk- und Endpunktsicherheit </w:t>
      </w:r>
      <w:r w:rsidR="00E27B93">
        <w:rPr>
          <w:rFonts w:ascii="Helvetica" w:hAnsi="Helvetica"/>
          <w:sz w:val="20"/>
          <w:szCs w:val="20"/>
        </w:rPr>
        <w:t xml:space="preserve">effektiv vereint – </w:t>
      </w:r>
      <w:r w:rsidR="00D47C10">
        <w:rPr>
          <w:rFonts w:ascii="Helvetica" w:hAnsi="Helvetica"/>
          <w:sz w:val="20"/>
          <w:szCs w:val="20"/>
        </w:rPr>
        <w:t xml:space="preserve">inklusive einheitlichem Management und einem gemeinsamen </w:t>
      </w:r>
      <w:r w:rsidRPr="00F00995">
        <w:rPr>
          <w:rFonts w:ascii="Helvetica" w:hAnsi="Helvetica"/>
          <w:sz w:val="20"/>
          <w:szCs w:val="20"/>
        </w:rPr>
        <w:t>Installations-Framework für WatchGuard-Endpunkt</w:t>
      </w:r>
      <w:r w:rsidR="00B05A07">
        <w:rPr>
          <w:rFonts w:ascii="Helvetica" w:hAnsi="Helvetica"/>
          <w:sz w:val="20"/>
          <w:szCs w:val="20"/>
        </w:rPr>
        <w:t>e</w:t>
      </w:r>
      <w:r w:rsidRPr="00F00995">
        <w:rPr>
          <w:rFonts w:ascii="Helvetica" w:hAnsi="Helvetica"/>
          <w:sz w:val="20"/>
          <w:szCs w:val="20"/>
        </w:rPr>
        <w:t>.</w:t>
      </w:r>
    </w:p>
    <w:p w14:paraId="0BA8B2EB" w14:textId="77777777" w:rsidR="00D47C10" w:rsidRPr="00F00995" w:rsidRDefault="00D47C10" w:rsidP="00F00995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47E93C4" w14:textId="72E1442F" w:rsidR="00DB6AF5" w:rsidRDefault="008E04FB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8E04FB">
        <w:rPr>
          <w:rFonts w:eastAsia="Times New Roman"/>
          <w:b w:val="0"/>
          <w:sz w:val="20"/>
          <w:szCs w:val="20"/>
          <w:lang w:eastAsia="de-DE"/>
        </w:rPr>
        <w:t>„</w:t>
      </w:r>
      <w:proofErr w:type="spellStart"/>
      <w:r w:rsidRPr="008E04FB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Internet Access bietet echte Sicherheit für die realen Herausforderungen, denen sich Unternehmen heute stellen müssen. Mit </w:t>
      </w:r>
      <w:r w:rsidR="003F58CD">
        <w:rPr>
          <w:rFonts w:eastAsia="Times New Roman"/>
          <w:b w:val="0"/>
          <w:sz w:val="20"/>
          <w:szCs w:val="20"/>
          <w:lang w:eastAsia="de-DE"/>
        </w:rPr>
        <w:t>de</w:t>
      </w:r>
      <w:r w:rsidR="00FE734E">
        <w:rPr>
          <w:rFonts w:eastAsia="Times New Roman"/>
          <w:b w:val="0"/>
          <w:sz w:val="20"/>
          <w:szCs w:val="20"/>
          <w:lang w:eastAsia="de-DE"/>
        </w:rPr>
        <w:t xml:space="preserve">r Zunahme </w:t>
      </w:r>
      <w:r w:rsidR="002B6DAC">
        <w:rPr>
          <w:rFonts w:eastAsia="Times New Roman"/>
          <w:b w:val="0"/>
          <w:sz w:val="20"/>
          <w:szCs w:val="20"/>
          <w:lang w:eastAsia="de-DE"/>
        </w:rPr>
        <w:t>von</w:t>
      </w:r>
      <w:r w:rsidR="00FE734E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8E04FB">
        <w:rPr>
          <w:rFonts w:eastAsia="Times New Roman"/>
          <w:b w:val="0"/>
          <w:sz w:val="20"/>
          <w:szCs w:val="20"/>
          <w:lang w:eastAsia="de-DE"/>
        </w:rPr>
        <w:t>dezentrale</w:t>
      </w:r>
      <w:r w:rsidR="00FE734E">
        <w:rPr>
          <w:rFonts w:eastAsia="Times New Roman"/>
          <w:b w:val="0"/>
          <w:sz w:val="20"/>
          <w:szCs w:val="20"/>
          <w:lang w:eastAsia="de-DE"/>
        </w:rPr>
        <w:t>n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und verteilte</w:t>
      </w:r>
      <w:r w:rsidR="00FE734E">
        <w:rPr>
          <w:rFonts w:eastAsia="Times New Roman"/>
          <w:b w:val="0"/>
          <w:sz w:val="20"/>
          <w:szCs w:val="20"/>
          <w:lang w:eastAsia="de-DE"/>
        </w:rPr>
        <w:t>n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Arbeitsumgebungen und der Umstellung von Unternehmen auf die Cloud </w:t>
      </w:r>
      <w:r w:rsidR="002B6DAC">
        <w:rPr>
          <w:rFonts w:eastAsia="Times New Roman"/>
          <w:b w:val="0"/>
          <w:sz w:val="20"/>
          <w:szCs w:val="20"/>
          <w:lang w:eastAsia="de-DE"/>
        </w:rPr>
        <w:t>erhöht sich nicht nur die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Bandbreite der Bedrohungen</w:t>
      </w:r>
      <w:r w:rsidR="0030503D">
        <w:rPr>
          <w:rFonts w:eastAsia="Times New Roman"/>
          <w:b w:val="0"/>
          <w:sz w:val="20"/>
          <w:szCs w:val="20"/>
          <w:lang w:eastAsia="de-DE"/>
        </w:rPr>
        <w:t>.</w:t>
      </w:r>
      <w:r w:rsidR="002B6DAC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30503D">
        <w:rPr>
          <w:rFonts w:eastAsia="Times New Roman"/>
          <w:b w:val="0"/>
          <w:sz w:val="20"/>
          <w:szCs w:val="20"/>
          <w:lang w:eastAsia="de-DE"/>
        </w:rPr>
        <w:t>A</w:t>
      </w:r>
      <w:r w:rsidR="002B6DAC">
        <w:rPr>
          <w:rFonts w:eastAsia="Times New Roman"/>
          <w:b w:val="0"/>
          <w:sz w:val="20"/>
          <w:szCs w:val="20"/>
          <w:lang w:eastAsia="de-DE"/>
        </w:rPr>
        <w:t xml:space="preserve">uch die </w:t>
      </w:r>
      <w:r w:rsidR="00FE734E">
        <w:rPr>
          <w:rFonts w:eastAsia="Times New Roman"/>
          <w:b w:val="0"/>
          <w:sz w:val="20"/>
          <w:szCs w:val="20"/>
          <w:lang w:eastAsia="de-DE"/>
        </w:rPr>
        <w:t>Einsatzorte der En</w:t>
      </w:r>
      <w:r w:rsidR="002B6DAC">
        <w:rPr>
          <w:rFonts w:eastAsia="Times New Roman"/>
          <w:b w:val="0"/>
          <w:sz w:val="20"/>
          <w:szCs w:val="20"/>
          <w:lang w:eastAsia="de-DE"/>
        </w:rPr>
        <w:t>d</w:t>
      </w:r>
      <w:r w:rsidR="00FE734E">
        <w:rPr>
          <w:rFonts w:eastAsia="Times New Roman"/>
          <w:b w:val="0"/>
          <w:sz w:val="20"/>
          <w:szCs w:val="20"/>
          <w:lang w:eastAsia="de-DE"/>
        </w:rPr>
        <w:t xml:space="preserve">geräte, die es zu schützen gilt, </w:t>
      </w:r>
      <w:r w:rsidR="002B6DAC">
        <w:rPr>
          <w:rFonts w:eastAsia="Times New Roman"/>
          <w:b w:val="0"/>
          <w:sz w:val="20"/>
          <w:szCs w:val="20"/>
          <w:lang w:eastAsia="de-DE"/>
        </w:rPr>
        <w:t xml:space="preserve">sind vielfältig“, 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sagt Andrew Young, Chief </w:t>
      </w:r>
      <w:proofErr w:type="spellStart"/>
      <w:r w:rsidRPr="008E04FB">
        <w:rPr>
          <w:rFonts w:eastAsia="Times New Roman"/>
          <w:b w:val="0"/>
          <w:sz w:val="20"/>
          <w:szCs w:val="20"/>
          <w:lang w:eastAsia="de-DE"/>
        </w:rPr>
        <w:t>Product</w:t>
      </w:r>
      <w:proofErr w:type="spellEnd"/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Officer bei WatchGuard. „</w:t>
      </w:r>
      <w:r w:rsidR="007A4C27">
        <w:rPr>
          <w:rFonts w:eastAsia="Times New Roman"/>
          <w:b w:val="0"/>
          <w:sz w:val="20"/>
          <w:szCs w:val="20"/>
          <w:lang w:eastAsia="de-DE"/>
        </w:rPr>
        <w:t xml:space="preserve">Mit bestehenden 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Lösungen </w:t>
      </w:r>
      <w:r w:rsidR="007A4C27">
        <w:rPr>
          <w:rFonts w:eastAsia="Times New Roman"/>
          <w:b w:val="0"/>
          <w:sz w:val="20"/>
          <w:szCs w:val="20"/>
          <w:lang w:eastAsia="de-DE"/>
        </w:rPr>
        <w:t>ist es für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Sicherheitsteams </w:t>
      </w:r>
      <w:r w:rsidR="007A4C27">
        <w:rPr>
          <w:rFonts w:eastAsia="Times New Roman"/>
          <w:b w:val="0"/>
          <w:sz w:val="20"/>
          <w:szCs w:val="20"/>
          <w:lang w:eastAsia="de-DE"/>
        </w:rPr>
        <w:t>oftmals schwierig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, ihre Netzwerksicherheit </w:t>
      </w:r>
      <w:r w:rsidR="007A4C27">
        <w:rPr>
          <w:rFonts w:eastAsia="Times New Roman"/>
          <w:b w:val="0"/>
          <w:sz w:val="20"/>
          <w:szCs w:val="20"/>
          <w:lang w:eastAsia="de-DE"/>
        </w:rPr>
        <w:t>im Einklang mit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SASE-Implementierungen zu verwalten</w:t>
      </w:r>
      <w:r w:rsidR="007A4C27">
        <w:rPr>
          <w:rFonts w:eastAsia="Times New Roman"/>
          <w:b w:val="0"/>
          <w:sz w:val="20"/>
          <w:szCs w:val="20"/>
          <w:lang w:eastAsia="de-DE"/>
        </w:rPr>
        <w:t xml:space="preserve">. </w:t>
      </w:r>
      <w:r w:rsidR="00A80744">
        <w:rPr>
          <w:rFonts w:eastAsia="Times New Roman"/>
          <w:b w:val="0"/>
          <w:sz w:val="20"/>
          <w:szCs w:val="20"/>
          <w:lang w:eastAsia="de-DE"/>
        </w:rPr>
        <w:t xml:space="preserve">Es entstehen leicht Sicherheitslücken, von der komplexen Administration ganz </w:t>
      </w:r>
      <w:r w:rsidR="00A80744">
        <w:rPr>
          <w:rFonts w:eastAsia="Times New Roman"/>
          <w:b w:val="0"/>
          <w:sz w:val="20"/>
          <w:szCs w:val="20"/>
          <w:lang w:eastAsia="de-DE"/>
        </w:rPr>
        <w:lastRenderedPageBreak/>
        <w:t>zu schweigen</w:t>
      </w:r>
      <w:r w:rsidRPr="008E04FB">
        <w:rPr>
          <w:rFonts w:eastAsia="Times New Roman"/>
          <w:b w:val="0"/>
          <w:sz w:val="20"/>
          <w:szCs w:val="20"/>
          <w:lang w:eastAsia="de-DE"/>
        </w:rPr>
        <w:t xml:space="preserve">. Um diese Einschränkungen zu überwinden, haben wir einen neuen hybriden SASE-Ansatz entwickelt, der mit </w:t>
      </w:r>
      <w:proofErr w:type="spellStart"/>
      <w:r w:rsidRPr="008E04FB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8E04FB">
        <w:rPr>
          <w:rFonts w:eastAsia="Times New Roman"/>
          <w:b w:val="0"/>
          <w:sz w:val="20"/>
          <w:szCs w:val="20"/>
          <w:lang w:eastAsia="de-DE"/>
        </w:rPr>
        <w:t xml:space="preserve"> Internet Access beginnt.“</w:t>
      </w:r>
    </w:p>
    <w:p w14:paraId="27A48CE9" w14:textId="77777777" w:rsidR="002C3682" w:rsidRDefault="002C3682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0DB89051" w14:textId="2323BD11" w:rsidR="00B05A07" w:rsidRDefault="002C3682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2C3682">
        <w:rPr>
          <w:rFonts w:eastAsia="Times New Roman"/>
          <w:b w:val="0"/>
          <w:sz w:val="20"/>
          <w:szCs w:val="20"/>
          <w:lang w:eastAsia="de-DE"/>
        </w:rPr>
        <w:t xml:space="preserve">Der Unterschied von </w:t>
      </w:r>
      <w:proofErr w:type="spellStart"/>
      <w:r w:rsidRPr="002C3682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2C3682">
        <w:rPr>
          <w:rFonts w:eastAsia="Times New Roman"/>
          <w:b w:val="0"/>
          <w:sz w:val="20"/>
          <w:szCs w:val="20"/>
          <w:lang w:eastAsia="de-DE"/>
        </w:rPr>
        <w:t xml:space="preserve"> Internet Access: </w:t>
      </w:r>
      <w:r w:rsidR="003A385B">
        <w:rPr>
          <w:rFonts w:eastAsia="Times New Roman"/>
          <w:b w:val="0"/>
          <w:sz w:val="20"/>
          <w:szCs w:val="20"/>
          <w:lang w:eastAsia="de-DE"/>
        </w:rPr>
        <w:t xml:space="preserve">Die Lösung wurde in voller Konsequenz </w:t>
      </w:r>
      <w:r w:rsidRPr="002C3682">
        <w:rPr>
          <w:rFonts w:eastAsia="Times New Roman"/>
          <w:b w:val="0"/>
          <w:sz w:val="20"/>
          <w:szCs w:val="20"/>
          <w:lang w:eastAsia="de-DE"/>
        </w:rPr>
        <w:t>für hybride Cloud-/On-</w:t>
      </w:r>
      <w:proofErr w:type="spellStart"/>
      <w:r w:rsidR="00383746">
        <w:rPr>
          <w:rFonts w:eastAsia="Times New Roman"/>
          <w:b w:val="0"/>
          <w:sz w:val="20"/>
          <w:szCs w:val="20"/>
          <w:lang w:eastAsia="de-DE"/>
        </w:rPr>
        <w:t>p</w:t>
      </w:r>
      <w:r w:rsidRPr="002C3682">
        <w:rPr>
          <w:rFonts w:eastAsia="Times New Roman"/>
          <w:b w:val="0"/>
          <w:sz w:val="20"/>
          <w:szCs w:val="20"/>
          <w:lang w:eastAsia="de-DE"/>
        </w:rPr>
        <w:t>remises</w:t>
      </w:r>
      <w:proofErr w:type="spellEnd"/>
      <w:r w:rsidRPr="002C3682">
        <w:rPr>
          <w:rFonts w:eastAsia="Times New Roman"/>
          <w:b w:val="0"/>
          <w:sz w:val="20"/>
          <w:szCs w:val="20"/>
          <w:lang w:eastAsia="de-DE"/>
        </w:rPr>
        <w:t>-Umgebungen konzipiert</w:t>
      </w:r>
      <w:r w:rsidR="003A385B">
        <w:rPr>
          <w:rFonts w:eastAsia="Times New Roman"/>
          <w:b w:val="0"/>
          <w:sz w:val="20"/>
          <w:szCs w:val="20"/>
          <w:lang w:eastAsia="de-DE"/>
        </w:rPr>
        <w:t xml:space="preserve"> und verspricht </w:t>
      </w:r>
      <w:r w:rsidRPr="002C3682">
        <w:rPr>
          <w:rFonts w:eastAsia="Times New Roman"/>
          <w:b w:val="0"/>
          <w:sz w:val="20"/>
          <w:szCs w:val="20"/>
          <w:lang w:eastAsia="de-DE"/>
        </w:rPr>
        <w:t xml:space="preserve">eine einfache Bereitstellung, eine flexible und skalierbare Lizenzierung und Preisgestaltung sowie die Integration in die </w:t>
      </w:r>
      <w:r w:rsidR="00C504BE">
        <w:rPr>
          <w:rFonts w:eastAsia="Times New Roman"/>
          <w:b w:val="0"/>
          <w:sz w:val="20"/>
          <w:szCs w:val="20"/>
          <w:lang w:eastAsia="de-DE"/>
        </w:rPr>
        <w:t xml:space="preserve">WatchGuard-Plattform für </w:t>
      </w:r>
      <w:proofErr w:type="spellStart"/>
      <w:r w:rsidR="00C504BE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="00C504BE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="00C504BE">
        <w:rPr>
          <w:rFonts w:eastAsia="Times New Roman"/>
          <w:b w:val="0"/>
          <w:sz w:val="20"/>
          <w:szCs w:val="20"/>
          <w:lang w:eastAsia="de-DE"/>
        </w:rPr>
        <w:t>Detection</w:t>
      </w:r>
      <w:proofErr w:type="spellEnd"/>
      <w:r w:rsidR="00C504BE">
        <w:rPr>
          <w:rFonts w:eastAsia="Times New Roman"/>
          <w:b w:val="0"/>
          <w:sz w:val="20"/>
          <w:szCs w:val="20"/>
          <w:lang w:eastAsia="de-DE"/>
        </w:rPr>
        <w:t xml:space="preserve"> and Response. </w:t>
      </w:r>
      <w:r w:rsidR="00A435D6">
        <w:rPr>
          <w:rFonts w:eastAsia="Times New Roman"/>
          <w:b w:val="0"/>
          <w:sz w:val="20"/>
          <w:szCs w:val="20"/>
          <w:lang w:eastAsia="de-DE"/>
        </w:rPr>
        <w:t>Die Vorteile im Überblick:</w:t>
      </w:r>
    </w:p>
    <w:p w14:paraId="544E0B4F" w14:textId="77777777" w:rsidR="00A435D6" w:rsidRDefault="00A435D6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679F4977" w14:textId="0E9D5E4B" w:rsidR="00A435D6" w:rsidRDefault="00A435D6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A435D6">
        <w:rPr>
          <w:rFonts w:eastAsia="Times New Roman"/>
          <w:bCs/>
          <w:sz w:val="20"/>
          <w:szCs w:val="20"/>
          <w:lang w:eastAsia="de-DE"/>
        </w:rPr>
        <w:t>Konzipiert für hybride Umgebungen: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Die SASE-Architektur von WatchGuard ist eine der wenigen Lösungen, die so </w:t>
      </w:r>
      <w:r>
        <w:rPr>
          <w:rFonts w:eastAsia="Times New Roman"/>
          <w:b w:val="0"/>
          <w:sz w:val="20"/>
          <w:szCs w:val="20"/>
          <w:lang w:eastAsia="de-DE"/>
        </w:rPr>
        <w:t>entwickelt wurde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, dass sie </w:t>
      </w:r>
      <w:r w:rsidR="00163DC9">
        <w:rPr>
          <w:rFonts w:eastAsia="Times New Roman"/>
          <w:b w:val="0"/>
          <w:sz w:val="20"/>
          <w:szCs w:val="20"/>
          <w:lang w:eastAsia="de-DE"/>
        </w:rPr>
        <w:t xml:space="preserve">speziell 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in hybriden Umgebungen Nutzen </w:t>
      </w:r>
      <w:r w:rsidR="00AF2089">
        <w:rPr>
          <w:rFonts w:eastAsia="Times New Roman"/>
          <w:b w:val="0"/>
          <w:sz w:val="20"/>
          <w:szCs w:val="20"/>
          <w:lang w:eastAsia="de-DE"/>
        </w:rPr>
        <w:t xml:space="preserve">bringt </w:t>
      </w:r>
      <w:r w:rsidRPr="00A435D6">
        <w:rPr>
          <w:rFonts w:eastAsia="Times New Roman"/>
          <w:b w:val="0"/>
          <w:sz w:val="20"/>
          <w:szCs w:val="20"/>
          <w:lang w:eastAsia="de-DE"/>
        </w:rPr>
        <w:t>und Vorteile bietet. Für schlanke IT-Teams oder MSP bedeutet dieser Ansatz eine einfachere Verwaltung, einheitliche Sicherheitskontrollen und geringere Kosten als bei anderen SASE-Angeboten.</w:t>
      </w:r>
    </w:p>
    <w:p w14:paraId="62ADD464" w14:textId="77777777" w:rsidR="00A435D6" w:rsidRDefault="00A435D6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12AB6D05" w14:textId="7901F9A5" w:rsidR="00A435D6" w:rsidRDefault="00A435D6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A435D6">
        <w:rPr>
          <w:rFonts w:eastAsia="Times New Roman"/>
          <w:bCs/>
          <w:sz w:val="20"/>
          <w:szCs w:val="20"/>
          <w:lang w:eastAsia="de-DE"/>
        </w:rPr>
        <w:t>Einfache Bereitstellung</w:t>
      </w:r>
      <w:r>
        <w:rPr>
          <w:rFonts w:eastAsia="Times New Roman"/>
          <w:b w:val="0"/>
          <w:sz w:val="20"/>
          <w:szCs w:val="20"/>
          <w:lang w:eastAsia="de-DE"/>
        </w:rPr>
        <w:t xml:space="preserve">: </w:t>
      </w:r>
      <w:r w:rsidRPr="00A435D6">
        <w:rPr>
          <w:rFonts w:eastAsia="Times New Roman"/>
          <w:b w:val="0"/>
          <w:sz w:val="20"/>
          <w:szCs w:val="20"/>
          <w:lang w:eastAsia="de-DE"/>
        </w:rPr>
        <w:t>Administratoren können Sicherheitsrichtlinien über eine einzige Oberfläche konfigurieren und durchsetzen</w:t>
      </w:r>
      <w:r w:rsidR="005E6954">
        <w:rPr>
          <w:rFonts w:eastAsia="Times New Roman"/>
          <w:b w:val="0"/>
          <w:sz w:val="20"/>
          <w:szCs w:val="20"/>
          <w:lang w:eastAsia="de-DE"/>
        </w:rPr>
        <w:t>.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5E6954">
        <w:rPr>
          <w:rFonts w:eastAsia="Times New Roman"/>
          <w:b w:val="0"/>
          <w:sz w:val="20"/>
          <w:szCs w:val="20"/>
          <w:lang w:eastAsia="de-DE"/>
        </w:rPr>
        <w:t>D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ie Verwendung einheitlicher Richtlinienstrukturen und Terminologie </w:t>
      </w:r>
      <w:r w:rsidR="00EF604C">
        <w:rPr>
          <w:rFonts w:eastAsia="Times New Roman"/>
          <w:b w:val="0"/>
          <w:sz w:val="20"/>
          <w:szCs w:val="20"/>
          <w:lang w:eastAsia="de-DE"/>
        </w:rPr>
        <w:t xml:space="preserve">erleichtert </w:t>
      </w:r>
      <w:r w:rsidR="005E6954">
        <w:rPr>
          <w:rFonts w:eastAsia="Times New Roman"/>
          <w:b w:val="0"/>
          <w:sz w:val="20"/>
          <w:szCs w:val="20"/>
          <w:lang w:eastAsia="de-DE"/>
        </w:rPr>
        <w:t xml:space="preserve">die Verwaltung. 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Sicherheitseinstellungen werden automatisch </w:t>
      </w:r>
      <w:r w:rsidR="007E7C3E">
        <w:rPr>
          <w:rFonts w:eastAsia="Times New Roman"/>
          <w:b w:val="0"/>
          <w:sz w:val="20"/>
          <w:szCs w:val="20"/>
          <w:lang w:eastAsia="de-DE"/>
        </w:rPr>
        <w:t>für alle von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 WatchGuard </w:t>
      </w:r>
      <w:r w:rsidR="007E7C3E">
        <w:rPr>
          <w:rFonts w:eastAsia="Times New Roman"/>
          <w:b w:val="0"/>
          <w:sz w:val="20"/>
          <w:szCs w:val="20"/>
          <w:lang w:eastAsia="de-DE"/>
        </w:rPr>
        <w:t xml:space="preserve">weltweit 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gehosteten Points </w:t>
      </w:r>
      <w:proofErr w:type="spellStart"/>
      <w:r w:rsidRPr="00A435D6">
        <w:rPr>
          <w:rFonts w:eastAsia="Times New Roman"/>
          <w:b w:val="0"/>
          <w:sz w:val="20"/>
          <w:szCs w:val="20"/>
          <w:lang w:eastAsia="de-DE"/>
        </w:rPr>
        <w:t>of</w:t>
      </w:r>
      <w:proofErr w:type="spellEnd"/>
      <w:r w:rsidRPr="00A435D6">
        <w:rPr>
          <w:rFonts w:eastAsia="Times New Roman"/>
          <w:b w:val="0"/>
          <w:sz w:val="20"/>
          <w:szCs w:val="20"/>
          <w:lang w:eastAsia="de-DE"/>
        </w:rPr>
        <w:t xml:space="preserve"> Presence (</w:t>
      </w:r>
      <w:proofErr w:type="spellStart"/>
      <w:r w:rsidRPr="00A435D6">
        <w:rPr>
          <w:rFonts w:eastAsia="Times New Roman"/>
          <w:b w:val="0"/>
          <w:sz w:val="20"/>
          <w:szCs w:val="20"/>
          <w:lang w:eastAsia="de-DE"/>
        </w:rPr>
        <w:t>PoP</w:t>
      </w:r>
      <w:proofErr w:type="spellEnd"/>
      <w:r w:rsidRPr="00A435D6">
        <w:rPr>
          <w:rFonts w:eastAsia="Times New Roman"/>
          <w:b w:val="0"/>
          <w:sz w:val="20"/>
          <w:szCs w:val="20"/>
          <w:lang w:eastAsia="de-DE"/>
        </w:rPr>
        <w:t xml:space="preserve">) </w:t>
      </w:r>
      <w:r w:rsidR="00DB705A">
        <w:rPr>
          <w:rFonts w:eastAsia="Times New Roman"/>
          <w:b w:val="0"/>
          <w:sz w:val="20"/>
          <w:szCs w:val="20"/>
          <w:lang w:eastAsia="de-DE"/>
        </w:rPr>
        <w:t>übernommen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DB705A">
        <w:rPr>
          <w:rFonts w:eastAsia="Times New Roman"/>
          <w:b w:val="0"/>
          <w:sz w:val="20"/>
          <w:szCs w:val="20"/>
          <w:lang w:eastAsia="de-DE"/>
        </w:rPr>
        <w:t>was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 eine </w:t>
      </w:r>
      <w:r w:rsidR="009F0B97">
        <w:rPr>
          <w:rFonts w:eastAsia="Times New Roman"/>
          <w:b w:val="0"/>
          <w:sz w:val="20"/>
          <w:szCs w:val="20"/>
          <w:lang w:eastAsia="de-DE"/>
        </w:rPr>
        <w:t>konsistente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 Durchsetzung der Richtlinien unabhängig vom Standort des Benutzers gewährleiste</w:t>
      </w:r>
      <w:r w:rsidR="00DB705A">
        <w:rPr>
          <w:rFonts w:eastAsia="Times New Roman"/>
          <w:b w:val="0"/>
          <w:sz w:val="20"/>
          <w:szCs w:val="20"/>
          <w:lang w:eastAsia="de-DE"/>
        </w:rPr>
        <w:t>t</w:t>
      </w:r>
      <w:r w:rsidRPr="00A435D6">
        <w:rPr>
          <w:rFonts w:eastAsia="Times New Roman"/>
          <w:b w:val="0"/>
          <w:sz w:val="20"/>
          <w:szCs w:val="20"/>
          <w:lang w:eastAsia="de-DE"/>
        </w:rPr>
        <w:t xml:space="preserve">. Die </w:t>
      </w:r>
      <w:proofErr w:type="spellStart"/>
      <w:r w:rsidRPr="00A435D6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A435D6">
        <w:rPr>
          <w:rFonts w:eastAsia="Times New Roman"/>
          <w:b w:val="0"/>
          <w:sz w:val="20"/>
          <w:szCs w:val="20"/>
          <w:lang w:eastAsia="de-DE"/>
        </w:rPr>
        <w:t>-Clients werden über die WatchGuard Cloud bereitgestellt und sind daher einfach zu implementieren und zu verwalten.</w:t>
      </w:r>
    </w:p>
    <w:p w14:paraId="373F4A14" w14:textId="77777777" w:rsidR="00A435D6" w:rsidRDefault="00A435D6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16457B8F" w14:textId="550C432B" w:rsidR="00A435D6" w:rsidRDefault="00D968BC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D968BC">
        <w:rPr>
          <w:rFonts w:eastAsia="Times New Roman"/>
          <w:bCs/>
          <w:sz w:val="20"/>
          <w:szCs w:val="20"/>
          <w:lang w:eastAsia="de-DE"/>
        </w:rPr>
        <w:t>Flexibel und skalierbar: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D968BC">
        <w:rPr>
          <w:rFonts w:eastAsia="Times New Roman"/>
          <w:b w:val="0"/>
          <w:sz w:val="20"/>
          <w:szCs w:val="20"/>
          <w:lang w:eastAsia="de-DE"/>
        </w:rPr>
        <w:t xml:space="preserve">Die flexible Preisgestaltung mit </w:t>
      </w:r>
      <w:proofErr w:type="spellStart"/>
      <w:r w:rsidRPr="00D968BC">
        <w:rPr>
          <w:rFonts w:eastAsia="Times New Roman"/>
          <w:b w:val="0"/>
          <w:sz w:val="20"/>
          <w:szCs w:val="20"/>
          <w:lang w:eastAsia="de-DE"/>
        </w:rPr>
        <w:t>FlexPay</w:t>
      </w:r>
      <w:proofErr w:type="spellEnd"/>
      <w:r w:rsidRPr="00D968BC">
        <w:rPr>
          <w:rFonts w:eastAsia="Times New Roman"/>
          <w:b w:val="0"/>
          <w:sz w:val="20"/>
          <w:szCs w:val="20"/>
          <w:lang w:eastAsia="de-DE"/>
        </w:rPr>
        <w:t xml:space="preserve"> von WatchGuard unterstützt den Aufbau und das Wachstum des Geschäfts von </w:t>
      </w:r>
      <w:proofErr w:type="spellStart"/>
      <w:r w:rsidRPr="00D968BC">
        <w:rPr>
          <w:rFonts w:eastAsia="Times New Roman"/>
          <w:b w:val="0"/>
          <w:sz w:val="20"/>
          <w:szCs w:val="20"/>
          <w:lang w:eastAsia="de-DE"/>
        </w:rPr>
        <w:t>Managed</w:t>
      </w:r>
      <w:proofErr w:type="spellEnd"/>
      <w:r w:rsidRPr="00D968BC">
        <w:rPr>
          <w:rFonts w:eastAsia="Times New Roman"/>
          <w:b w:val="0"/>
          <w:sz w:val="20"/>
          <w:szCs w:val="20"/>
          <w:lang w:eastAsia="de-DE"/>
        </w:rPr>
        <w:t xml:space="preserve"> Security Services Providern (MSSP). Da es sich um ein Firewall-</w:t>
      </w:r>
      <w:proofErr w:type="spellStart"/>
      <w:r w:rsidRPr="00D968BC">
        <w:rPr>
          <w:rFonts w:eastAsia="Times New Roman"/>
          <w:b w:val="0"/>
          <w:sz w:val="20"/>
          <w:szCs w:val="20"/>
          <w:lang w:eastAsia="de-DE"/>
        </w:rPr>
        <w:t>as</w:t>
      </w:r>
      <w:proofErr w:type="spellEnd"/>
      <w:r w:rsidRPr="00D968BC">
        <w:rPr>
          <w:rFonts w:eastAsia="Times New Roman"/>
          <w:b w:val="0"/>
          <w:sz w:val="20"/>
          <w:szCs w:val="20"/>
          <w:lang w:eastAsia="de-DE"/>
        </w:rPr>
        <w:t>-a-Service</w:t>
      </w:r>
      <w:r>
        <w:rPr>
          <w:rFonts w:eastAsia="Times New Roman"/>
          <w:b w:val="0"/>
          <w:sz w:val="20"/>
          <w:szCs w:val="20"/>
          <w:lang w:eastAsia="de-DE"/>
        </w:rPr>
        <w:t>-Angebot</w:t>
      </w:r>
      <w:r w:rsidRPr="00D968BC">
        <w:rPr>
          <w:rFonts w:eastAsia="Times New Roman"/>
          <w:b w:val="0"/>
          <w:sz w:val="20"/>
          <w:szCs w:val="20"/>
          <w:lang w:eastAsia="de-DE"/>
        </w:rPr>
        <w:t xml:space="preserve"> handelt, wirkt sich die Anzahl der Benutzer nicht auf die Leistung aus</w:t>
      </w:r>
      <w:r>
        <w:rPr>
          <w:rFonts w:eastAsia="Times New Roman"/>
          <w:b w:val="0"/>
          <w:sz w:val="20"/>
          <w:szCs w:val="20"/>
          <w:lang w:eastAsia="de-DE"/>
        </w:rPr>
        <w:t xml:space="preserve"> – </w:t>
      </w:r>
      <w:r w:rsidRPr="00D968BC">
        <w:rPr>
          <w:rFonts w:eastAsia="Times New Roman"/>
          <w:b w:val="0"/>
          <w:sz w:val="20"/>
          <w:szCs w:val="20"/>
          <w:lang w:eastAsia="de-DE"/>
        </w:rPr>
        <w:t>weitere Lizenzen können bei Kundenwachstum einfach hinzugefügt werden.</w:t>
      </w:r>
    </w:p>
    <w:p w14:paraId="0540A13F" w14:textId="77777777" w:rsidR="00540D3C" w:rsidRDefault="00540D3C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31587B9D" w14:textId="042FB676" w:rsidR="00540D3C" w:rsidRDefault="00540D3C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540D3C">
        <w:rPr>
          <w:rFonts w:eastAsia="Times New Roman"/>
          <w:b w:val="0"/>
          <w:sz w:val="20"/>
          <w:szCs w:val="20"/>
          <w:lang w:eastAsia="de-DE"/>
        </w:rPr>
        <w:t>WatchGuard</w:t>
      </w:r>
      <w:r>
        <w:rPr>
          <w:rFonts w:eastAsia="Times New Roman"/>
          <w:b w:val="0"/>
          <w:sz w:val="20"/>
          <w:szCs w:val="20"/>
          <w:lang w:eastAsia="de-DE"/>
        </w:rPr>
        <w:t xml:space="preserve"> setzt alles daran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, eine vollständige SASE-Lösung bereitzustellen, die den Anforderungen der Partner und ihrer Kunden gerecht wird. Im Laufe der Zeit werden die </w:t>
      </w:r>
      <w:r w:rsidR="00323417">
        <w:rPr>
          <w:rFonts w:eastAsia="Times New Roman"/>
          <w:b w:val="0"/>
          <w:sz w:val="20"/>
          <w:szCs w:val="20"/>
          <w:lang w:eastAsia="de-DE"/>
        </w:rPr>
        <w:t>Leistungsbausteine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der </w:t>
      </w:r>
      <w:proofErr w:type="spellStart"/>
      <w:r w:rsidRPr="00540D3C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540D3C">
        <w:rPr>
          <w:rFonts w:eastAsia="Times New Roman"/>
          <w:b w:val="0"/>
          <w:sz w:val="20"/>
          <w:szCs w:val="20"/>
          <w:lang w:eastAsia="de-DE"/>
        </w:rPr>
        <w:t xml:space="preserve">-Familie von WatchGuard, die </w:t>
      </w:r>
      <w:r>
        <w:rPr>
          <w:rFonts w:eastAsia="Times New Roman"/>
          <w:b w:val="0"/>
          <w:sz w:val="20"/>
          <w:szCs w:val="20"/>
          <w:lang w:eastAsia="de-DE"/>
        </w:rPr>
        <w:t>eine sichere Verbindung zu privaten Anwendungen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, SD-WAN, ZTNA und CASB </w:t>
      </w:r>
      <w:r>
        <w:rPr>
          <w:rFonts w:eastAsia="Times New Roman"/>
          <w:b w:val="0"/>
          <w:sz w:val="20"/>
          <w:szCs w:val="20"/>
          <w:lang w:eastAsia="de-DE"/>
        </w:rPr>
        <w:t>gewährleisten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, </w:t>
      </w:r>
      <w:r>
        <w:rPr>
          <w:rFonts w:eastAsia="Times New Roman"/>
          <w:b w:val="0"/>
          <w:sz w:val="20"/>
          <w:szCs w:val="20"/>
          <w:lang w:eastAsia="de-DE"/>
        </w:rPr>
        <w:t xml:space="preserve">sukzessive </w:t>
      </w:r>
      <w:r w:rsidR="00323417">
        <w:rPr>
          <w:rFonts w:eastAsia="Times New Roman"/>
          <w:b w:val="0"/>
          <w:sz w:val="20"/>
          <w:szCs w:val="20"/>
          <w:lang w:eastAsia="de-DE"/>
        </w:rPr>
        <w:t>erweitert</w:t>
      </w:r>
      <w:r w:rsidR="001705B1">
        <w:rPr>
          <w:rFonts w:eastAsia="Times New Roman"/>
          <w:b w:val="0"/>
          <w:sz w:val="20"/>
          <w:szCs w:val="20"/>
          <w:lang w:eastAsia="de-DE"/>
        </w:rPr>
        <w:t xml:space="preserve"> und ausgerollt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. Im Zuge dessen </w:t>
      </w:r>
      <w:r w:rsidR="00CA6F90">
        <w:rPr>
          <w:rFonts w:eastAsia="Times New Roman"/>
          <w:b w:val="0"/>
          <w:sz w:val="20"/>
          <w:szCs w:val="20"/>
          <w:lang w:eastAsia="de-DE"/>
        </w:rPr>
        <w:t>können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Pr="00540D3C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540D3C">
        <w:rPr>
          <w:rFonts w:eastAsia="Times New Roman"/>
          <w:b w:val="0"/>
          <w:sz w:val="20"/>
          <w:szCs w:val="20"/>
          <w:lang w:eastAsia="de-DE"/>
        </w:rPr>
        <w:t>-Kunden auch von de</w:t>
      </w:r>
      <w:r w:rsidR="00F47152">
        <w:rPr>
          <w:rFonts w:eastAsia="Times New Roman"/>
          <w:b w:val="0"/>
          <w:sz w:val="20"/>
          <w:szCs w:val="20"/>
          <w:lang w:eastAsia="de-DE"/>
        </w:rPr>
        <w:t>r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in Kürze </w:t>
      </w:r>
      <w:r w:rsidR="00C37A43">
        <w:rPr>
          <w:rFonts w:eastAsia="Times New Roman"/>
          <w:b w:val="0"/>
          <w:sz w:val="20"/>
          <w:szCs w:val="20"/>
          <w:lang w:eastAsia="de-DE"/>
        </w:rPr>
        <w:t>stattfindenden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Integration mit </w:t>
      </w:r>
      <w:r w:rsidR="00F47152">
        <w:rPr>
          <w:rFonts w:eastAsia="Times New Roman"/>
          <w:b w:val="0"/>
          <w:sz w:val="20"/>
          <w:szCs w:val="20"/>
          <w:lang w:eastAsia="de-DE"/>
        </w:rPr>
        <w:t>dem „</w:t>
      </w:r>
      <w:proofErr w:type="spellStart"/>
      <w:r w:rsidRPr="00540D3C">
        <w:rPr>
          <w:rFonts w:eastAsia="Times New Roman"/>
          <w:b w:val="0"/>
          <w:sz w:val="20"/>
          <w:szCs w:val="20"/>
          <w:lang w:eastAsia="de-DE"/>
        </w:rPr>
        <w:t>ThreatSync</w:t>
      </w:r>
      <w:proofErr w:type="spellEnd"/>
      <w:r w:rsidRPr="00540D3C">
        <w:rPr>
          <w:rFonts w:eastAsia="Times New Roman"/>
          <w:b w:val="0"/>
          <w:sz w:val="20"/>
          <w:szCs w:val="20"/>
          <w:lang w:eastAsia="de-DE"/>
        </w:rPr>
        <w:t>+</w:t>
      </w:r>
      <w:r w:rsidR="00F47152">
        <w:rPr>
          <w:rFonts w:eastAsia="Times New Roman"/>
          <w:b w:val="0"/>
          <w:sz w:val="20"/>
          <w:szCs w:val="20"/>
          <w:lang w:eastAsia="de-DE"/>
        </w:rPr>
        <w:t>“-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Software </w:t>
      </w:r>
      <w:proofErr w:type="spellStart"/>
      <w:r w:rsidRPr="00540D3C">
        <w:rPr>
          <w:rFonts w:eastAsia="Times New Roman"/>
          <w:b w:val="0"/>
          <w:sz w:val="20"/>
          <w:szCs w:val="20"/>
          <w:lang w:eastAsia="de-DE"/>
        </w:rPr>
        <w:t>as</w:t>
      </w:r>
      <w:proofErr w:type="spellEnd"/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a Service (SaaS)</w:t>
      </w:r>
      <w:r w:rsidR="00F47152">
        <w:rPr>
          <w:rFonts w:eastAsia="Times New Roman"/>
          <w:b w:val="0"/>
          <w:sz w:val="20"/>
          <w:szCs w:val="20"/>
          <w:lang w:eastAsia="de-DE"/>
        </w:rPr>
        <w:t xml:space="preserve">-Angebot </w:t>
      </w:r>
      <w:r w:rsidR="008C24B7">
        <w:rPr>
          <w:rFonts w:eastAsia="Times New Roman"/>
          <w:b w:val="0"/>
          <w:sz w:val="20"/>
          <w:szCs w:val="20"/>
          <w:lang w:eastAsia="de-DE"/>
        </w:rPr>
        <w:t xml:space="preserve">zur souveränen </w:t>
      </w:r>
      <w:r w:rsidR="008C24B7" w:rsidRPr="00540D3C">
        <w:rPr>
          <w:rFonts w:eastAsia="Times New Roman"/>
          <w:b w:val="0"/>
          <w:sz w:val="20"/>
          <w:szCs w:val="20"/>
          <w:lang w:eastAsia="de-DE"/>
        </w:rPr>
        <w:t xml:space="preserve">Bedrohungserkennung und -Reaktion </w:t>
      </w:r>
      <w:r w:rsidRPr="00540D3C">
        <w:rPr>
          <w:rFonts w:eastAsia="Times New Roman"/>
          <w:b w:val="0"/>
          <w:sz w:val="20"/>
          <w:szCs w:val="20"/>
          <w:lang w:eastAsia="de-DE"/>
        </w:rPr>
        <w:t>profitieren</w:t>
      </w:r>
      <w:r w:rsidR="00C37A43">
        <w:rPr>
          <w:rFonts w:eastAsia="Times New Roman"/>
          <w:b w:val="0"/>
          <w:sz w:val="20"/>
          <w:szCs w:val="20"/>
          <w:lang w:eastAsia="de-DE"/>
        </w:rPr>
        <w:t xml:space="preserve">. Zudem wird der 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Client </w:t>
      </w:r>
      <w:r w:rsidR="00CA6F90">
        <w:rPr>
          <w:rFonts w:eastAsia="Times New Roman"/>
          <w:b w:val="0"/>
          <w:sz w:val="20"/>
          <w:szCs w:val="20"/>
          <w:lang w:eastAsia="de-DE"/>
        </w:rPr>
        <w:t xml:space="preserve">Teil des – </w:t>
      </w:r>
      <w:r w:rsidR="005E3213">
        <w:rPr>
          <w:rFonts w:eastAsia="Times New Roman"/>
          <w:b w:val="0"/>
          <w:sz w:val="20"/>
          <w:szCs w:val="20"/>
          <w:lang w:eastAsia="de-DE"/>
        </w:rPr>
        <w:t>in naher Zukunft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A6F90">
        <w:rPr>
          <w:rFonts w:eastAsia="Times New Roman"/>
          <w:b w:val="0"/>
          <w:sz w:val="20"/>
          <w:szCs w:val="20"/>
          <w:lang w:eastAsia="de-DE"/>
        </w:rPr>
        <w:t>verfügbaren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A6F90">
        <w:rPr>
          <w:rFonts w:eastAsia="Times New Roman"/>
          <w:b w:val="0"/>
          <w:sz w:val="20"/>
          <w:szCs w:val="20"/>
          <w:lang w:eastAsia="de-DE"/>
        </w:rPr>
        <w:t xml:space="preserve">– 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WatchGuard Universal </w:t>
      </w:r>
      <w:proofErr w:type="spellStart"/>
      <w:r w:rsidRPr="00540D3C">
        <w:rPr>
          <w:rFonts w:eastAsia="Times New Roman"/>
          <w:b w:val="0"/>
          <w:sz w:val="20"/>
          <w:szCs w:val="20"/>
          <w:lang w:eastAsia="de-DE"/>
        </w:rPr>
        <w:t>Agent</w:t>
      </w:r>
      <w:r w:rsidR="00CA6F90">
        <w:rPr>
          <w:rFonts w:eastAsia="Times New Roman"/>
          <w:b w:val="0"/>
          <w:sz w:val="20"/>
          <w:szCs w:val="20"/>
          <w:lang w:eastAsia="de-DE"/>
        </w:rPr>
        <w:t>s</w:t>
      </w:r>
      <w:proofErr w:type="spellEnd"/>
      <w:r w:rsidRPr="00540D3C">
        <w:rPr>
          <w:rFonts w:eastAsia="Times New Roman"/>
          <w:b w:val="0"/>
          <w:sz w:val="20"/>
          <w:szCs w:val="20"/>
          <w:lang w:eastAsia="de-DE"/>
        </w:rPr>
        <w:t xml:space="preserve">, der </w:t>
      </w:r>
      <w:r w:rsidR="005E3213">
        <w:rPr>
          <w:rFonts w:eastAsia="Times New Roman"/>
          <w:b w:val="0"/>
          <w:sz w:val="20"/>
          <w:szCs w:val="20"/>
          <w:lang w:eastAsia="de-DE"/>
        </w:rPr>
        <w:t>eine noch einfachere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 Geräteverwaltung </w:t>
      </w:r>
      <w:r w:rsidR="005E3213">
        <w:rPr>
          <w:rFonts w:eastAsia="Times New Roman"/>
          <w:b w:val="0"/>
          <w:sz w:val="20"/>
          <w:szCs w:val="20"/>
          <w:lang w:eastAsia="de-DE"/>
        </w:rPr>
        <w:t>mit sich bringt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. </w:t>
      </w:r>
      <w:r w:rsidR="00CA6F90">
        <w:rPr>
          <w:rFonts w:eastAsia="Times New Roman"/>
          <w:b w:val="0"/>
          <w:sz w:val="20"/>
          <w:szCs w:val="20"/>
          <w:lang w:eastAsia="de-DE"/>
        </w:rPr>
        <w:t xml:space="preserve">In dem Zusammenhang arbeitet WatchGuard wie immer eng mit seinen Partnern zusammen, die die spezifischen </w:t>
      </w:r>
      <w:r w:rsidRPr="00540D3C">
        <w:rPr>
          <w:rFonts w:eastAsia="Times New Roman"/>
          <w:b w:val="0"/>
          <w:sz w:val="20"/>
          <w:szCs w:val="20"/>
          <w:lang w:eastAsia="de-DE"/>
        </w:rPr>
        <w:t xml:space="preserve">SASE-Anforderungen ihrer Kunden </w:t>
      </w:r>
      <w:r w:rsidR="00CA6F90">
        <w:rPr>
          <w:rFonts w:eastAsia="Times New Roman"/>
          <w:b w:val="0"/>
          <w:sz w:val="20"/>
          <w:szCs w:val="20"/>
          <w:lang w:eastAsia="de-DE"/>
        </w:rPr>
        <w:t>am besten kennen.</w:t>
      </w:r>
    </w:p>
    <w:p w14:paraId="707559B3" w14:textId="77777777" w:rsidR="00540D3C" w:rsidRDefault="00540D3C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364461CA" w14:textId="5CC81F4F" w:rsidR="00540D3C" w:rsidRDefault="00CA6F90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„SASE ist die Zukunft der sicheren Konnektivität, bei der Netzwerk- und Sicherheitsfunktionen in einem Cloud-nativen Dienst zusammengeführt werden. Mit </w:t>
      </w:r>
      <w:proofErr w:type="spellStart"/>
      <w:r w:rsidRPr="00654684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Internet Access und </w:t>
      </w:r>
      <w:r w:rsidR="000858D8" w:rsidRPr="00654684">
        <w:rPr>
          <w:rFonts w:eastAsia="Times New Roman"/>
          <w:b w:val="0"/>
          <w:sz w:val="20"/>
          <w:szCs w:val="20"/>
          <w:lang w:eastAsia="de-DE"/>
        </w:rPr>
        <w:t>dem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Gesamtkonzept für eine hybride SASE-Architektur </w:t>
      </w:r>
      <w:r w:rsidR="001F2056" w:rsidRPr="00654684">
        <w:rPr>
          <w:rFonts w:eastAsia="Times New Roman"/>
          <w:b w:val="0"/>
          <w:sz w:val="20"/>
          <w:szCs w:val="20"/>
          <w:lang w:eastAsia="de-DE"/>
        </w:rPr>
        <w:t xml:space="preserve">unterstreicht </w:t>
      </w:r>
      <w:r w:rsidRPr="00654684">
        <w:rPr>
          <w:rFonts w:eastAsia="Times New Roman"/>
          <w:b w:val="0"/>
          <w:sz w:val="20"/>
          <w:szCs w:val="20"/>
          <w:lang w:eastAsia="de-DE"/>
        </w:rPr>
        <w:t>WatchGuard</w:t>
      </w:r>
      <w:r w:rsidR="00155BBA" w:rsidRPr="00654684">
        <w:rPr>
          <w:rFonts w:eastAsia="Times New Roman"/>
          <w:b w:val="0"/>
          <w:sz w:val="20"/>
          <w:szCs w:val="20"/>
          <w:lang w:eastAsia="de-DE"/>
        </w:rPr>
        <w:t xml:space="preserve">, wie stark der Fokus auf der </w:t>
      </w:r>
      <w:r w:rsidRPr="00654684">
        <w:rPr>
          <w:rFonts w:eastAsia="Times New Roman"/>
          <w:b w:val="0"/>
          <w:sz w:val="20"/>
          <w:szCs w:val="20"/>
          <w:lang w:eastAsia="de-DE"/>
        </w:rPr>
        <w:t>Bereitstellung leistungsstarker Cybersicherheitslösungen</w:t>
      </w:r>
      <w:r w:rsidR="00155BBA" w:rsidRPr="00654684">
        <w:rPr>
          <w:rFonts w:eastAsia="Times New Roman"/>
          <w:b w:val="0"/>
          <w:sz w:val="20"/>
          <w:szCs w:val="20"/>
          <w:lang w:eastAsia="de-DE"/>
        </w:rPr>
        <w:t xml:space="preserve"> liegt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, die speziell für MSP entwickelt wurden“, </w:t>
      </w:r>
      <w:r w:rsidR="0073779D" w:rsidRPr="00654684">
        <w:rPr>
          <w:rFonts w:eastAsia="Times New Roman"/>
          <w:b w:val="0"/>
          <w:sz w:val="20"/>
          <w:szCs w:val="20"/>
          <w:lang w:eastAsia="de-DE"/>
        </w:rPr>
        <w:t xml:space="preserve">so 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Jannik </w:t>
      </w:r>
      <w:r w:rsidRPr="00654684">
        <w:rPr>
          <w:rFonts w:eastAsia="Times New Roman"/>
          <w:b w:val="0"/>
          <w:sz w:val="20"/>
          <w:szCs w:val="20"/>
          <w:lang w:eastAsia="de-DE"/>
        </w:rPr>
        <w:lastRenderedPageBreak/>
        <w:t xml:space="preserve">Hindriks, Commercial Managing </w:t>
      </w:r>
      <w:proofErr w:type="spellStart"/>
      <w:r w:rsidRPr="00654684">
        <w:rPr>
          <w:rFonts w:eastAsia="Times New Roman"/>
          <w:b w:val="0"/>
          <w:sz w:val="20"/>
          <w:szCs w:val="20"/>
          <w:lang w:eastAsia="de-DE"/>
        </w:rPr>
        <w:t>Director</w:t>
      </w:r>
      <w:proofErr w:type="spellEnd"/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bei </w:t>
      </w:r>
      <w:r w:rsidR="00D2608B" w:rsidRPr="00654684">
        <w:rPr>
          <w:rFonts w:eastAsia="Times New Roman"/>
          <w:b w:val="0"/>
          <w:sz w:val="20"/>
          <w:szCs w:val="20"/>
          <w:lang w:eastAsia="de-DE"/>
        </w:rPr>
        <w:t xml:space="preserve">der 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ICT GmbH.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„</w:t>
      </w:r>
      <w:r w:rsidR="004B3260" w:rsidRPr="00654684">
        <w:rPr>
          <w:rFonts w:eastAsia="Times New Roman"/>
          <w:b w:val="0"/>
          <w:sz w:val="20"/>
          <w:szCs w:val="20"/>
          <w:lang w:eastAsia="de-DE"/>
        </w:rPr>
        <w:t xml:space="preserve">Bei </w:t>
      </w:r>
      <w:proofErr w:type="spellStart"/>
      <w:r w:rsidR="00155BBA" w:rsidRPr="00654684">
        <w:rPr>
          <w:rFonts w:eastAsia="Times New Roman"/>
          <w:b w:val="0"/>
          <w:sz w:val="20"/>
          <w:szCs w:val="20"/>
          <w:lang w:eastAsia="de-DE"/>
        </w:rPr>
        <w:t>FireCloud</w:t>
      </w:r>
      <w:proofErr w:type="spellEnd"/>
      <w:r w:rsidR="00155BBA" w:rsidRPr="00654684">
        <w:rPr>
          <w:rFonts w:eastAsia="Times New Roman"/>
          <w:b w:val="0"/>
          <w:sz w:val="20"/>
          <w:szCs w:val="20"/>
          <w:lang w:eastAsia="de-DE"/>
        </w:rPr>
        <w:t xml:space="preserve"> Internet Access </w:t>
      </w:r>
      <w:r w:rsidR="004B3260" w:rsidRPr="00654684">
        <w:rPr>
          <w:rFonts w:eastAsia="Times New Roman"/>
          <w:b w:val="0"/>
          <w:sz w:val="20"/>
          <w:szCs w:val="20"/>
          <w:lang w:eastAsia="de-DE"/>
        </w:rPr>
        <w:t xml:space="preserve">handelt es sich um 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eine erschwingliche und effektive Lösung, die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Netzwerke und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Mitarbeitenden auf Kundenseite schützt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zudem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die gleiche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, starke Sicherheitsfunktionalität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wie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die</w:t>
      </w:r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Pr="00654684">
        <w:rPr>
          <w:rFonts w:eastAsia="Times New Roman"/>
          <w:b w:val="0"/>
          <w:sz w:val="20"/>
          <w:szCs w:val="20"/>
          <w:lang w:eastAsia="de-DE"/>
        </w:rPr>
        <w:t>Firebox</w:t>
      </w:r>
      <w:proofErr w:type="spellEnd"/>
      <w:r w:rsidRPr="00654684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 xml:space="preserve">umfasst. Dadurch gewinnen wir als Unternehmen </w:t>
      </w:r>
      <w:r w:rsidR="000B5014" w:rsidRPr="00654684">
        <w:rPr>
          <w:rFonts w:eastAsia="Times New Roman"/>
          <w:b w:val="0"/>
          <w:sz w:val="20"/>
          <w:szCs w:val="20"/>
          <w:lang w:eastAsia="de-DE"/>
        </w:rPr>
        <w:t>entscheidende Effizienz im Tagesgeschäft</w:t>
      </w:r>
      <w:r w:rsidRPr="00654684">
        <w:rPr>
          <w:rFonts w:eastAsia="Times New Roman"/>
          <w:b w:val="0"/>
          <w:sz w:val="20"/>
          <w:szCs w:val="20"/>
          <w:lang w:eastAsia="de-DE"/>
        </w:rPr>
        <w:t>.</w:t>
      </w:r>
      <w:r w:rsidR="009F67DB" w:rsidRPr="00654684">
        <w:rPr>
          <w:rFonts w:eastAsia="Times New Roman"/>
          <w:b w:val="0"/>
          <w:sz w:val="20"/>
          <w:szCs w:val="20"/>
          <w:lang w:eastAsia="de-DE"/>
        </w:rPr>
        <w:t>“</w:t>
      </w:r>
    </w:p>
    <w:p w14:paraId="39A45EEA" w14:textId="63339E68" w:rsidR="005C2F41" w:rsidRDefault="00163DC9" w:rsidP="00FE7764">
      <w:pPr>
        <w:pStyle w:val="Textkrper"/>
        <w:tabs>
          <w:tab w:val="left" w:pos="4879"/>
        </w:tabs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ab/>
      </w:r>
    </w:p>
    <w:p w14:paraId="7434CDE2" w14:textId="605D6C89" w:rsidR="00A435D6" w:rsidRDefault="000E632A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0E632A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>
        <w:rPr>
          <w:rFonts w:eastAsia="Times New Roman"/>
          <w:b w:val="0"/>
          <w:sz w:val="20"/>
          <w:szCs w:val="20"/>
          <w:lang w:eastAsia="de-DE"/>
        </w:rPr>
        <w:t>Produktankündigung</w:t>
      </w:r>
      <w:r w:rsidRPr="000E632A">
        <w:rPr>
          <w:rFonts w:eastAsia="Times New Roman"/>
          <w:b w:val="0"/>
          <w:sz w:val="20"/>
          <w:szCs w:val="20"/>
          <w:lang w:eastAsia="de-DE"/>
        </w:rPr>
        <w:t xml:space="preserve"> folgt auf die kürzliche </w:t>
      </w:r>
      <w:r w:rsidR="000B5014">
        <w:rPr>
          <w:rFonts w:eastAsia="Times New Roman"/>
          <w:b w:val="0"/>
          <w:sz w:val="20"/>
          <w:szCs w:val="20"/>
          <w:lang w:eastAsia="de-DE"/>
        </w:rPr>
        <w:t xml:space="preserve">seitens WatchGuard </w:t>
      </w:r>
      <w:r w:rsidR="00DC1637">
        <w:rPr>
          <w:rFonts w:eastAsia="Times New Roman"/>
          <w:b w:val="0"/>
          <w:sz w:val="20"/>
          <w:szCs w:val="20"/>
          <w:lang w:eastAsia="de-DE"/>
        </w:rPr>
        <w:t>vermeldete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0E632A">
        <w:rPr>
          <w:rFonts w:eastAsia="Times New Roman"/>
          <w:b w:val="0"/>
          <w:sz w:val="20"/>
          <w:szCs w:val="20"/>
          <w:lang w:eastAsia="de-DE"/>
        </w:rPr>
        <w:t xml:space="preserve">Übernahme von </w:t>
      </w:r>
      <w:proofErr w:type="spellStart"/>
      <w:r w:rsidRPr="000E632A">
        <w:rPr>
          <w:rFonts w:eastAsia="Times New Roman"/>
          <w:b w:val="0"/>
          <w:sz w:val="20"/>
          <w:szCs w:val="20"/>
          <w:lang w:eastAsia="de-DE"/>
        </w:rPr>
        <w:t>ActZer</w:t>
      </w:r>
      <w:r w:rsidR="000B5014">
        <w:rPr>
          <w:rFonts w:eastAsia="Times New Roman"/>
          <w:b w:val="0"/>
          <w:sz w:val="20"/>
          <w:szCs w:val="20"/>
          <w:lang w:eastAsia="de-DE"/>
        </w:rPr>
        <w:t>o</w:t>
      </w:r>
      <w:proofErr w:type="spellEnd"/>
      <w:r w:rsidR="000B5014">
        <w:rPr>
          <w:rFonts w:eastAsia="Times New Roman"/>
          <w:b w:val="0"/>
          <w:sz w:val="20"/>
          <w:szCs w:val="20"/>
          <w:lang w:eastAsia="de-DE"/>
        </w:rPr>
        <w:t>,</w:t>
      </w:r>
      <w:r w:rsidRPr="000E632A">
        <w:rPr>
          <w:rFonts w:eastAsia="Times New Roman"/>
          <w:b w:val="0"/>
          <w:sz w:val="20"/>
          <w:szCs w:val="20"/>
          <w:lang w:eastAsia="de-DE"/>
        </w:rPr>
        <w:t xml:space="preserve"> einem führenden Anbieter von </w:t>
      </w:r>
      <w:proofErr w:type="spellStart"/>
      <w:r w:rsidRPr="000E632A">
        <w:rPr>
          <w:rFonts w:eastAsia="Times New Roman"/>
          <w:b w:val="0"/>
          <w:sz w:val="20"/>
          <w:szCs w:val="20"/>
          <w:lang w:eastAsia="de-DE"/>
        </w:rPr>
        <w:t>Managed</w:t>
      </w:r>
      <w:proofErr w:type="spellEnd"/>
      <w:r w:rsidRPr="000E632A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Pr="000E632A">
        <w:rPr>
          <w:rFonts w:eastAsia="Times New Roman"/>
          <w:b w:val="0"/>
          <w:sz w:val="20"/>
          <w:szCs w:val="20"/>
          <w:lang w:eastAsia="de-DE"/>
        </w:rPr>
        <w:t>Detection</w:t>
      </w:r>
      <w:proofErr w:type="spellEnd"/>
      <w:r w:rsidRPr="000E632A">
        <w:rPr>
          <w:rFonts w:eastAsia="Times New Roman"/>
          <w:b w:val="0"/>
          <w:sz w:val="20"/>
          <w:szCs w:val="20"/>
          <w:lang w:eastAsia="de-DE"/>
        </w:rPr>
        <w:t xml:space="preserve"> and Response (MDR)-Services</w:t>
      </w:r>
      <w:r w:rsidR="00CE0B3E">
        <w:rPr>
          <w:rFonts w:eastAsia="Times New Roman"/>
          <w:b w:val="0"/>
          <w:sz w:val="20"/>
          <w:szCs w:val="20"/>
          <w:lang w:eastAsia="de-DE"/>
        </w:rPr>
        <w:t xml:space="preserve">. Diese zielt darauf ab, </w:t>
      </w:r>
      <w:r w:rsidRPr="000E632A">
        <w:rPr>
          <w:rFonts w:eastAsia="Times New Roman"/>
          <w:b w:val="0"/>
          <w:sz w:val="20"/>
          <w:szCs w:val="20"/>
          <w:lang w:eastAsia="de-DE"/>
        </w:rPr>
        <w:t xml:space="preserve">das MDR-Wachstum für MSP-Partner zu beschleunigen und ihre Vertriebsreichweite zu erweitern. </w:t>
      </w:r>
      <w:r w:rsidR="00835DBC">
        <w:rPr>
          <w:rFonts w:eastAsia="Times New Roman"/>
          <w:b w:val="0"/>
          <w:sz w:val="20"/>
          <w:szCs w:val="20"/>
          <w:lang w:eastAsia="de-DE"/>
        </w:rPr>
        <w:t xml:space="preserve">Auch hier zeigt sich die Mission von WatchGuard, </w:t>
      </w:r>
      <w:proofErr w:type="spellStart"/>
      <w:r w:rsidR="00835DBC">
        <w:rPr>
          <w:rFonts w:eastAsia="Times New Roman"/>
          <w:b w:val="0"/>
          <w:sz w:val="20"/>
          <w:szCs w:val="20"/>
          <w:lang w:eastAsia="de-DE"/>
        </w:rPr>
        <w:t>Managed</w:t>
      </w:r>
      <w:proofErr w:type="spellEnd"/>
      <w:r w:rsidR="00835DBC">
        <w:rPr>
          <w:rFonts w:eastAsia="Times New Roman"/>
          <w:b w:val="0"/>
          <w:sz w:val="20"/>
          <w:szCs w:val="20"/>
          <w:lang w:eastAsia="de-DE"/>
        </w:rPr>
        <w:t xml:space="preserve"> Service Providern </w:t>
      </w:r>
      <w:r w:rsidR="00835DBC" w:rsidRPr="000E632A">
        <w:rPr>
          <w:rFonts w:eastAsia="Times New Roman"/>
          <w:b w:val="0"/>
          <w:sz w:val="20"/>
          <w:szCs w:val="20"/>
          <w:lang w:eastAsia="de-DE"/>
        </w:rPr>
        <w:t>skalierbare, verkaufsfertige Lösungen</w:t>
      </w:r>
      <w:r w:rsidR="00835DBC">
        <w:rPr>
          <w:rFonts w:eastAsia="Times New Roman"/>
          <w:b w:val="0"/>
          <w:sz w:val="20"/>
          <w:szCs w:val="20"/>
          <w:lang w:eastAsia="de-DE"/>
        </w:rPr>
        <w:t xml:space="preserve"> zu bieten</w:t>
      </w:r>
      <w:r w:rsidR="00835DBC" w:rsidRPr="000E632A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860793">
        <w:rPr>
          <w:rFonts w:eastAsia="Times New Roman"/>
          <w:b w:val="0"/>
          <w:sz w:val="20"/>
          <w:szCs w:val="20"/>
          <w:lang w:eastAsia="de-DE"/>
        </w:rPr>
        <w:t xml:space="preserve">die sich positiv auf deren Umsatzentwicklung auswirken. Dabei überzeugt WatchGuard mit hoher Innovationskraft, wie nicht zuletzt die zahlreichen </w:t>
      </w:r>
      <w:hyperlink r:id="rId7" w:history="1">
        <w:r w:rsidR="00860793" w:rsidRPr="00860793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Auszeichnungen</w:t>
        </w:r>
      </w:hyperlink>
      <w:r w:rsidR="00860793">
        <w:rPr>
          <w:rFonts w:eastAsia="Times New Roman"/>
          <w:b w:val="0"/>
          <w:sz w:val="20"/>
          <w:szCs w:val="20"/>
          <w:lang w:eastAsia="de-DE"/>
        </w:rPr>
        <w:t xml:space="preserve"> der </w:t>
      </w:r>
      <w:r w:rsidR="000C2305">
        <w:rPr>
          <w:rFonts w:eastAsia="Times New Roman"/>
          <w:b w:val="0"/>
          <w:sz w:val="20"/>
          <w:szCs w:val="20"/>
          <w:lang w:eastAsia="de-DE"/>
        </w:rPr>
        <w:t>WatchGuard-</w:t>
      </w:r>
      <w:r w:rsidR="00860793">
        <w:rPr>
          <w:rFonts w:eastAsia="Times New Roman"/>
          <w:b w:val="0"/>
          <w:sz w:val="20"/>
          <w:szCs w:val="20"/>
          <w:lang w:eastAsia="de-DE"/>
        </w:rPr>
        <w:t>Sicherheitslösungen im Jahr 2024 unterstreichen.</w:t>
      </w:r>
    </w:p>
    <w:p w14:paraId="5BCF6ED9" w14:textId="77777777" w:rsidR="002E1C7E" w:rsidRDefault="002E1C7E" w:rsidP="00DB6AF5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03BA2FE0" w14:textId="2AF47346" w:rsidR="002E1C7E" w:rsidRDefault="002E1C7E" w:rsidP="00DB6AF5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  <w:r w:rsidRPr="002E1C7E">
        <w:rPr>
          <w:rFonts w:eastAsia="Times New Roman"/>
          <w:bCs/>
          <w:sz w:val="20"/>
          <w:szCs w:val="20"/>
          <w:lang w:eastAsia="de-DE"/>
        </w:rPr>
        <w:t>Weitere Informationen:</w:t>
      </w:r>
    </w:p>
    <w:p w14:paraId="7CF05985" w14:textId="77777777" w:rsidR="002E1C7E" w:rsidRDefault="002E1C7E" w:rsidP="002E1C7E">
      <w:pPr>
        <w:pStyle w:val="Textkrper"/>
        <w:numPr>
          <w:ilvl w:val="0"/>
          <w:numId w:val="10"/>
        </w:numPr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hyperlink r:id="rId8" w:history="1"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Produktseite </w:t>
        </w:r>
        <w:proofErr w:type="spellStart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FireCloud</w:t>
        </w:r>
        <w:proofErr w:type="spellEnd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 Internet Access</w:t>
        </w:r>
      </w:hyperlink>
    </w:p>
    <w:p w14:paraId="67402688" w14:textId="1969B421" w:rsidR="002E1C7E" w:rsidRDefault="002E1C7E" w:rsidP="002E1C7E">
      <w:pPr>
        <w:pStyle w:val="Textkrper"/>
        <w:numPr>
          <w:ilvl w:val="0"/>
          <w:numId w:val="10"/>
        </w:numPr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hyperlink r:id="rId9" w:history="1"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Datenblatt </w:t>
        </w:r>
        <w:proofErr w:type="spellStart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FireCloud</w:t>
        </w:r>
        <w:proofErr w:type="spellEnd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 Internet Access</w:t>
        </w:r>
      </w:hyperlink>
      <w:r w:rsidRPr="002E1C7E">
        <w:rPr>
          <w:rFonts w:eastAsia="Times New Roman"/>
          <w:b w:val="0"/>
          <w:sz w:val="20"/>
          <w:szCs w:val="20"/>
          <w:lang w:eastAsia="de-DE"/>
        </w:rPr>
        <w:t xml:space="preserve"> </w:t>
      </w:r>
    </w:p>
    <w:p w14:paraId="5ADC1566" w14:textId="334CE8C2" w:rsidR="002E1C7E" w:rsidRPr="002E1C7E" w:rsidRDefault="002E1C7E" w:rsidP="002E1C7E">
      <w:pPr>
        <w:pStyle w:val="Textkrper"/>
        <w:numPr>
          <w:ilvl w:val="0"/>
          <w:numId w:val="10"/>
        </w:numPr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hyperlink r:id="rId10" w:history="1"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Tech Brief </w:t>
        </w:r>
        <w:proofErr w:type="spellStart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FireCloud</w:t>
        </w:r>
        <w:proofErr w:type="spellEnd"/>
        <w:r w:rsidRPr="002E1C7E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 Internet Access</w:t>
        </w:r>
      </w:hyperlink>
    </w:p>
    <w:p w14:paraId="7A443DFF" w14:textId="77777777" w:rsidR="00C504BE" w:rsidRDefault="00C504BE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DB88340" w14:textId="1197F5AC" w:rsidR="00F85598" w:rsidRPr="00DB6AF5" w:rsidRDefault="00F8559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737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  <w:gridCol w:w="3686"/>
      </w:tblGrid>
      <w:tr w:rsidR="00D2608B" w:rsidRPr="00B46453" w14:paraId="4D559ECA" w14:textId="276231B3" w:rsidTr="00D2608B">
        <w:trPr>
          <w:trHeight w:val="1985"/>
        </w:trPr>
        <w:tc>
          <w:tcPr>
            <w:tcW w:w="3686" w:type="dxa"/>
          </w:tcPr>
          <w:p w14:paraId="00ABA568" w14:textId="77777777" w:rsidR="00FD2FE8" w:rsidRPr="00B46453" w:rsidRDefault="00FD2FE8" w:rsidP="006F7E9F">
            <w:pPr>
              <w:pStyle w:val="Kopfzeile"/>
              <w:ind w:right="-141"/>
            </w:pPr>
          </w:p>
          <w:p w14:paraId="7767347D" w14:textId="6DE3B0A7" w:rsidR="00D2608B" w:rsidRPr="00B46453" w:rsidRDefault="00D2608B" w:rsidP="006F7E9F">
            <w:pPr>
              <w:pStyle w:val="Kopfzeile"/>
              <w:ind w:right="-141"/>
            </w:pPr>
            <w:r>
              <w:fldChar w:fldCharType="begin"/>
            </w:r>
            <w:r>
              <w:instrText xml:space="preserve"> INCLUDEPICTURE "/Users/rebeccahasert/Library/Group Containers/UBF8T346G9.ms/WebArchiveCopyPasteTempFiles/com.microsoft.Word/andrew_young-sm.jpg"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15E1D0F" wp14:editId="719B0E68">
                  <wp:extent cx="773676" cy="963038"/>
                  <wp:effectExtent l="0" t="0" r="1270" b="2540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390" cy="1001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686" w:type="dxa"/>
          </w:tcPr>
          <w:p w14:paraId="29E0BB56" w14:textId="77777777" w:rsidR="00FD2FE8" w:rsidRDefault="00FD2FE8" w:rsidP="006F7E9F">
            <w:pPr>
              <w:pStyle w:val="Kopfzeile"/>
              <w:ind w:right="-141"/>
            </w:pPr>
          </w:p>
          <w:p w14:paraId="7D196F00" w14:textId="1CDB733D" w:rsidR="00D2608B" w:rsidRPr="00B46453" w:rsidRDefault="00FD2FE8" w:rsidP="006F7E9F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496CE9C8" wp14:editId="254F46F6">
                  <wp:extent cx="1453072" cy="962660"/>
                  <wp:effectExtent l="0" t="0" r="0" b="2540"/>
                  <wp:docPr id="593631243" name="Grafik 1" descr="Ein Bild, das Person, Baum, draußen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631243" name="Grafik 1" descr="Ein Bild, das Person, Baum, draußen, Kleidung enthält.&#10;&#10;KI-generierte Inhalte können fehlerhaft sein."/>
                          <pic:cNvPicPr/>
                        </pic:nvPicPr>
                        <pic:blipFill rotWithShape="1">
                          <a:blip r:embed="rId12"/>
                          <a:srcRect l="29035" r="-29035"/>
                          <a:stretch/>
                        </pic:blipFill>
                        <pic:spPr>
                          <a:xfrm>
                            <a:off x="0" y="0"/>
                            <a:ext cx="1472977" cy="97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608B" w:rsidRPr="00E34D7A" w14:paraId="2F023B59" w14:textId="53C43E12" w:rsidTr="00D2608B">
        <w:trPr>
          <w:trHeight w:val="544"/>
        </w:trPr>
        <w:tc>
          <w:tcPr>
            <w:tcW w:w="3686" w:type="dxa"/>
          </w:tcPr>
          <w:p w14:paraId="68B97D21" w14:textId="0A1CC4FF" w:rsidR="00D2608B" w:rsidRPr="00C23E65" w:rsidRDefault="00D2608B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Andrew Young, Chief Product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686" w:type="dxa"/>
          </w:tcPr>
          <w:p w14:paraId="2A8E281C" w14:textId="0AD14FBF" w:rsidR="00D2608B" w:rsidRDefault="00D2608B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Jannik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Hindriks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Commercial Managing Director </w:t>
            </w:r>
            <w:proofErr w:type="spellStart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 der ICT GmbH</w:t>
            </w:r>
          </w:p>
        </w:tc>
      </w:tr>
    </w:tbl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3BFB31B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C46F62A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5E7D8E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903715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4B73C1BB" w:rsidR="00F85598" w:rsidRDefault="00F85598" w:rsidP="00F85598">
      <w:pPr>
        <w:spacing w:line="288" w:lineRule="auto"/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D2608B">
        <w:rPr>
          <w:rFonts w:ascii="Helvetica" w:hAnsi="Helvetica"/>
          <w:color w:val="000000" w:themeColor="text1"/>
          <w:sz w:val="20"/>
          <w:szCs w:val="20"/>
        </w:rPr>
        <w:t>FireCloud</w:t>
      </w:r>
      <w:proofErr w:type="spellEnd"/>
      <w:r w:rsidR="00D2608B">
        <w:rPr>
          <w:rFonts w:ascii="Helvetica" w:hAnsi="Helvetica"/>
          <w:color w:val="000000" w:themeColor="text1"/>
          <w:sz w:val="20"/>
          <w:szCs w:val="20"/>
        </w:rPr>
        <w:t xml:space="preserve"> Internet Access</w:t>
      </w:r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D2608B">
        <w:rPr>
          <w:rFonts w:ascii="Helvetica" w:hAnsi="Helvetica"/>
          <w:color w:val="000000" w:themeColor="text1"/>
          <w:sz w:val="20"/>
          <w:szCs w:val="20"/>
        </w:rPr>
        <w:t>en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3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7007060" w14:textId="77777777" w:rsidR="002E1C7E" w:rsidRDefault="002E1C7E" w:rsidP="00F85598">
      <w:pPr>
        <w:spacing w:line="288" w:lineRule="auto"/>
      </w:pPr>
    </w:p>
    <w:p w14:paraId="32DA24AF" w14:textId="77777777" w:rsidR="002E1C7E" w:rsidRDefault="002E1C7E" w:rsidP="00F85598">
      <w:pPr>
        <w:spacing w:line="288" w:lineRule="auto"/>
      </w:pPr>
    </w:p>
    <w:p w14:paraId="1BE0D4D6" w14:textId="77777777" w:rsidR="002E1C7E" w:rsidRDefault="002E1C7E" w:rsidP="00F85598">
      <w:pPr>
        <w:spacing w:line="288" w:lineRule="auto"/>
      </w:pPr>
    </w:p>
    <w:p w14:paraId="2DE5E0E5" w14:textId="77777777" w:rsidR="002E1C7E" w:rsidRDefault="002E1C7E" w:rsidP="00F85598">
      <w:pPr>
        <w:spacing w:line="288" w:lineRule="auto"/>
      </w:pPr>
    </w:p>
    <w:p w14:paraId="575932A7" w14:textId="77777777" w:rsidR="002E1C7E" w:rsidRDefault="002E1C7E" w:rsidP="00F85598">
      <w:pPr>
        <w:spacing w:line="288" w:lineRule="auto"/>
      </w:pPr>
    </w:p>
    <w:p w14:paraId="549928F3" w14:textId="77777777" w:rsidR="002E1C7E" w:rsidRDefault="002E1C7E" w:rsidP="00F85598">
      <w:pPr>
        <w:spacing w:line="288" w:lineRule="auto"/>
      </w:pPr>
    </w:p>
    <w:p w14:paraId="231C6978" w14:textId="77777777" w:rsidR="002E1C7E" w:rsidRPr="00292EB5" w:rsidRDefault="002E1C7E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4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2DEDFECA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 w:rsidR="00261EBA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C4A04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2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DB6AF5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1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2711C" w14:textId="77777777" w:rsidR="00672D05" w:rsidRDefault="00672D05">
      <w:r>
        <w:separator/>
      </w:r>
    </w:p>
  </w:endnote>
  <w:endnote w:type="continuationSeparator" w:id="0">
    <w:p w14:paraId="41141FA8" w14:textId="77777777" w:rsidR="00672D05" w:rsidRDefault="00672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C1BF8" w14:textId="77777777" w:rsidR="00672D05" w:rsidRDefault="00672D05">
      <w:r>
        <w:separator/>
      </w:r>
    </w:p>
  </w:footnote>
  <w:footnote w:type="continuationSeparator" w:id="0">
    <w:p w14:paraId="3885EE9F" w14:textId="77777777" w:rsidR="00672D05" w:rsidRDefault="00672D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9"/>
  </w:num>
  <w:num w:numId="2" w16cid:durableId="236479808">
    <w:abstractNumId w:val="3"/>
  </w:num>
  <w:num w:numId="3" w16cid:durableId="263462634">
    <w:abstractNumId w:val="8"/>
  </w:num>
  <w:num w:numId="4" w16cid:durableId="1557155916">
    <w:abstractNumId w:val="7"/>
  </w:num>
  <w:num w:numId="5" w16cid:durableId="1662852035">
    <w:abstractNumId w:val="4"/>
  </w:num>
  <w:num w:numId="6" w16cid:durableId="1371341374">
    <w:abstractNumId w:val="2"/>
  </w:num>
  <w:num w:numId="7" w16cid:durableId="445347788">
    <w:abstractNumId w:val="1"/>
  </w:num>
  <w:num w:numId="8" w16cid:durableId="2057654158">
    <w:abstractNumId w:val="6"/>
  </w:num>
  <w:num w:numId="9" w16cid:durableId="1748113854">
    <w:abstractNumId w:val="5"/>
  </w:num>
  <w:num w:numId="10" w16cid:durableId="214619246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32A"/>
    <w:rsid w:val="000E66FA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84E"/>
    <w:rsid w:val="00257A15"/>
    <w:rsid w:val="00257EDA"/>
    <w:rsid w:val="002600C4"/>
    <w:rsid w:val="002603F8"/>
    <w:rsid w:val="00261013"/>
    <w:rsid w:val="002613C2"/>
    <w:rsid w:val="002616AF"/>
    <w:rsid w:val="00261EBA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9A3"/>
    <w:rsid w:val="002E2F15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58CD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F4A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3C8D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7A5"/>
    <w:rsid w:val="005A5D37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D05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67DB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635"/>
    <w:rsid w:val="00A72879"/>
    <w:rsid w:val="00A72D87"/>
    <w:rsid w:val="00A732C3"/>
    <w:rsid w:val="00A7344A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97554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67C8C"/>
    <w:rsid w:val="00C70747"/>
    <w:rsid w:val="00C70A2F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ase/firecloud-internet-access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/wgrd-news/awards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press-n-relations.at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/" TargetMode="External"/><Relationship Id="rId20" Type="http://schemas.openxmlformats.org/officeDocument/2006/relationships/hyperlink" Target="https://www.linkedin.com/company/watchguard-technologi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resource-center/tech-brief/firecloud-internet-access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docs/firecloud-internet-access" TargetMode="External"/><Relationship Id="rId14" Type="http://schemas.openxmlformats.org/officeDocument/2006/relationships/hyperlink" Target="https://www.watchguard.com/de" TargetMode="External"/><Relationship Id="rId22" Type="http://schemas.openxmlformats.org/officeDocument/2006/relationships/hyperlink" Target="https://www.watchguard.com/wgrd-security-hub/podcast-the-443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1511</Words>
  <Characters>9525</Characters>
  <Application>Microsoft Office Word</Application>
  <DocSecurity>0</DocSecurity>
  <Lines>79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11014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25</cp:revision>
  <cp:lastPrinted>2025-01-08T10:39:00Z</cp:lastPrinted>
  <dcterms:created xsi:type="dcterms:W3CDTF">2025-02-27T08:48:00Z</dcterms:created>
  <dcterms:modified xsi:type="dcterms:W3CDTF">2025-03-12T07:37:00Z</dcterms:modified>
  <cp:category/>
</cp:coreProperties>
</file>