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6B0E8CB6" w:rsidR="00AF2CB9" w:rsidRPr="00BF6DC2" w:rsidRDefault="00F050E9" w:rsidP="00880A34">
      <w:pPr>
        <w:spacing w:line="288" w:lineRule="auto"/>
        <w:outlineLvl w:val="0"/>
        <w:rPr>
          <w:rFonts w:ascii="Helvetica" w:hAnsi="Helvetica"/>
          <w:b/>
          <w:lang w:val="de-CH"/>
        </w:rPr>
      </w:pPr>
      <w:r>
        <w:rPr>
          <w:rFonts w:ascii="Helvetica" w:hAnsi="Helvetica"/>
          <w:b/>
          <w:lang w:val="de-CH"/>
        </w:rPr>
        <w:t>MEDIEN</w:t>
      </w:r>
      <w:r w:rsidR="00037D09" w:rsidRPr="00BF6DC2">
        <w:rPr>
          <w:rFonts w:ascii="Helvetica" w:hAnsi="Helvetica"/>
          <w:b/>
          <w:lang w:val="de-CH"/>
        </w:rPr>
        <w:t>INFORMATION</w:t>
      </w:r>
    </w:p>
    <w:p w14:paraId="46A3CBDB" w14:textId="77777777" w:rsidR="00D46370" w:rsidRPr="00BF6DC2" w:rsidRDefault="00D46370" w:rsidP="00AF2CB9">
      <w:pPr>
        <w:spacing w:line="288" w:lineRule="auto"/>
        <w:rPr>
          <w:rFonts w:ascii="Helvetica" w:hAnsi="Helvetica"/>
          <w:b/>
          <w:lang w:val="de-CH"/>
        </w:rPr>
      </w:pPr>
    </w:p>
    <w:p w14:paraId="14D0714B" w14:textId="0706C736" w:rsidR="00AF2CB9" w:rsidRPr="00BF6DC2" w:rsidRDefault="00BF6DC2" w:rsidP="00AF2CB9">
      <w:pPr>
        <w:spacing w:line="288" w:lineRule="auto"/>
        <w:rPr>
          <w:rFonts w:ascii="Helvetica" w:hAnsi="Helvetica"/>
          <w:sz w:val="20"/>
          <w:szCs w:val="20"/>
          <w:lang w:val="de-CH"/>
        </w:rPr>
      </w:pPr>
      <w:r w:rsidRPr="00BF6DC2">
        <w:rPr>
          <w:rFonts w:ascii="Helvetica" w:hAnsi="Helvetica"/>
          <w:sz w:val="20"/>
          <w:szCs w:val="20"/>
          <w:lang w:val="de-CH"/>
        </w:rPr>
        <w:t>Zürich</w:t>
      </w:r>
      <w:r w:rsidR="00037D09" w:rsidRPr="00BF6DC2">
        <w:rPr>
          <w:rFonts w:ascii="Helvetica" w:hAnsi="Helvetica"/>
          <w:sz w:val="20"/>
          <w:szCs w:val="20"/>
          <w:lang w:val="de-CH"/>
        </w:rPr>
        <w:t>,</w:t>
      </w:r>
      <w:r w:rsidR="00BF3442" w:rsidRPr="00BF6DC2">
        <w:rPr>
          <w:rFonts w:ascii="Helvetica" w:hAnsi="Helvetica"/>
          <w:sz w:val="20"/>
          <w:szCs w:val="20"/>
          <w:lang w:val="de-CH"/>
        </w:rPr>
        <w:t xml:space="preserve"> </w:t>
      </w:r>
      <w:r w:rsidR="00F050E9">
        <w:rPr>
          <w:rFonts w:ascii="Helvetica" w:hAnsi="Helvetica"/>
          <w:sz w:val="20"/>
          <w:szCs w:val="20"/>
          <w:lang w:val="de-CH"/>
        </w:rPr>
        <w:t>30</w:t>
      </w:r>
      <w:r w:rsidR="00037D09" w:rsidRPr="00BF6DC2">
        <w:rPr>
          <w:rFonts w:ascii="Helvetica" w:hAnsi="Helvetica"/>
          <w:sz w:val="20"/>
          <w:szCs w:val="20"/>
          <w:lang w:val="de-CH"/>
        </w:rPr>
        <w:t>.</w:t>
      </w:r>
      <w:r w:rsidR="00F91F98" w:rsidRPr="00BF6DC2">
        <w:rPr>
          <w:rFonts w:ascii="Helvetica" w:hAnsi="Helvetica"/>
          <w:sz w:val="20"/>
          <w:szCs w:val="20"/>
          <w:lang w:val="de-CH"/>
        </w:rPr>
        <w:t xml:space="preserve"> </w:t>
      </w:r>
      <w:r w:rsidR="00F050E9">
        <w:rPr>
          <w:rFonts w:ascii="Helvetica" w:hAnsi="Helvetica"/>
          <w:sz w:val="20"/>
          <w:szCs w:val="20"/>
          <w:lang w:val="de-CH"/>
        </w:rPr>
        <w:t xml:space="preserve">September </w:t>
      </w:r>
      <w:r w:rsidR="00037D09" w:rsidRPr="00BF6DC2">
        <w:rPr>
          <w:rFonts w:ascii="Helvetica" w:hAnsi="Helvetica"/>
          <w:sz w:val="20"/>
          <w:szCs w:val="20"/>
          <w:lang w:val="de-CH"/>
        </w:rPr>
        <w:t>20</w:t>
      </w:r>
      <w:r w:rsidR="00A95484" w:rsidRPr="00BF6DC2">
        <w:rPr>
          <w:rFonts w:ascii="Helvetica" w:hAnsi="Helvetica"/>
          <w:sz w:val="20"/>
          <w:szCs w:val="20"/>
          <w:lang w:val="de-CH"/>
        </w:rPr>
        <w:t>2</w:t>
      </w:r>
      <w:r w:rsidR="00DD1C5C" w:rsidRPr="00BF6DC2">
        <w:rPr>
          <w:rFonts w:ascii="Helvetica" w:hAnsi="Helvetica"/>
          <w:sz w:val="20"/>
          <w:szCs w:val="20"/>
          <w:lang w:val="de-CH"/>
        </w:rPr>
        <w:t>1</w:t>
      </w:r>
    </w:p>
    <w:p w14:paraId="1B9710D5" w14:textId="77777777" w:rsidR="005003B0" w:rsidRPr="00BF6DC2" w:rsidRDefault="005003B0" w:rsidP="00A75D14">
      <w:pPr>
        <w:tabs>
          <w:tab w:val="left" w:pos="6946"/>
          <w:tab w:val="left" w:pos="7088"/>
        </w:tabs>
        <w:spacing w:line="288" w:lineRule="auto"/>
        <w:ind w:right="2127"/>
        <w:rPr>
          <w:rFonts w:ascii="Helvetica" w:hAnsi="Helvetica"/>
          <w:lang w:val="de-CH"/>
        </w:rPr>
      </w:pPr>
    </w:p>
    <w:p w14:paraId="4BF4A1B8" w14:textId="77777777" w:rsidR="00F050E9" w:rsidRPr="000E3C60" w:rsidRDefault="00F050E9" w:rsidP="00F050E9">
      <w:pPr>
        <w:tabs>
          <w:tab w:val="left" w:pos="8222"/>
        </w:tabs>
        <w:spacing w:line="288" w:lineRule="auto"/>
        <w:ind w:right="1273"/>
        <w:rPr>
          <w:rFonts w:ascii="Helvetica" w:hAnsi="Helvetica"/>
          <w:b/>
        </w:rPr>
      </w:pPr>
      <w:r>
        <w:rPr>
          <w:rFonts w:ascii="Helvetica" w:hAnsi="Helvetica"/>
          <w:b/>
        </w:rPr>
        <w:t>Zunahme von Attacken via HTTPS-Protokoll: Neun von zehn Malware-Angriffen erfolgen über gesicherte Verbindungen</w:t>
      </w:r>
    </w:p>
    <w:p w14:paraId="02ECF8E6" w14:textId="77777777" w:rsidR="00F050E9" w:rsidRPr="000E3C60" w:rsidRDefault="00F050E9" w:rsidP="00F050E9">
      <w:pPr>
        <w:tabs>
          <w:tab w:val="left" w:pos="8222"/>
        </w:tabs>
        <w:spacing w:line="288" w:lineRule="auto"/>
        <w:ind w:right="1276"/>
        <w:rPr>
          <w:rFonts w:ascii="Helvetica" w:hAnsi="Helvetica"/>
          <w:b/>
          <w:sz w:val="20"/>
          <w:szCs w:val="20"/>
        </w:rPr>
      </w:pPr>
      <w:r>
        <w:rPr>
          <w:rFonts w:ascii="Helvetica" w:hAnsi="Helvetica"/>
          <w:b/>
          <w:sz w:val="20"/>
          <w:szCs w:val="20"/>
        </w:rPr>
        <w:t xml:space="preserve">Neuer </w:t>
      </w:r>
      <w:r w:rsidRPr="00FF353C">
        <w:rPr>
          <w:rFonts w:ascii="Helvetica" w:hAnsi="Helvetica"/>
          <w:b/>
          <w:bCs/>
          <w:sz w:val="20"/>
          <w:szCs w:val="20"/>
        </w:rPr>
        <w:t xml:space="preserve">Internet Security Report </w:t>
      </w:r>
      <w:r>
        <w:rPr>
          <w:rFonts w:ascii="Helvetica" w:hAnsi="Helvetica"/>
          <w:b/>
          <w:bCs/>
          <w:sz w:val="20"/>
          <w:szCs w:val="20"/>
        </w:rPr>
        <w:t xml:space="preserve">von </w:t>
      </w:r>
      <w:r w:rsidRPr="000E3C60">
        <w:rPr>
          <w:rFonts w:ascii="Helvetica" w:hAnsi="Helvetica"/>
          <w:b/>
          <w:sz w:val="20"/>
          <w:szCs w:val="20"/>
        </w:rPr>
        <w:t>WatchGuard</w:t>
      </w:r>
      <w:r>
        <w:rPr>
          <w:rFonts w:ascii="Helvetica" w:hAnsi="Helvetica"/>
          <w:b/>
          <w:sz w:val="20"/>
          <w:szCs w:val="20"/>
        </w:rPr>
        <w:t xml:space="preserve"> für das Q2 </w:t>
      </w:r>
      <w:r w:rsidRPr="00591512">
        <w:rPr>
          <w:rFonts w:ascii="Helvetica" w:hAnsi="Helvetica"/>
          <w:b/>
          <w:sz w:val="20"/>
          <w:szCs w:val="20"/>
        </w:rPr>
        <w:t xml:space="preserve">zeigt </w:t>
      </w:r>
      <w:r>
        <w:rPr>
          <w:rFonts w:ascii="Helvetica" w:hAnsi="Helvetica"/>
          <w:b/>
          <w:sz w:val="20"/>
          <w:szCs w:val="20"/>
        </w:rPr>
        <w:t>zudem</w:t>
      </w:r>
      <w:r w:rsidRPr="00591512">
        <w:rPr>
          <w:rFonts w:ascii="Helvetica" w:hAnsi="Helvetica"/>
          <w:b/>
          <w:sz w:val="20"/>
          <w:szCs w:val="20"/>
        </w:rPr>
        <w:t xml:space="preserve"> einen </w:t>
      </w:r>
      <w:r>
        <w:rPr>
          <w:rFonts w:ascii="Helvetica" w:hAnsi="Helvetica"/>
          <w:b/>
          <w:sz w:val="20"/>
          <w:szCs w:val="20"/>
        </w:rPr>
        <w:t>enormen</w:t>
      </w:r>
      <w:r w:rsidRPr="00591512">
        <w:rPr>
          <w:rFonts w:ascii="Helvetica" w:hAnsi="Helvetica"/>
          <w:b/>
          <w:sz w:val="20"/>
          <w:szCs w:val="20"/>
        </w:rPr>
        <w:t xml:space="preserve"> Anstieg bei Malware</w:t>
      </w:r>
      <w:r>
        <w:rPr>
          <w:rFonts w:ascii="Helvetica" w:hAnsi="Helvetica"/>
          <w:b/>
          <w:sz w:val="20"/>
          <w:szCs w:val="20"/>
        </w:rPr>
        <w:t>-</w:t>
      </w:r>
      <w:r w:rsidRPr="00591512">
        <w:rPr>
          <w:rFonts w:ascii="Helvetica" w:hAnsi="Helvetica"/>
          <w:b/>
          <w:sz w:val="20"/>
          <w:szCs w:val="20"/>
        </w:rPr>
        <w:t>, Netzwerk- und Ransomware-Angriffe</w:t>
      </w:r>
      <w:r>
        <w:rPr>
          <w:rFonts w:ascii="Helvetica" w:hAnsi="Helvetica"/>
          <w:b/>
          <w:sz w:val="20"/>
          <w:szCs w:val="20"/>
        </w:rPr>
        <w:t>n</w:t>
      </w:r>
    </w:p>
    <w:p w14:paraId="581535FE" w14:textId="77777777" w:rsidR="00F050E9" w:rsidRDefault="00F050E9" w:rsidP="00F050E9">
      <w:pPr>
        <w:spacing w:line="288" w:lineRule="auto"/>
        <w:ind w:right="1135"/>
        <w:rPr>
          <w:rFonts w:ascii="Helvetica" w:hAnsi="Helvetica"/>
          <w:b/>
          <w:bCs/>
          <w:color w:val="000000" w:themeColor="text1"/>
          <w:sz w:val="20"/>
          <w:szCs w:val="20"/>
        </w:rPr>
      </w:pPr>
    </w:p>
    <w:p w14:paraId="40C53215" w14:textId="77777777" w:rsidR="00F050E9" w:rsidRPr="00591512" w:rsidRDefault="00F050E9" w:rsidP="00F050E9">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Im jüngsten </w:t>
      </w:r>
      <w:r w:rsidRPr="00591512">
        <w:rPr>
          <w:rFonts w:ascii="Helvetica" w:hAnsi="Helvetica"/>
          <w:b/>
          <w:bCs/>
          <w:color w:val="000000" w:themeColor="text1"/>
          <w:sz w:val="20"/>
          <w:szCs w:val="20"/>
        </w:rPr>
        <w:t>Internet Security Report</w:t>
      </w:r>
      <w:r>
        <w:rPr>
          <w:rFonts w:ascii="Helvetica" w:hAnsi="Helvetica"/>
          <w:b/>
          <w:bCs/>
          <w:color w:val="000000" w:themeColor="text1"/>
          <w:sz w:val="20"/>
          <w:szCs w:val="20"/>
        </w:rPr>
        <w:t xml:space="preserve"> von WatchGuard Technologies für das zweite Quartal 2021</w:t>
      </w:r>
      <w:r w:rsidRPr="00591512">
        <w:rPr>
          <w:rFonts w:ascii="Helvetica" w:hAnsi="Helvetica"/>
          <w:b/>
          <w:bCs/>
          <w:color w:val="000000" w:themeColor="text1"/>
          <w:sz w:val="20"/>
          <w:szCs w:val="20"/>
        </w:rPr>
        <w:t xml:space="preserve"> </w:t>
      </w:r>
      <w:r>
        <w:rPr>
          <w:rFonts w:ascii="Helvetica" w:hAnsi="Helvetica"/>
          <w:b/>
          <w:bCs/>
          <w:color w:val="000000" w:themeColor="text1"/>
          <w:sz w:val="20"/>
          <w:szCs w:val="20"/>
        </w:rPr>
        <w:t>spiegelt sich der weltweit anhaltende Trend zu mobilen oder hybriden Arbeitsmodellen aus sicherheitstechnischer Sicht wider. Die Forscher des WatchGuard Threat Lab fanden beispielsweise heraus, dass 91,5 Prozent aller Malware in diesem Zeitraum über verschlüsselte Verbindungen verschickt</w:t>
      </w:r>
      <w:r w:rsidRPr="008D2082">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wurde. Darüber hinaus stellten sie einen enormen Anstieg </w:t>
      </w:r>
      <w:r w:rsidRPr="00591512">
        <w:rPr>
          <w:rFonts w:ascii="Helvetica" w:hAnsi="Helvetica"/>
          <w:b/>
          <w:sz w:val="20"/>
          <w:szCs w:val="20"/>
        </w:rPr>
        <w:t>bei Malware</w:t>
      </w:r>
      <w:r>
        <w:rPr>
          <w:rFonts w:ascii="Helvetica" w:hAnsi="Helvetica"/>
          <w:b/>
          <w:sz w:val="20"/>
          <w:szCs w:val="20"/>
        </w:rPr>
        <w:t>-</w:t>
      </w:r>
      <w:r w:rsidRPr="00591512">
        <w:rPr>
          <w:rFonts w:ascii="Helvetica" w:hAnsi="Helvetica"/>
          <w:b/>
          <w:sz w:val="20"/>
          <w:szCs w:val="20"/>
        </w:rPr>
        <w:t>, Netzwerk- und Ransomware-Angriffe</w:t>
      </w:r>
      <w:r>
        <w:rPr>
          <w:rFonts w:ascii="Helvetica" w:hAnsi="Helvetica"/>
          <w:b/>
          <w:sz w:val="20"/>
          <w:szCs w:val="20"/>
        </w:rPr>
        <w:t>n fest.</w:t>
      </w:r>
      <w:r w:rsidRPr="00591512">
        <w:rPr>
          <w:rFonts w:ascii="Helvetica" w:hAnsi="Helvetica"/>
          <w:b/>
          <w:bCs/>
          <w:color w:val="000000" w:themeColor="text1"/>
          <w:sz w:val="20"/>
          <w:szCs w:val="20"/>
        </w:rPr>
        <w:t xml:space="preserve"> Corey Nachreiner, Chief Security Officer bei WatchGuard</w:t>
      </w:r>
      <w:r>
        <w:rPr>
          <w:rFonts w:ascii="Helvetica" w:hAnsi="Helvetica"/>
          <w:b/>
          <w:bCs/>
          <w:color w:val="000000" w:themeColor="text1"/>
          <w:sz w:val="20"/>
          <w:szCs w:val="20"/>
        </w:rPr>
        <w:t>, dazu: „Aufgrund der veränderten Situation und der Art und Weise, wie und wo Menschen arbeiten und sich mit dem Internet verbinden, haben sich auch die Prioritären beim Schutz der Anwender und Unternehmen verändert. Während eine starke Verteidigung der</w:t>
      </w:r>
      <w:r w:rsidRPr="00591512">
        <w:rPr>
          <w:rFonts w:ascii="Helvetica" w:hAnsi="Helvetica"/>
          <w:b/>
          <w:bCs/>
          <w:color w:val="000000" w:themeColor="text1"/>
          <w:sz w:val="20"/>
          <w:szCs w:val="20"/>
        </w:rPr>
        <w:t xml:space="preserve"> traditionelle</w:t>
      </w:r>
      <w:r>
        <w:rPr>
          <w:rFonts w:ascii="Helvetica" w:hAnsi="Helvetica"/>
          <w:b/>
          <w:bCs/>
          <w:color w:val="000000" w:themeColor="text1"/>
          <w:sz w:val="20"/>
          <w:szCs w:val="20"/>
        </w:rPr>
        <w:t>n</w:t>
      </w:r>
      <w:r w:rsidRPr="00591512">
        <w:rPr>
          <w:rFonts w:ascii="Helvetica" w:hAnsi="Helvetica"/>
          <w:b/>
          <w:bCs/>
          <w:color w:val="000000" w:themeColor="text1"/>
          <w:sz w:val="20"/>
          <w:szCs w:val="20"/>
        </w:rPr>
        <w:t xml:space="preserve"> Netzwerkperimeter noch immer ein</w:t>
      </w:r>
      <w:r>
        <w:rPr>
          <w:rFonts w:ascii="Helvetica" w:hAnsi="Helvetica"/>
          <w:b/>
          <w:bCs/>
          <w:color w:val="000000" w:themeColor="text1"/>
          <w:sz w:val="20"/>
          <w:szCs w:val="20"/>
        </w:rPr>
        <w:t>en</w:t>
      </w:r>
      <w:r w:rsidRPr="00591512">
        <w:rPr>
          <w:rFonts w:ascii="Helvetica" w:hAnsi="Helvetica"/>
          <w:b/>
          <w:bCs/>
          <w:color w:val="000000" w:themeColor="text1"/>
          <w:sz w:val="20"/>
          <w:szCs w:val="20"/>
        </w:rPr>
        <w:t xml:space="preserve"> wichtige</w:t>
      </w:r>
      <w:r>
        <w:rPr>
          <w:rFonts w:ascii="Helvetica" w:hAnsi="Helvetica"/>
          <w:b/>
          <w:bCs/>
          <w:color w:val="000000" w:themeColor="text1"/>
          <w:sz w:val="20"/>
          <w:szCs w:val="20"/>
        </w:rPr>
        <w:t>n</w:t>
      </w:r>
      <w:r w:rsidRPr="00591512">
        <w:rPr>
          <w:rFonts w:ascii="Helvetica" w:hAnsi="Helvetica"/>
          <w:b/>
          <w:bCs/>
          <w:color w:val="000000" w:themeColor="text1"/>
          <w:sz w:val="20"/>
          <w:szCs w:val="20"/>
        </w:rPr>
        <w:t xml:space="preserve"> Teil eine</w:t>
      </w:r>
      <w:r>
        <w:rPr>
          <w:rFonts w:ascii="Helvetica" w:hAnsi="Helvetica"/>
          <w:b/>
          <w:bCs/>
          <w:color w:val="000000" w:themeColor="text1"/>
          <w:sz w:val="20"/>
          <w:szCs w:val="20"/>
        </w:rPr>
        <w:t>r mehrstufigen</w:t>
      </w:r>
      <w:r w:rsidRPr="00591512">
        <w:rPr>
          <w:rFonts w:ascii="Helvetica" w:hAnsi="Helvetica"/>
          <w:b/>
          <w:bCs/>
          <w:color w:val="000000" w:themeColor="text1"/>
          <w:sz w:val="20"/>
          <w:szCs w:val="20"/>
        </w:rPr>
        <w:t xml:space="preserve"> Sicherheits</w:t>
      </w:r>
      <w:r>
        <w:rPr>
          <w:rFonts w:ascii="Helvetica" w:hAnsi="Helvetica"/>
          <w:b/>
          <w:bCs/>
          <w:color w:val="000000" w:themeColor="text1"/>
          <w:sz w:val="20"/>
          <w:szCs w:val="20"/>
        </w:rPr>
        <w:t>strategie darstellt,</w:t>
      </w:r>
      <w:r w:rsidRPr="00591512">
        <w:rPr>
          <w:rFonts w:ascii="Helvetica" w:hAnsi="Helvetica"/>
          <w:b/>
          <w:bCs/>
          <w:color w:val="000000" w:themeColor="text1"/>
          <w:sz w:val="20"/>
          <w:szCs w:val="20"/>
        </w:rPr>
        <w:t xml:space="preserve"> </w:t>
      </w:r>
      <w:r>
        <w:rPr>
          <w:rFonts w:ascii="Helvetica" w:hAnsi="Helvetica"/>
          <w:b/>
          <w:bCs/>
          <w:color w:val="000000" w:themeColor="text1"/>
          <w:sz w:val="20"/>
          <w:szCs w:val="20"/>
        </w:rPr>
        <w:t>gewinnen insbesondere Endpoint P</w:t>
      </w:r>
      <w:r w:rsidRPr="00F80F05">
        <w:rPr>
          <w:rFonts w:ascii="Helvetica" w:hAnsi="Helvetica"/>
          <w:b/>
          <w:bCs/>
          <w:color w:val="000000" w:themeColor="text1"/>
          <w:sz w:val="20"/>
          <w:szCs w:val="20"/>
        </w:rPr>
        <w:t xml:space="preserve">rotection (EPP) </w:t>
      </w:r>
      <w:r>
        <w:rPr>
          <w:rFonts w:ascii="Helvetica" w:hAnsi="Helvetica"/>
          <w:b/>
          <w:bCs/>
          <w:color w:val="000000" w:themeColor="text1"/>
          <w:sz w:val="20"/>
          <w:szCs w:val="20"/>
        </w:rPr>
        <w:t>sowie schnelle E</w:t>
      </w:r>
      <w:r w:rsidRPr="00F80F05">
        <w:rPr>
          <w:rFonts w:ascii="Helvetica" w:hAnsi="Helvetica"/>
          <w:b/>
          <w:bCs/>
          <w:color w:val="000000" w:themeColor="text1"/>
          <w:sz w:val="20"/>
          <w:szCs w:val="20"/>
        </w:rPr>
        <w:t xml:space="preserve">ndpoint </w:t>
      </w:r>
      <w:r>
        <w:rPr>
          <w:rFonts w:ascii="Helvetica" w:hAnsi="Helvetica"/>
          <w:b/>
          <w:bCs/>
          <w:color w:val="000000" w:themeColor="text1"/>
          <w:sz w:val="20"/>
          <w:szCs w:val="20"/>
        </w:rPr>
        <w:t>D</w:t>
      </w:r>
      <w:r w:rsidRPr="00F80F05">
        <w:rPr>
          <w:rFonts w:ascii="Helvetica" w:hAnsi="Helvetica"/>
          <w:b/>
          <w:bCs/>
          <w:color w:val="000000" w:themeColor="text1"/>
          <w:sz w:val="20"/>
          <w:szCs w:val="20"/>
        </w:rPr>
        <w:t xml:space="preserve">etection and </w:t>
      </w:r>
      <w:r>
        <w:rPr>
          <w:rFonts w:ascii="Helvetica" w:hAnsi="Helvetica"/>
          <w:b/>
          <w:bCs/>
          <w:color w:val="000000" w:themeColor="text1"/>
          <w:sz w:val="20"/>
          <w:szCs w:val="20"/>
        </w:rPr>
        <w:t>R</w:t>
      </w:r>
      <w:r w:rsidRPr="00F80F05">
        <w:rPr>
          <w:rFonts w:ascii="Helvetica" w:hAnsi="Helvetica"/>
          <w:b/>
          <w:bCs/>
          <w:color w:val="000000" w:themeColor="text1"/>
          <w:sz w:val="20"/>
          <w:szCs w:val="20"/>
        </w:rPr>
        <w:t>esponse (</w:t>
      </w:r>
      <w:r>
        <w:rPr>
          <w:rFonts w:ascii="Helvetica" w:hAnsi="Helvetica"/>
          <w:b/>
          <w:bCs/>
          <w:color w:val="000000" w:themeColor="text1"/>
          <w:sz w:val="20"/>
          <w:szCs w:val="20"/>
        </w:rPr>
        <w:t>EDR) massiv an Stellenwert.“</w:t>
      </w:r>
    </w:p>
    <w:p w14:paraId="681F342E" w14:textId="77777777" w:rsidR="00F050E9" w:rsidRPr="00591512" w:rsidRDefault="00F050E9" w:rsidP="00F050E9">
      <w:pPr>
        <w:spacing w:line="288" w:lineRule="auto"/>
        <w:ind w:right="1135"/>
        <w:rPr>
          <w:rFonts w:ascii="Helvetica" w:hAnsi="Helvetica"/>
          <w:color w:val="000000" w:themeColor="text1"/>
          <w:sz w:val="20"/>
          <w:szCs w:val="20"/>
        </w:rPr>
      </w:pPr>
    </w:p>
    <w:p w14:paraId="1021BFC6"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color w:val="000000" w:themeColor="text1"/>
          <w:sz w:val="20"/>
          <w:szCs w:val="20"/>
        </w:rPr>
        <w:t>Zu den bemerkenswertesten Ergebnissen des WatchGuard Q2 2021 Internet Security Report gehören:</w:t>
      </w:r>
    </w:p>
    <w:p w14:paraId="79C6DA74" w14:textId="77777777" w:rsidR="00F050E9" w:rsidRPr="00591512" w:rsidRDefault="00F050E9" w:rsidP="00F050E9">
      <w:pPr>
        <w:spacing w:line="288" w:lineRule="auto"/>
        <w:ind w:right="1135"/>
        <w:rPr>
          <w:rFonts w:ascii="Helvetica" w:hAnsi="Helvetica"/>
          <w:color w:val="000000" w:themeColor="text1"/>
          <w:sz w:val="20"/>
          <w:szCs w:val="20"/>
        </w:rPr>
      </w:pPr>
    </w:p>
    <w:p w14:paraId="5CB797F0" w14:textId="77777777" w:rsidR="00F050E9" w:rsidRPr="00591512" w:rsidRDefault="00F050E9" w:rsidP="00F050E9">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Neun von zehn</w:t>
      </w:r>
      <w:r w:rsidRPr="00591512">
        <w:rPr>
          <w:rFonts w:ascii="Helvetica" w:hAnsi="Helvetica"/>
          <w:b/>
          <w:bCs/>
          <w:color w:val="000000" w:themeColor="text1"/>
          <w:sz w:val="20"/>
          <w:szCs w:val="20"/>
        </w:rPr>
        <w:t xml:space="preserve"> Malware</w:t>
      </w:r>
      <w:r>
        <w:rPr>
          <w:rFonts w:ascii="Helvetica" w:hAnsi="Helvetica"/>
          <w:b/>
          <w:bCs/>
          <w:color w:val="000000" w:themeColor="text1"/>
          <w:sz w:val="20"/>
          <w:szCs w:val="20"/>
        </w:rPr>
        <w:t>-Angriffen erfolgen</w:t>
      </w:r>
      <w:r w:rsidRPr="00591512">
        <w:rPr>
          <w:rFonts w:ascii="Helvetica" w:hAnsi="Helvetica"/>
          <w:b/>
          <w:bCs/>
          <w:color w:val="000000" w:themeColor="text1"/>
          <w:sz w:val="20"/>
          <w:szCs w:val="20"/>
        </w:rPr>
        <w:t xml:space="preserve"> über </w:t>
      </w:r>
      <w:r>
        <w:rPr>
          <w:rFonts w:ascii="Helvetica" w:hAnsi="Helvetica"/>
          <w:b/>
          <w:bCs/>
          <w:color w:val="000000" w:themeColor="text1"/>
          <w:sz w:val="20"/>
          <w:szCs w:val="20"/>
        </w:rPr>
        <w:t>HTTPS-</w:t>
      </w:r>
      <w:r w:rsidRPr="00591512">
        <w:rPr>
          <w:rFonts w:ascii="Helvetica" w:hAnsi="Helvetica"/>
          <w:b/>
          <w:bCs/>
          <w:color w:val="000000" w:themeColor="text1"/>
          <w:sz w:val="20"/>
          <w:szCs w:val="20"/>
        </w:rPr>
        <w:t>Verbindungen</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Im zweiten Quartal </w:t>
      </w:r>
      <w:r>
        <w:rPr>
          <w:rFonts w:ascii="Helvetica" w:hAnsi="Helvetica"/>
          <w:color w:val="000000" w:themeColor="text1"/>
          <w:sz w:val="20"/>
          <w:szCs w:val="20"/>
        </w:rPr>
        <w:t>wurden</w:t>
      </w:r>
      <w:r w:rsidRPr="00591512">
        <w:rPr>
          <w:rFonts w:ascii="Helvetica" w:hAnsi="Helvetica"/>
          <w:color w:val="000000" w:themeColor="text1"/>
          <w:sz w:val="20"/>
          <w:szCs w:val="20"/>
        </w:rPr>
        <w:t xml:space="preserve"> 91,5 </w:t>
      </w:r>
      <w:r>
        <w:rPr>
          <w:rFonts w:ascii="Helvetica" w:hAnsi="Helvetica"/>
          <w:color w:val="000000" w:themeColor="text1"/>
          <w:sz w:val="20"/>
          <w:szCs w:val="20"/>
        </w:rPr>
        <w:t>Prozent</w:t>
      </w:r>
      <w:r w:rsidRPr="00591512">
        <w:rPr>
          <w:rFonts w:ascii="Helvetica" w:hAnsi="Helvetica"/>
          <w:color w:val="000000" w:themeColor="text1"/>
          <w:sz w:val="20"/>
          <w:szCs w:val="20"/>
        </w:rPr>
        <w:t xml:space="preserve"> der Malware über verschlüsselte Verbindung</w:t>
      </w:r>
      <w:r>
        <w:rPr>
          <w:rFonts w:ascii="Helvetica" w:hAnsi="Helvetica"/>
          <w:color w:val="000000" w:themeColor="text1"/>
          <w:sz w:val="20"/>
          <w:szCs w:val="20"/>
        </w:rPr>
        <w:t xml:space="preserve"> verschickt</w:t>
      </w:r>
      <w:r w:rsidRPr="00591512">
        <w:rPr>
          <w:rFonts w:ascii="Helvetica" w:hAnsi="Helvetica"/>
          <w:color w:val="000000" w:themeColor="text1"/>
          <w:sz w:val="20"/>
          <w:szCs w:val="20"/>
        </w:rPr>
        <w:t xml:space="preserve">, ein dramatischer Anstieg gegenüber dem vorherigen Quartal. </w:t>
      </w:r>
      <w:r>
        <w:rPr>
          <w:rFonts w:ascii="Helvetica" w:hAnsi="Helvetica"/>
          <w:color w:val="000000" w:themeColor="text1"/>
          <w:sz w:val="20"/>
          <w:szCs w:val="20"/>
        </w:rPr>
        <w:t>Im Umkehrschluss bedeutet das, dass j</w:t>
      </w:r>
      <w:r w:rsidRPr="00591512">
        <w:rPr>
          <w:rFonts w:ascii="Helvetica" w:hAnsi="Helvetica"/>
          <w:color w:val="000000" w:themeColor="text1"/>
          <w:sz w:val="20"/>
          <w:szCs w:val="20"/>
        </w:rPr>
        <w:t xml:space="preserve">edes Unternehmen, </w:t>
      </w:r>
      <w:r>
        <w:rPr>
          <w:rFonts w:ascii="Helvetica" w:hAnsi="Helvetica"/>
          <w:color w:val="000000" w:themeColor="text1"/>
          <w:sz w:val="20"/>
          <w:szCs w:val="20"/>
        </w:rPr>
        <w:t>welches</w:t>
      </w:r>
      <w:r w:rsidRPr="00591512">
        <w:rPr>
          <w:rFonts w:ascii="Helvetica" w:hAnsi="Helvetica"/>
          <w:color w:val="000000" w:themeColor="text1"/>
          <w:sz w:val="20"/>
          <w:szCs w:val="20"/>
        </w:rPr>
        <w:t xml:space="preserve"> keine </w:t>
      </w:r>
      <w:r>
        <w:rPr>
          <w:rFonts w:ascii="Helvetica" w:hAnsi="Helvetica"/>
          <w:color w:val="000000" w:themeColor="text1"/>
          <w:sz w:val="20"/>
          <w:szCs w:val="20"/>
        </w:rPr>
        <w:t xml:space="preserve">Lösung zur </w:t>
      </w:r>
      <w:r w:rsidRPr="00591512">
        <w:rPr>
          <w:rFonts w:ascii="Helvetica" w:hAnsi="Helvetica"/>
          <w:color w:val="000000" w:themeColor="text1"/>
          <w:sz w:val="20"/>
          <w:szCs w:val="20"/>
        </w:rPr>
        <w:t>HTTPS-</w:t>
      </w:r>
      <w:r>
        <w:rPr>
          <w:rFonts w:ascii="Helvetica" w:hAnsi="Helvetica"/>
          <w:color w:val="000000" w:themeColor="text1"/>
          <w:sz w:val="20"/>
          <w:szCs w:val="20"/>
        </w:rPr>
        <w:t>Inspektion</w:t>
      </w:r>
      <w:r w:rsidRPr="00591512">
        <w:rPr>
          <w:rFonts w:ascii="Helvetica" w:hAnsi="Helvetica"/>
          <w:color w:val="000000" w:themeColor="text1"/>
          <w:sz w:val="20"/>
          <w:szCs w:val="20"/>
        </w:rPr>
        <w:t xml:space="preserve"> einsetzt, </w:t>
      </w:r>
      <w:r>
        <w:rPr>
          <w:rFonts w:ascii="Helvetica" w:hAnsi="Helvetica"/>
          <w:color w:val="000000" w:themeColor="text1"/>
          <w:sz w:val="20"/>
          <w:szCs w:val="20"/>
        </w:rPr>
        <w:t>neun von zehn Attacken am Perimeter unbemerkt passieren lässt.</w:t>
      </w:r>
    </w:p>
    <w:p w14:paraId="0A4CBF83" w14:textId="77777777" w:rsidR="00F050E9" w:rsidRPr="00591512" w:rsidRDefault="00F050E9" w:rsidP="00F050E9">
      <w:pPr>
        <w:spacing w:line="288" w:lineRule="auto"/>
        <w:ind w:right="1135"/>
        <w:rPr>
          <w:rFonts w:ascii="Helvetica" w:hAnsi="Helvetica"/>
          <w:color w:val="000000" w:themeColor="text1"/>
          <w:sz w:val="20"/>
          <w:szCs w:val="20"/>
        </w:rPr>
      </w:pPr>
    </w:p>
    <w:p w14:paraId="3D5BB897"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 xml:space="preserve">Malware </w:t>
      </w:r>
      <w:r>
        <w:rPr>
          <w:rFonts w:ascii="Helvetica" w:hAnsi="Helvetica"/>
          <w:b/>
          <w:bCs/>
          <w:color w:val="000000" w:themeColor="text1"/>
          <w:sz w:val="20"/>
          <w:szCs w:val="20"/>
        </w:rPr>
        <w:t>umgeht über</w:t>
      </w:r>
      <w:r w:rsidRPr="00591512">
        <w:rPr>
          <w:rFonts w:ascii="Helvetica" w:hAnsi="Helvetica"/>
          <w:b/>
          <w:bCs/>
          <w:color w:val="000000" w:themeColor="text1"/>
          <w:sz w:val="20"/>
          <w:szCs w:val="20"/>
        </w:rPr>
        <w:t xml:space="preserve"> PowerShell-Tools</w:t>
      </w:r>
      <w:r>
        <w:rPr>
          <w:rFonts w:ascii="Helvetica" w:hAnsi="Helvetica"/>
          <w:b/>
          <w:bCs/>
          <w:color w:val="000000" w:themeColor="text1"/>
          <w:sz w:val="20"/>
          <w:szCs w:val="20"/>
        </w:rPr>
        <w:t xml:space="preserve"> </w:t>
      </w:r>
      <w:r w:rsidRPr="00591512">
        <w:rPr>
          <w:rFonts w:ascii="Helvetica" w:hAnsi="Helvetica"/>
          <w:b/>
          <w:bCs/>
          <w:color w:val="000000" w:themeColor="text1"/>
          <w:sz w:val="20"/>
          <w:szCs w:val="20"/>
        </w:rPr>
        <w:t xml:space="preserve">leistungsstarke Schutzmechanismen </w:t>
      </w:r>
      <w:r>
        <w:rPr>
          <w:rFonts w:ascii="Helvetica" w:hAnsi="Helvetica"/>
          <w:color w:val="000000" w:themeColor="text1"/>
          <w:sz w:val="20"/>
          <w:szCs w:val="20"/>
        </w:rPr>
        <w:t>–</w:t>
      </w:r>
      <w:r w:rsidRPr="00591512">
        <w:rPr>
          <w:rFonts w:ascii="Helvetica" w:hAnsi="Helvetica"/>
          <w:color w:val="000000" w:themeColor="text1"/>
          <w:sz w:val="20"/>
          <w:szCs w:val="20"/>
        </w:rPr>
        <w:t xml:space="preserve"> </w:t>
      </w:r>
      <w:r>
        <w:rPr>
          <w:rFonts w:ascii="Helvetica" w:hAnsi="Helvetica"/>
          <w:color w:val="000000" w:themeColor="text1"/>
          <w:sz w:val="20"/>
          <w:szCs w:val="20"/>
        </w:rPr>
        <w:t xml:space="preserve">Die Malware </w:t>
      </w:r>
      <w:r w:rsidRPr="00591512">
        <w:rPr>
          <w:rFonts w:ascii="Helvetica" w:hAnsi="Helvetica"/>
          <w:color w:val="000000" w:themeColor="text1"/>
          <w:sz w:val="20"/>
          <w:szCs w:val="20"/>
        </w:rPr>
        <w:t>AMSI.Disable.A tauchte zum ersten Mal im ersten Quartal in der Liste der Top-Malware von WatchGuard auf</w:t>
      </w:r>
      <w:r>
        <w:rPr>
          <w:rFonts w:ascii="Helvetica" w:hAnsi="Helvetica"/>
          <w:color w:val="000000" w:themeColor="text1"/>
          <w:sz w:val="20"/>
          <w:szCs w:val="20"/>
        </w:rPr>
        <w:t xml:space="preserve">. In Q2 konnte sie </w:t>
      </w:r>
      <w:r w:rsidRPr="00591512">
        <w:rPr>
          <w:rFonts w:ascii="Helvetica" w:hAnsi="Helvetica"/>
          <w:color w:val="000000" w:themeColor="text1"/>
          <w:sz w:val="20"/>
          <w:szCs w:val="20"/>
        </w:rPr>
        <w:t>sofort Platz 2 der Liste nach Volumen und Platz 1 für verschlüsselte Bedrohungen insgesamt</w:t>
      </w:r>
      <w:r>
        <w:rPr>
          <w:rFonts w:ascii="Helvetica" w:hAnsi="Helvetica"/>
          <w:color w:val="000000" w:themeColor="text1"/>
          <w:sz w:val="20"/>
          <w:szCs w:val="20"/>
        </w:rPr>
        <w:t xml:space="preserve"> erobern</w:t>
      </w:r>
      <w:r w:rsidRPr="00591512">
        <w:rPr>
          <w:rFonts w:ascii="Helvetica" w:hAnsi="Helvetica"/>
          <w:color w:val="000000" w:themeColor="text1"/>
          <w:sz w:val="20"/>
          <w:szCs w:val="20"/>
        </w:rPr>
        <w:t>. Diese Malware-Familie nutzt PowerShell-Tools, um verschiedene Sicherheitslücken in Windows</w:t>
      </w:r>
      <w:r>
        <w:rPr>
          <w:rFonts w:ascii="Helvetica" w:hAnsi="Helvetica"/>
          <w:color w:val="000000" w:themeColor="text1"/>
          <w:sz w:val="20"/>
          <w:szCs w:val="20"/>
        </w:rPr>
        <w:t>-Betriebssystemen</w:t>
      </w:r>
      <w:r w:rsidRPr="00591512">
        <w:rPr>
          <w:rFonts w:ascii="Helvetica" w:hAnsi="Helvetica"/>
          <w:color w:val="000000" w:themeColor="text1"/>
          <w:sz w:val="20"/>
          <w:szCs w:val="20"/>
        </w:rPr>
        <w:t xml:space="preserve"> </w:t>
      </w:r>
      <w:r>
        <w:rPr>
          <w:rFonts w:ascii="Helvetica" w:hAnsi="Helvetica"/>
          <w:color w:val="000000" w:themeColor="text1"/>
          <w:sz w:val="20"/>
          <w:szCs w:val="20"/>
        </w:rPr>
        <w:t>zu umgehen</w:t>
      </w:r>
      <w:r w:rsidRPr="00591512">
        <w:rPr>
          <w:rFonts w:ascii="Helvetica" w:hAnsi="Helvetica"/>
          <w:color w:val="000000" w:themeColor="text1"/>
          <w:sz w:val="20"/>
          <w:szCs w:val="20"/>
        </w:rPr>
        <w:t>. Was sie jedoch besonders interessant macht, ist ih</w:t>
      </w:r>
      <w:r>
        <w:rPr>
          <w:rFonts w:ascii="Helvetica" w:hAnsi="Helvetica"/>
          <w:color w:val="000000" w:themeColor="text1"/>
          <w:sz w:val="20"/>
          <w:szCs w:val="20"/>
        </w:rPr>
        <w:t>re Fähigkeit, dabei möglichst unentdeckt zu bleiben</w:t>
      </w:r>
      <w:r w:rsidRPr="00591512">
        <w:rPr>
          <w:rFonts w:ascii="Helvetica" w:hAnsi="Helvetica"/>
          <w:color w:val="000000" w:themeColor="text1"/>
          <w:sz w:val="20"/>
          <w:szCs w:val="20"/>
        </w:rPr>
        <w:t>. WatchGuard fand heraus, dass AMSI.Disable.A einen Code verwendet, der die Antimalware-Scan-Schnittstelle (AMSI) in PowerShell deaktivieren kann</w:t>
      </w:r>
      <w:r>
        <w:rPr>
          <w:rFonts w:ascii="Helvetica" w:hAnsi="Helvetica"/>
          <w:color w:val="000000" w:themeColor="text1"/>
          <w:sz w:val="20"/>
          <w:szCs w:val="20"/>
        </w:rPr>
        <w:t xml:space="preserve">. Dadurch bleibt die Malware inklusive der bösartigen Nutzlast von </w:t>
      </w:r>
      <w:r w:rsidRPr="00591512">
        <w:rPr>
          <w:rFonts w:ascii="Helvetica" w:hAnsi="Helvetica"/>
          <w:color w:val="000000" w:themeColor="text1"/>
          <w:sz w:val="20"/>
          <w:szCs w:val="20"/>
        </w:rPr>
        <w:t xml:space="preserve">Sicherheitsüberprüfungen </w:t>
      </w:r>
      <w:r>
        <w:rPr>
          <w:rFonts w:ascii="Helvetica" w:hAnsi="Helvetica"/>
          <w:color w:val="000000" w:themeColor="text1"/>
          <w:sz w:val="20"/>
          <w:szCs w:val="20"/>
        </w:rPr>
        <w:t>unbemerkt</w:t>
      </w:r>
      <w:r w:rsidRPr="00591512">
        <w:rPr>
          <w:rFonts w:ascii="Helvetica" w:hAnsi="Helvetica"/>
          <w:color w:val="000000" w:themeColor="text1"/>
          <w:sz w:val="20"/>
          <w:szCs w:val="20"/>
        </w:rPr>
        <w:t xml:space="preserve">. </w:t>
      </w:r>
    </w:p>
    <w:p w14:paraId="02C554F2" w14:textId="77777777" w:rsidR="00F050E9" w:rsidRPr="00591512" w:rsidRDefault="00F050E9" w:rsidP="00F050E9">
      <w:pPr>
        <w:spacing w:line="288" w:lineRule="auto"/>
        <w:ind w:right="1135"/>
        <w:rPr>
          <w:rFonts w:ascii="Helvetica" w:hAnsi="Helvetica"/>
          <w:color w:val="000000" w:themeColor="text1"/>
          <w:sz w:val="20"/>
          <w:szCs w:val="20"/>
        </w:rPr>
      </w:pPr>
    </w:p>
    <w:p w14:paraId="67588474"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 xml:space="preserve">Dateilose Bedrohungen nehmen zu und </w:t>
      </w:r>
      <w:r>
        <w:rPr>
          <w:rFonts w:ascii="Helvetica" w:hAnsi="Helvetica"/>
          <w:b/>
          <w:bCs/>
          <w:color w:val="000000" w:themeColor="text1"/>
          <w:sz w:val="20"/>
          <w:szCs w:val="20"/>
        </w:rPr>
        <w:t>agieren noch perfider</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In den ersten sechs Monaten des Jahres 2021 haben Malware-Erkennungen, die von Skripting-Engines wie </w:t>
      </w:r>
      <w:r w:rsidRPr="00591512">
        <w:rPr>
          <w:rFonts w:ascii="Helvetica" w:hAnsi="Helvetica"/>
          <w:color w:val="000000" w:themeColor="text1"/>
          <w:sz w:val="20"/>
          <w:szCs w:val="20"/>
        </w:rPr>
        <w:lastRenderedPageBreak/>
        <w:t xml:space="preserve">PowerShell ausgehen, bereits 80 </w:t>
      </w:r>
      <w:r>
        <w:rPr>
          <w:rFonts w:ascii="Helvetica" w:hAnsi="Helvetica"/>
          <w:color w:val="000000" w:themeColor="text1"/>
          <w:sz w:val="20"/>
          <w:szCs w:val="20"/>
        </w:rPr>
        <w:t>Prozent</w:t>
      </w:r>
      <w:r w:rsidRPr="00591512">
        <w:rPr>
          <w:rFonts w:ascii="Helvetica" w:hAnsi="Helvetica"/>
          <w:color w:val="000000" w:themeColor="text1"/>
          <w:sz w:val="20"/>
          <w:szCs w:val="20"/>
        </w:rPr>
        <w:t xml:space="preserve"> des gesamten Angriffsvolumens</w:t>
      </w:r>
      <w:r>
        <w:rPr>
          <w:rFonts w:ascii="Helvetica" w:hAnsi="Helvetica"/>
          <w:color w:val="000000" w:themeColor="text1"/>
          <w:sz w:val="20"/>
          <w:szCs w:val="20"/>
        </w:rPr>
        <w:t xml:space="preserve"> </w:t>
      </w:r>
      <w:r w:rsidRPr="00591512">
        <w:rPr>
          <w:rFonts w:ascii="Helvetica" w:hAnsi="Helvetica"/>
          <w:color w:val="000000" w:themeColor="text1"/>
          <w:sz w:val="20"/>
          <w:szCs w:val="20"/>
        </w:rPr>
        <w:t xml:space="preserve">des letzten Jahres </w:t>
      </w:r>
      <w:r>
        <w:rPr>
          <w:rFonts w:ascii="Helvetica" w:hAnsi="Helvetica"/>
          <w:color w:val="000000" w:themeColor="text1"/>
          <w:sz w:val="20"/>
          <w:szCs w:val="20"/>
        </w:rPr>
        <w:t>in dieser Kategorie ausgemacht. Das bedeutet nicht nur einen</w:t>
      </w:r>
      <w:r w:rsidRPr="00591512">
        <w:rPr>
          <w:rFonts w:ascii="Helvetica" w:hAnsi="Helvetica"/>
          <w:color w:val="000000" w:themeColor="text1"/>
          <w:sz w:val="20"/>
          <w:szCs w:val="20"/>
        </w:rPr>
        <w:t xml:space="preserve"> erheblichen Anstieg gegenüber dem Vorjahr</w:t>
      </w:r>
      <w:r>
        <w:rPr>
          <w:rFonts w:ascii="Helvetica" w:hAnsi="Helvetica"/>
          <w:color w:val="000000" w:themeColor="text1"/>
          <w:sz w:val="20"/>
          <w:szCs w:val="20"/>
        </w:rPr>
        <w:t>, sondern auch, dass sich b</w:t>
      </w:r>
      <w:r w:rsidRPr="00591512">
        <w:rPr>
          <w:rFonts w:ascii="Helvetica" w:hAnsi="Helvetica"/>
          <w:color w:val="000000" w:themeColor="text1"/>
          <w:sz w:val="20"/>
          <w:szCs w:val="20"/>
        </w:rPr>
        <w:t xml:space="preserve">ei der derzeitigen </w:t>
      </w:r>
      <w:r>
        <w:rPr>
          <w:rFonts w:ascii="Helvetica" w:hAnsi="Helvetica"/>
          <w:color w:val="000000" w:themeColor="text1"/>
          <w:sz w:val="20"/>
          <w:szCs w:val="20"/>
        </w:rPr>
        <w:t>Steigerungsrate</w:t>
      </w:r>
      <w:r w:rsidRPr="00591512">
        <w:rPr>
          <w:rFonts w:ascii="Helvetica" w:hAnsi="Helvetica"/>
          <w:color w:val="000000" w:themeColor="text1"/>
          <w:sz w:val="20"/>
          <w:szCs w:val="20"/>
        </w:rPr>
        <w:t xml:space="preserve"> das Volumen </w:t>
      </w:r>
      <w:r>
        <w:rPr>
          <w:rFonts w:ascii="Helvetica" w:hAnsi="Helvetica"/>
          <w:color w:val="000000" w:themeColor="text1"/>
          <w:sz w:val="20"/>
          <w:szCs w:val="20"/>
        </w:rPr>
        <w:t>im Vergleich zum</w:t>
      </w:r>
      <w:r w:rsidRPr="00591512">
        <w:rPr>
          <w:rFonts w:ascii="Helvetica" w:hAnsi="Helvetica"/>
          <w:color w:val="000000" w:themeColor="text1"/>
          <w:sz w:val="20"/>
          <w:szCs w:val="20"/>
        </w:rPr>
        <w:t xml:space="preserve"> Vorjahr </w:t>
      </w:r>
      <w:r>
        <w:rPr>
          <w:rFonts w:ascii="Helvetica" w:hAnsi="Helvetica"/>
          <w:color w:val="000000" w:themeColor="text1"/>
          <w:sz w:val="20"/>
          <w:szCs w:val="20"/>
        </w:rPr>
        <w:t xml:space="preserve">insgesamt </w:t>
      </w:r>
      <w:r w:rsidRPr="00591512">
        <w:rPr>
          <w:rFonts w:ascii="Helvetica" w:hAnsi="Helvetica"/>
          <w:color w:val="000000" w:themeColor="text1"/>
          <w:sz w:val="20"/>
          <w:szCs w:val="20"/>
        </w:rPr>
        <w:t>verdoppeln</w:t>
      </w:r>
      <w:r>
        <w:rPr>
          <w:rFonts w:ascii="Helvetica" w:hAnsi="Helvetica"/>
          <w:color w:val="000000" w:themeColor="text1"/>
          <w:sz w:val="20"/>
          <w:szCs w:val="20"/>
        </w:rPr>
        <w:t xml:space="preserve"> wird</w:t>
      </w:r>
      <w:r w:rsidRPr="00591512">
        <w:rPr>
          <w:rFonts w:ascii="Helvetica" w:hAnsi="Helvetica"/>
          <w:color w:val="000000" w:themeColor="text1"/>
          <w:sz w:val="20"/>
          <w:szCs w:val="20"/>
        </w:rPr>
        <w:t xml:space="preserve">. </w:t>
      </w:r>
    </w:p>
    <w:p w14:paraId="49DE4D5B" w14:textId="77777777" w:rsidR="00F050E9" w:rsidRPr="00591512" w:rsidRDefault="00F050E9" w:rsidP="00F050E9">
      <w:pPr>
        <w:spacing w:line="288" w:lineRule="auto"/>
        <w:ind w:right="1135"/>
        <w:rPr>
          <w:rFonts w:ascii="Helvetica" w:hAnsi="Helvetica"/>
          <w:color w:val="000000" w:themeColor="text1"/>
          <w:sz w:val="20"/>
          <w:szCs w:val="20"/>
        </w:rPr>
      </w:pPr>
    </w:p>
    <w:p w14:paraId="704A6629"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 xml:space="preserve">Netzwerkangriffe boomen trotz </w:t>
      </w:r>
      <w:r>
        <w:rPr>
          <w:rFonts w:ascii="Helvetica" w:hAnsi="Helvetica"/>
          <w:b/>
          <w:bCs/>
          <w:color w:val="000000" w:themeColor="text1"/>
          <w:sz w:val="20"/>
          <w:szCs w:val="20"/>
        </w:rPr>
        <w:t>zunehmend</w:t>
      </w:r>
      <w:r w:rsidRPr="00591512">
        <w:rPr>
          <w:rFonts w:ascii="Helvetica" w:hAnsi="Helvetica"/>
          <w:b/>
          <w:bCs/>
          <w:color w:val="000000" w:themeColor="text1"/>
          <w:sz w:val="20"/>
          <w:szCs w:val="20"/>
        </w:rPr>
        <w:t xml:space="preserve"> primär dezentral arbeitende</w:t>
      </w:r>
      <w:r>
        <w:rPr>
          <w:rFonts w:ascii="Helvetica" w:hAnsi="Helvetica"/>
          <w:b/>
          <w:bCs/>
          <w:color w:val="000000" w:themeColor="text1"/>
          <w:sz w:val="20"/>
          <w:szCs w:val="20"/>
        </w:rPr>
        <w:t>r</w:t>
      </w:r>
      <w:r w:rsidRPr="00591512">
        <w:rPr>
          <w:rFonts w:ascii="Helvetica" w:hAnsi="Helvetica"/>
          <w:b/>
          <w:bCs/>
          <w:color w:val="000000" w:themeColor="text1"/>
          <w:sz w:val="20"/>
          <w:szCs w:val="20"/>
        </w:rPr>
        <w:t xml:space="preserve"> Mitarbeiter</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WatchGuard-Appliances</w:t>
      </w:r>
      <w:r>
        <w:rPr>
          <w:rFonts w:ascii="Helvetica" w:hAnsi="Helvetica"/>
          <w:color w:val="000000" w:themeColor="text1"/>
          <w:sz w:val="20"/>
          <w:szCs w:val="20"/>
        </w:rPr>
        <w:t xml:space="preserve"> haben </w:t>
      </w:r>
      <w:r w:rsidRPr="00591512">
        <w:rPr>
          <w:rFonts w:ascii="Helvetica" w:hAnsi="Helvetica"/>
          <w:color w:val="000000" w:themeColor="text1"/>
          <w:sz w:val="20"/>
          <w:szCs w:val="20"/>
        </w:rPr>
        <w:t xml:space="preserve">im Vergleich zum Vorquartal 22 </w:t>
      </w:r>
      <w:r>
        <w:rPr>
          <w:rFonts w:ascii="Helvetica" w:hAnsi="Helvetica"/>
          <w:color w:val="000000" w:themeColor="text1"/>
          <w:sz w:val="20"/>
          <w:szCs w:val="20"/>
        </w:rPr>
        <w:t>Prozent</w:t>
      </w:r>
      <w:r w:rsidRPr="00591512">
        <w:rPr>
          <w:rFonts w:ascii="Helvetica" w:hAnsi="Helvetica"/>
          <w:color w:val="000000" w:themeColor="text1"/>
          <w:sz w:val="20"/>
          <w:szCs w:val="20"/>
        </w:rPr>
        <w:t xml:space="preserve"> </w:t>
      </w:r>
      <w:r>
        <w:rPr>
          <w:rFonts w:ascii="Helvetica" w:hAnsi="Helvetica"/>
          <w:color w:val="000000" w:themeColor="text1"/>
          <w:sz w:val="20"/>
          <w:szCs w:val="20"/>
        </w:rPr>
        <w:t xml:space="preserve">mehr </w:t>
      </w:r>
      <w:r w:rsidRPr="00591512">
        <w:rPr>
          <w:rFonts w:ascii="Helvetica" w:hAnsi="Helvetica"/>
          <w:color w:val="000000" w:themeColor="text1"/>
          <w:sz w:val="20"/>
          <w:szCs w:val="20"/>
        </w:rPr>
        <w:t>Netzwerkangriffe</w:t>
      </w:r>
      <w:r>
        <w:rPr>
          <w:rFonts w:ascii="Helvetica" w:hAnsi="Helvetica"/>
          <w:color w:val="000000" w:themeColor="text1"/>
          <w:sz w:val="20"/>
          <w:szCs w:val="20"/>
        </w:rPr>
        <w:t xml:space="preserve"> erkannt, die in der Summe das</w:t>
      </w:r>
      <w:r w:rsidRPr="00591512">
        <w:rPr>
          <w:rFonts w:ascii="Helvetica" w:hAnsi="Helvetica"/>
          <w:color w:val="000000" w:themeColor="text1"/>
          <w:sz w:val="20"/>
          <w:szCs w:val="20"/>
        </w:rPr>
        <w:t xml:space="preserve"> Volumen </w:t>
      </w:r>
      <w:r>
        <w:rPr>
          <w:rFonts w:ascii="Helvetica" w:hAnsi="Helvetica"/>
          <w:color w:val="000000" w:themeColor="text1"/>
          <w:sz w:val="20"/>
          <w:szCs w:val="20"/>
        </w:rPr>
        <w:t>von</w:t>
      </w:r>
      <w:r w:rsidRPr="00591512">
        <w:rPr>
          <w:rFonts w:ascii="Helvetica" w:hAnsi="Helvetica"/>
          <w:color w:val="000000" w:themeColor="text1"/>
          <w:sz w:val="20"/>
          <w:szCs w:val="20"/>
        </w:rPr>
        <w:t xml:space="preserve"> Anfang 2018 erreichten. </w:t>
      </w:r>
      <w:r>
        <w:rPr>
          <w:rFonts w:ascii="Helvetica" w:hAnsi="Helvetica"/>
          <w:color w:val="000000" w:themeColor="text1"/>
          <w:sz w:val="20"/>
          <w:szCs w:val="20"/>
        </w:rPr>
        <w:t>Von Januar bis März wurden insgesamt bereits</w:t>
      </w:r>
      <w:r w:rsidRPr="00591512">
        <w:rPr>
          <w:rFonts w:ascii="Helvetica" w:hAnsi="Helvetica"/>
          <w:color w:val="000000" w:themeColor="text1"/>
          <w:sz w:val="20"/>
          <w:szCs w:val="20"/>
        </w:rPr>
        <w:t xml:space="preserve"> 4,1 Millionen Netzwerkangriffe verzeichnet. Im darauffolgenden Quartal stieg diese Zahl </w:t>
      </w:r>
      <w:r>
        <w:rPr>
          <w:rFonts w:ascii="Helvetica" w:hAnsi="Helvetica"/>
          <w:color w:val="000000" w:themeColor="text1"/>
          <w:sz w:val="20"/>
          <w:szCs w:val="20"/>
        </w:rPr>
        <w:t xml:space="preserve">knapp </w:t>
      </w:r>
      <w:r w:rsidRPr="00591512">
        <w:rPr>
          <w:rFonts w:ascii="Helvetica" w:hAnsi="Helvetica"/>
          <w:color w:val="000000" w:themeColor="text1"/>
          <w:sz w:val="20"/>
          <w:szCs w:val="20"/>
        </w:rPr>
        <w:t>um eine weitere Million</w:t>
      </w:r>
      <w:r>
        <w:rPr>
          <w:rFonts w:ascii="Helvetica" w:hAnsi="Helvetica"/>
          <w:color w:val="000000" w:themeColor="text1"/>
          <w:sz w:val="20"/>
          <w:szCs w:val="20"/>
        </w:rPr>
        <w:t xml:space="preserve">. Der </w:t>
      </w:r>
      <w:r w:rsidRPr="00591512">
        <w:rPr>
          <w:rFonts w:ascii="Helvetica" w:hAnsi="Helvetica"/>
          <w:color w:val="000000" w:themeColor="text1"/>
          <w:sz w:val="20"/>
          <w:szCs w:val="20"/>
        </w:rPr>
        <w:t xml:space="preserve">aggressive </w:t>
      </w:r>
      <w:r>
        <w:rPr>
          <w:rFonts w:ascii="Helvetica" w:hAnsi="Helvetica"/>
          <w:color w:val="000000" w:themeColor="text1"/>
          <w:sz w:val="20"/>
          <w:szCs w:val="20"/>
        </w:rPr>
        <w:t>Anstieg unterstreicht, dass die Perimetersicherheit keinesfalls hinter dem benutzerorientierten Schutz zurückbleiben sollte</w:t>
      </w:r>
      <w:r w:rsidRPr="00591512">
        <w:rPr>
          <w:rFonts w:ascii="Helvetica" w:hAnsi="Helvetica"/>
          <w:color w:val="000000" w:themeColor="text1"/>
          <w:sz w:val="20"/>
          <w:szCs w:val="20"/>
        </w:rPr>
        <w:t>.</w:t>
      </w:r>
    </w:p>
    <w:p w14:paraId="713E2562" w14:textId="77777777" w:rsidR="00F050E9" w:rsidRPr="00591512" w:rsidRDefault="00F050E9" w:rsidP="00F050E9">
      <w:pPr>
        <w:spacing w:line="288" w:lineRule="auto"/>
        <w:ind w:right="1135"/>
        <w:rPr>
          <w:rFonts w:ascii="Helvetica" w:hAnsi="Helvetica"/>
          <w:color w:val="000000" w:themeColor="text1"/>
          <w:sz w:val="20"/>
          <w:szCs w:val="20"/>
        </w:rPr>
      </w:pPr>
    </w:p>
    <w:p w14:paraId="782D0F6B"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Ransomware-Angriffe kehren mit aller Macht zurück</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w:t>
      </w:r>
      <w:r>
        <w:rPr>
          <w:rFonts w:ascii="Helvetica" w:hAnsi="Helvetica"/>
          <w:color w:val="000000" w:themeColor="text1"/>
          <w:sz w:val="20"/>
          <w:szCs w:val="20"/>
        </w:rPr>
        <w:t>Nachdem</w:t>
      </w:r>
      <w:r w:rsidRPr="00591512">
        <w:rPr>
          <w:rFonts w:ascii="Helvetica" w:hAnsi="Helvetica"/>
          <w:color w:val="000000" w:themeColor="text1"/>
          <w:sz w:val="20"/>
          <w:szCs w:val="20"/>
        </w:rPr>
        <w:t xml:space="preserve"> die Gesamtzahl der Ransomware-Erkennungen </w:t>
      </w:r>
      <w:r>
        <w:rPr>
          <w:rFonts w:ascii="Helvetica" w:hAnsi="Helvetica"/>
          <w:color w:val="000000" w:themeColor="text1"/>
          <w:sz w:val="20"/>
          <w:szCs w:val="20"/>
        </w:rPr>
        <w:t>von</w:t>
      </w:r>
      <w:r w:rsidRPr="00591512">
        <w:rPr>
          <w:rFonts w:ascii="Helvetica" w:hAnsi="Helvetica"/>
          <w:color w:val="000000" w:themeColor="text1"/>
          <w:sz w:val="20"/>
          <w:szCs w:val="20"/>
        </w:rPr>
        <w:t xml:space="preserve"> 2018 bis 2020 rückläufig war, </w:t>
      </w:r>
      <w:r>
        <w:rPr>
          <w:rFonts w:ascii="Helvetica" w:hAnsi="Helvetica"/>
          <w:color w:val="000000" w:themeColor="text1"/>
          <w:sz w:val="20"/>
          <w:szCs w:val="20"/>
        </w:rPr>
        <w:t>kehrte sich</w:t>
      </w:r>
      <w:r w:rsidRPr="00591512">
        <w:rPr>
          <w:rFonts w:ascii="Helvetica" w:hAnsi="Helvetica"/>
          <w:color w:val="000000" w:themeColor="text1"/>
          <w:sz w:val="20"/>
          <w:szCs w:val="20"/>
        </w:rPr>
        <w:t xml:space="preserve"> dieser Trend in der ersten Jahreshälfte 2021</w:t>
      </w:r>
      <w:r>
        <w:rPr>
          <w:rFonts w:ascii="Helvetica" w:hAnsi="Helvetica"/>
          <w:color w:val="000000" w:themeColor="text1"/>
          <w:sz w:val="20"/>
          <w:szCs w:val="20"/>
        </w:rPr>
        <w:t xml:space="preserve"> um. In den ersten </w:t>
      </w:r>
      <w:r w:rsidRPr="00591512">
        <w:rPr>
          <w:rFonts w:ascii="Helvetica" w:hAnsi="Helvetica"/>
          <w:color w:val="000000" w:themeColor="text1"/>
          <w:sz w:val="20"/>
          <w:szCs w:val="20"/>
        </w:rPr>
        <w:t>sechs Monate</w:t>
      </w:r>
      <w:r>
        <w:rPr>
          <w:rFonts w:ascii="Helvetica" w:hAnsi="Helvetica"/>
          <w:color w:val="000000" w:themeColor="text1"/>
          <w:sz w:val="20"/>
          <w:szCs w:val="20"/>
        </w:rPr>
        <w:t>n lag die Summe</w:t>
      </w:r>
      <w:r w:rsidRPr="00591512">
        <w:rPr>
          <w:rFonts w:ascii="Helvetica" w:hAnsi="Helvetica"/>
          <w:color w:val="000000" w:themeColor="text1"/>
          <w:sz w:val="20"/>
          <w:szCs w:val="20"/>
        </w:rPr>
        <w:t xml:space="preserve"> nur knapp unter der Gesamtzahl des Jahres 2020. </w:t>
      </w:r>
      <w:r>
        <w:rPr>
          <w:rFonts w:ascii="Helvetica" w:hAnsi="Helvetica"/>
          <w:color w:val="000000" w:themeColor="text1"/>
          <w:sz w:val="20"/>
          <w:szCs w:val="20"/>
        </w:rPr>
        <w:t>Sollten</w:t>
      </w:r>
      <w:r w:rsidRPr="00591512">
        <w:rPr>
          <w:rFonts w:ascii="Helvetica" w:hAnsi="Helvetica"/>
          <w:color w:val="000000" w:themeColor="text1"/>
          <w:sz w:val="20"/>
          <w:szCs w:val="20"/>
        </w:rPr>
        <w:t xml:space="preserve"> die täglichen Ransomware-</w:t>
      </w:r>
      <w:r>
        <w:rPr>
          <w:rFonts w:ascii="Helvetica" w:hAnsi="Helvetica"/>
          <w:color w:val="000000" w:themeColor="text1"/>
          <w:sz w:val="20"/>
          <w:szCs w:val="20"/>
        </w:rPr>
        <w:t>Vorfälle</w:t>
      </w:r>
      <w:r w:rsidRPr="00591512">
        <w:rPr>
          <w:rFonts w:ascii="Helvetica" w:hAnsi="Helvetica"/>
          <w:color w:val="000000" w:themeColor="text1"/>
          <w:sz w:val="20"/>
          <w:szCs w:val="20"/>
        </w:rPr>
        <w:t xml:space="preserve"> für den Rest des Jahres </w:t>
      </w:r>
      <w:r>
        <w:rPr>
          <w:rFonts w:ascii="Helvetica" w:hAnsi="Helvetica"/>
          <w:color w:val="000000" w:themeColor="text1"/>
          <w:sz w:val="20"/>
          <w:szCs w:val="20"/>
        </w:rPr>
        <w:t>auf einem</w:t>
      </w:r>
      <w:r w:rsidRPr="00591512">
        <w:rPr>
          <w:rFonts w:ascii="Helvetica" w:hAnsi="Helvetica"/>
          <w:color w:val="000000" w:themeColor="text1"/>
          <w:sz w:val="20"/>
          <w:szCs w:val="20"/>
        </w:rPr>
        <w:t xml:space="preserve"> konstant</w:t>
      </w:r>
      <w:r>
        <w:rPr>
          <w:rFonts w:ascii="Helvetica" w:hAnsi="Helvetica"/>
          <w:color w:val="000000" w:themeColor="text1"/>
          <w:sz w:val="20"/>
          <w:szCs w:val="20"/>
        </w:rPr>
        <w:t>en Niveau</w:t>
      </w:r>
      <w:r w:rsidRPr="00591512">
        <w:rPr>
          <w:rFonts w:ascii="Helvetica" w:hAnsi="Helvetica"/>
          <w:color w:val="000000" w:themeColor="text1"/>
          <w:sz w:val="20"/>
          <w:szCs w:val="20"/>
        </w:rPr>
        <w:t xml:space="preserve"> bleiben, wird </w:t>
      </w:r>
      <w:r>
        <w:rPr>
          <w:rFonts w:ascii="Helvetica" w:hAnsi="Helvetica"/>
          <w:color w:val="000000" w:themeColor="text1"/>
          <w:sz w:val="20"/>
          <w:szCs w:val="20"/>
        </w:rPr>
        <w:t>die Steigerungsrate</w:t>
      </w:r>
      <w:r w:rsidRPr="00591512">
        <w:rPr>
          <w:rFonts w:ascii="Helvetica" w:hAnsi="Helvetica"/>
          <w:color w:val="000000" w:themeColor="text1"/>
          <w:sz w:val="20"/>
          <w:szCs w:val="20"/>
        </w:rPr>
        <w:t xml:space="preserve"> im Vergleich zu 2020 </w:t>
      </w:r>
      <w:r>
        <w:rPr>
          <w:rFonts w:ascii="Helvetica" w:hAnsi="Helvetica"/>
          <w:color w:val="000000" w:themeColor="text1"/>
          <w:sz w:val="20"/>
          <w:szCs w:val="20"/>
        </w:rPr>
        <w:t>über 150 Prozent betragen</w:t>
      </w:r>
      <w:r w:rsidRPr="00591512">
        <w:rPr>
          <w:rFonts w:ascii="Helvetica" w:hAnsi="Helvetica"/>
          <w:color w:val="000000" w:themeColor="text1"/>
          <w:sz w:val="20"/>
          <w:szCs w:val="20"/>
        </w:rPr>
        <w:t xml:space="preserve">. </w:t>
      </w:r>
    </w:p>
    <w:p w14:paraId="73B56E95" w14:textId="77777777" w:rsidR="00F050E9" w:rsidRPr="00591512" w:rsidRDefault="00F050E9" w:rsidP="00F050E9">
      <w:pPr>
        <w:spacing w:line="288" w:lineRule="auto"/>
        <w:ind w:right="1135"/>
        <w:rPr>
          <w:rFonts w:ascii="Helvetica" w:hAnsi="Helvetica"/>
          <w:color w:val="000000" w:themeColor="text1"/>
          <w:sz w:val="20"/>
          <w:szCs w:val="20"/>
        </w:rPr>
      </w:pPr>
    </w:p>
    <w:p w14:paraId="12604DEE" w14:textId="6FBF110D" w:rsidR="00F050E9" w:rsidRPr="00591512" w:rsidRDefault="00F050E9" w:rsidP="00F050E9">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Gro</w:t>
      </w:r>
      <w:r w:rsidR="00E750C2">
        <w:rPr>
          <w:rFonts w:ascii="Helvetica" w:hAnsi="Helvetica"/>
          <w:b/>
          <w:bCs/>
          <w:color w:val="000000" w:themeColor="text1"/>
          <w:sz w:val="20"/>
          <w:szCs w:val="20"/>
        </w:rPr>
        <w:t>ss</w:t>
      </w:r>
      <w:r>
        <w:rPr>
          <w:rFonts w:ascii="Helvetica" w:hAnsi="Helvetica"/>
          <w:b/>
          <w:bCs/>
          <w:color w:val="000000" w:themeColor="text1"/>
          <w:sz w:val="20"/>
          <w:szCs w:val="20"/>
        </w:rPr>
        <w:t>e Einzela</w:t>
      </w:r>
      <w:r w:rsidRPr="00591512">
        <w:rPr>
          <w:rFonts w:ascii="Helvetica" w:hAnsi="Helvetica"/>
          <w:b/>
          <w:bCs/>
          <w:color w:val="000000" w:themeColor="text1"/>
          <w:sz w:val="20"/>
          <w:szCs w:val="20"/>
        </w:rPr>
        <w:t xml:space="preserve">ngriffe </w:t>
      </w:r>
      <w:r>
        <w:rPr>
          <w:rFonts w:ascii="Helvetica" w:hAnsi="Helvetica"/>
          <w:b/>
          <w:bCs/>
          <w:color w:val="000000" w:themeColor="text1"/>
          <w:sz w:val="20"/>
          <w:szCs w:val="20"/>
        </w:rPr>
        <w:t>stellen breitangelegte Attacken</w:t>
      </w:r>
      <w:r w:rsidRPr="00591512">
        <w:rPr>
          <w:rFonts w:ascii="Helvetica" w:hAnsi="Helvetica"/>
          <w:b/>
          <w:bCs/>
          <w:color w:val="000000" w:themeColor="text1"/>
          <w:sz w:val="20"/>
          <w:szCs w:val="20"/>
        </w:rPr>
        <w:t xml:space="preserve"> in den Schatten</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Der Angriff auf </w:t>
      </w:r>
      <w:r>
        <w:rPr>
          <w:rFonts w:ascii="Helvetica" w:hAnsi="Helvetica"/>
          <w:color w:val="000000" w:themeColor="text1"/>
          <w:sz w:val="20"/>
          <w:szCs w:val="20"/>
        </w:rPr>
        <w:t xml:space="preserve">die </w:t>
      </w:r>
      <w:r w:rsidRPr="00591512">
        <w:rPr>
          <w:rFonts w:ascii="Helvetica" w:hAnsi="Helvetica"/>
          <w:color w:val="000000" w:themeColor="text1"/>
          <w:sz w:val="20"/>
          <w:szCs w:val="20"/>
        </w:rPr>
        <w:t>Colonial Pipeline am 7. Mai 2021 hat überdeutlich und erschreckend klar gemacht, dass Ransomware eine dauerhafte Bedrohung darstellt. Als wichtigste</w:t>
      </w:r>
      <w:r>
        <w:rPr>
          <w:rFonts w:ascii="Helvetica" w:hAnsi="Helvetica"/>
          <w:color w:val="000000" w:themeColor="text1"/>
          <w:sz w:val="20"/>
          <w:szCs w:val="20"/>
        </w:rPr>
        <w:t>s</w:t>
      </w:r>
      <w:r w:rsidRPr="00591512">
        <w:rPr>
          <w:rFonts w:ascii="Helvetica" w:hAnsi="Helvetica"/>
          <w:color w:val="000000" w:themeColor="text1"/>
          <w:sz w:val="20"/>
          <w:szCs w:val="20"/>
        </w:rPr>
        <w:t xml:space="preserve"> Sicherheits</w:t>
      </w:r>
      <w:r>
        <w:rPr>
          <w:rFonts w:ascii="Helvetica" w:hAnsi="Helvetica"/>
          <w:color w:val="000000" w:themeColor="text1"/>
          <w:sz w:val="20"/>
          <w:szCs w:val="20"/>
        </w:rPr>
        <w:t>ereignis</w:t>
      </w:r>
      <w:r w:rsidRPr="00591512">
        <w:rPr>
          <w:rFonts w:ascii="Helvetica" w:hAnsi="Helvetica"/>
          <w:color w:val="000000" w:themeColor="text1"/>
          <w:sz w:val="20"/>
          <w:szCs w:val="20"/>
        </w:rPr>
        <w:t xml:space="preserve"> des Quartals unterstreicht </w:t>
      </w:r>
      <w:r>
        <w:rPr>
          <w:rFonts w:ascii="Helvetica" w:hAnsi="Helvetica"/>
          <w:color w:val="000000" w:themeColor="text1"/>
          <w:sz w:val="20"/>
          <w:szCs w:val="20"/>
        </w:rPr>
        <w:t>der Fall Colonial</w:t>
      </w:r>
      <w:r w:rsidRPr="00591512">
        <w:rPr>
          <w:rFonts w:ascii="Helvetica" w:hAnsi="Helvetica"/>
          <w:color w:val="000000" w:themeColor="text1"/>
          <w:sz w:val="20"/>
          <w:szCs w:val="20"/>
        </w:rPr>
        <w:t xml:space="preserve">, dass Cyberkriminelle nicht nur die lebenswichtigsten </w:t>
      </w:r>
      <w:r>
        <w:rPr>
          <w:rFonts w:ascii="Helvetica" w:hAnsi="Helvetica"/>
          <w:color w:val="000000" w:themeColor="text1"/>
          <w:sz w:val="20"/>
          <w:szCs w:val="20"/>
        </w:rPr>
        <w:t>Bereiche</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wie Krankenhäuser, </w:t>
      </w:r>
      <w:r>
        <w:rPr>
          <w:rFonts w:ascii="Helvetica" w:hAnsi="Helvetica"/>
          <w:color w:val="000000" w:themeColor="text1"/>
          <w:sz w:val="20"/>
          <w:szCs w:val="20"/>
        </w:rPr>
        <w:t>Industrieanlagen</w:t>
      </w:r>
      <w:r w:rsidRPr="00591512">
        <w:rPr>
          <w:rFonts w:ascii="Helvetica" w:hAnsi="Helvetica"/>
          <w:color w:val="000000" w:themeColor="text1"/>
          <w:sz w:val="20"/>
          <w:szCs w:val="20"/>
        </w:rPr>
        <w:t xml:space="preserve"> und </w:t>
      </w:r>
      <w:r>
        <w:rPr>
          <w:rFonts w:ascii="Helvetica" w:hAnsi="Helvetica"/>
          <w:color w:val="000000" w:themeColor="text1"/>
          <w:sz w:val="20"/>
          <w:szCs w:val="20"/>
        </w:rPr>
        <w:t xml:space="preserve">kritische </w:t>
      </w:r>
      <w:r w:rsidRPr="00591512">
        <w:rPr>
          <w:rFonts w:ascii="Helvetica" w:hAnsi="Helvetica"/>
          <w:color w:val="000000" w:themeColor="text1"/>
          <w:sz w:val="20"/>
          <w:szCs w:val="20"/>
        </w:rPr>
        <w:t>Infrastruktur</w:t>
      </w:r>
      <w:r>
        <w:rPr>
          <w:rFonts w:ascii="Helvetica" w:hAnsi="Helvetica"/>
          <w:color w:val="000000" w:themeColor="text1"/>
          <w:sz w:val="20"/>
          <w:szCs w:val="20"/>
        </w:rPr>
        <w:t>en</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ins Fadenkreuz nehmen, sondern offenbar </w:t>
      </w:r>
      <w:r>
        <w:rPr>
          <w:rFonts w:ascii="Helvetica" w:hAnsi="Helvetica"/>
          <w:color w:val="000000" w:themeColor="text1"/>
          <w:sz w:val="20"/>
          <w:szCs w:val="20"/>
        </w:rPr>
        <w:t>ihre</w:t>
      </w:r>
      <w:r w:rsidRPr="00591512">
        <w:rPr>
          <w:rFonts w:ascii="Helvetica" w:hAnsi="Helvetica"/>
          <w:color w:val="000000" w:themeColor="text1"/>
          <w:sz w:val="20"/>
          <w:szCs w:val="20"/>
        </w:rPr>
        <w:t xml:space="preserve"> Angriffe auf diese hochwertigen Ziele</w:t>
      </w:r>
      <w:r>
        <w:rPr>
          <w:rFonts w:ascii="Helvetica" w:hAnsi="Helvetica"/>
          <w:color w:val="000000" w:themeColor="text1"/>
          <w:sz w:val="20"/>
          <w:szCs w:val="20"/>
        </w:rPr>
        <w:t xml:space="preserve"> zunehmend</w:t>
      </w:r>
      <w:r w:rsidRPr="00591512">
        <w:rPr>
          <w:rFonts w:ascii="Helvetica" w:hAnsi="Helvetica"/>
          <w:color w:val="000000" w:themeColor="text1"/>
          <w:sz w:val="20"/>
          <w:szCs w:val="20"/>
        </w:rPr>
        <w:t xml:space="preserve"> verstärken. Die </w:t>
      </w:r>
      <w:r>
        <w:rPr>
          <w:rFonts w:ascii="Helvetica" w:hAnsi="Helvetica"/>
          <w:color w:val="000000" w:themeColor="text1"/>
          <w:sz w:val="20"/>
          <w:szCs w:val="20"/>
        </w:rPr>
        <w:t>WatchGuard-A</w:t>
      </w:r>
      <w:r w:rsidRPr="00591512">
        <w:rPr>
          <w:rFonts w:ascii="Helvetica" w:hAnsi="Helvetica"/>
          <w:color w:val="000000" w:themeColor="text1"/>
          <w:sz w:val="20"/>
          <w:szCs w:val="20"/>
        </w:rPr>
        <w:t xml:space="preserve">nalyse </w:t>
      </w:r>
      <w:r>
        <w:rPr>
          <w:rFonts w:ascii="Helvetica" w:hAnsi="Helvetica"/>
          <w:color w:val="000000" w:themeColor="text1"/>
          <w:sz w:val="20"/>
          <w:szCs w:val="20"/>
        </w:rPr>
        <w:t>von Vorfällen wie diesem</w:t>
      </w:r>
      <w:r w:rsidRPr="00591512">
        <w:rPr>
          <w:rFonts w:ascii="Helvetica" w:hAnsi="Helvetica"/>
          <w:color w:val="000000" w:themeColor="text1"/>
          <w:sz w:val="20"/>
          <w:szCs w:val="20"/>
        </w:rPr>
        <w:t xml:space="preserve"> befasst sich mit den Auswirkungen, der Zukunft der Sicherheit kritischer Infrastrukturen und den Ma</w:t>
      </w:r>
      <w:r w:rsidR="00E750C2">
        <w:rPr>
          <w:rFonts w:ascii="Helvetica" w:hAnsi="Helvetica"/>
          <w:color w:val="000000" w:themeColor="text1"/>
          <w:sz w:val="20"/>
          <w:szCs w:val="20"/>
        </w:rPr>
        <w:t>ss</w:t>
      </w:r>
      <w:r w:rsidRPr="00591512">
        <w:rPr>
          <w:rFonts w:ascii="Helvetica" w:hAnsi="Helvetica"/>
          <w:color w:val="000000" w:themeColor="text1"/>
          <w:sz w:val="20"/>
          <w:szCs w:val="20"/>
        </w:rPr>
        <w:t xml:space="preserve">nahmen, die Unternehmen in jedem Sektor ergreifen können, um sich </w:t>
      </w:r>
      <w:r>
        <w:rPr>
          <w:rFonts w:ascii="Helvetica" w:hAnsi="Helvetica"/>
          <w:color w:val="000000" w:themeColor="text1"/>
          <w:sz w:val="20"/>
          <w:szCs w:val="20"/>
        </w:rPr>
        <w:t>da</w:t>
      </w:r>
      <w:r w:rsidRPr="00591512">
        <w:rPr>
          <w:rFonts w:ascii="Helvetica" w:hAnsi="Helvetica"/>
          <w:color w:val="000000" w:themeColor="text1"/>
          <w:sz w:val="20"/>
          <w:szCs w:val="20"/>
        </w:rPr>
        <w:t xml:space="preserve">gegen zu schützen und </w:t>
      </w:r>
      <w:r>
        <w:rPr>
          <w:rFonts w:ascii="Helvetica" w:hAnsi="Helvetica"/>
          <w:color w:val="000000" w:themeColor="text1"/>
          <w:sz w:val="20"/>
          <w:szCs w:val="20"/>
        </w:rPr>
        <w:t>eine</w:t>
      </w:r>
      <w:r w:rsidRPr="00591512">
        <w:rPr>
          <w:rFonts w:ascii="Helvetica" w:hAnsi="Helvetica"/>
          <w:color w:val="000000" w:themeColor="text1"/>
          <w:sz w:val="20"/>
          <w:szCs w:val="20"/>
        </w:rPr>
        <w:t xml:space="preserve"> Ausbreitung zu verlangsamen.</w:t>
      </w:r>
    </w:p>
    <w:p w14:paraId="139A6A6C" w14:textId="77777777" w:rsidR="00F050E9" w:rsidRPr="00591512" w:rsidRDefault="00F050E9" w:rsidP="00F050E9">
      <w:pPr>
        <w:spacing w:line="288" w:lineRule="auto"/>
        <w:ind w:right="1135"/>
        <w:rPr>
          <w:rFonts w:ascii="Helvetica" w:hAnsi="Helvetica"/>
          <w:color w:val="000000" w:themeColor="text1"/>
          <w:sz w:val="20"/>
          <w:szCs w:val="20"/>
        </w:rPr>
      </w:pPr>
    </w:p>
    <w:p w14:paraId="25F1653D"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 xml:space="preserve">Alte </w:t>
      </w:r>
      <w:r>
        <w:rPr>
          <w:rFonts w:ascii="Helvetica" w:hAnsi="Helvetica"/>
          <w:b/>
          <w:bCs/>
          <w:color w:val="000000" w:themeColor="text1"/>
          <w:sz w:val="20"/>
          <w:szCs w:val="20"/>
        </w:rPr>
        <w:t>Schwachstellen</w:t>
      </w:r>
      <w:r w:rsidRPr="00591512">
        <w:rPr>
          <w:rFonts w:ascii="Helvetica" w:hAnsi="Helvetica"/>
          <w:b/>
          <w:bCs/>
          <w:color w:val="000000" w:themeColor="text1"/>
          <w:sz w:val="20"/>
          <w:szCs w:val="20"/>
        </w:rPr>
        <w:t xml:space="preserve"> erweisen sich weiterhin als lohnende Ziele</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Abweichend von den üblichen ein bis zwei </w:t>
      </w:r>
      <w:r>
        <w:rPr>
          <w:rFonts w:ascii="Helvetica" w:hAnsi="Helvetica"/>
          <w:color w:val="000000" w:themeColor="text1"/>
          <w:sz w:val="20"/>
          <w:szCs w:val="20"/>
        </w:rPr>
        <w:t>Neuzugängen</w:t>
      </w:r>
      <w:r w:rsidRPr="00591512">
        <w:rPr>
          <w:rFonts w:ascii="Helvetica" w:hAnsi="Helvetica"/>
          <w:color w:val="000000" w:themeColor="text1"/>
          <w:sz w:val="20"/>
          <w:szCs w:val="20"/>
        </w:rPr>
        <w:t xml:space="preserve"> </w:t>
      </w:r>
      <w:r>
        <w:rPr>
          <w:rFonts w:ascii="Helvetica" w:hAnsi="Helvetica"/>
          <w:color w:val="000000" w:themeColor="text1"/>
          <w:sz w:val="20"/>
          <w:szCs w:val="20"/>
        </w:rPr>
        <w:t>pro Quartal</w:t>
      </w:r>
      <w:r w:rsidRPr="00591512">
        <w:rPr>
          <w:rFonts w:ascii="Helvetica" w:hAnsi="Helvetica"/>
          <w:color w:val="000000" w:themeColor="text1"/>
          <w:sz w:val="20"/>
          <w:szCs w:val="20"/>
        </w:rPr>
        <w:t xml:space="preserve"> gab es i</w:t>
      </w:r>
      <w:r>
        <w:rPr>
          <w:rFonts w:ascii="Helvetica" w:hAnsi="Helvetica"/>
          <w:color w:val="000000" w:themeColor="text1"/>
          <w:sz w:val="20"/>
          <w:szCs w:val="20"/>
        </w:rPr>
        <w:t>n Q2</w:t>
      </w:r>
      <w:r w:rsidRPr="00591512">
        <w:rPr>
          <w:rFonts w:ascii="Helvetica" w:hAnsi="Helvetica"/>
          <w:color w:val="000000" w:themeColor="text1"/>
          <w:sz w:val="20"/>
          <w:szCs w:val="20"/>
        </w:rPr>
        <w:t xml:space="preserve"> </w:t>
      </w:r>
      <w:r>
        <w:rPr>
          <w:rFonts w:ascii="Helvetica" w:hAnsi="Helvetica"/>
          <w:color w:val="000000" w:themeColor="text1"/>
          <w:sz w:val="20"/>
          <w:szCs w:val="20"/>
        </w:rPr>
        <w:t xml:space="preserve">gleich </w:t>
      </w:r>
      <w:r w:rsidRPr="00591512">
        <w:rPr>
          <w:rFonts w:ascii="Helvetica" w:hAnsi="Helvetica"/>
          <w:color w:val="000000" w:themeColor="text1"/>
          <w:sz w:val="20"/>
          <w:szCs w:val="20"/>
        </w:rPr>
        <w:t xml:space="preserve">vier </w:t>
      </w:r>
      <w:r>
        <w:rPr>
          <w:rFonts w:ascii="Helvetica" w:hAnsi="Helvetica"/>
          <w:color w:val="000000" w:themeColor="text1"/>
          <w:sz w:val="20"/>
          <w:szCs w:val="20"/>
        </w:rPr>
        <w:t>bis dato unbekannte Signaturen</w:t>
      </w:r>
      <w:r w:rsidRPr="00591512">
        <w:rPr>
          <w:rFonts w:ascii="Helvetica" w:hAnsi="Helvetica"/>
          <w:color w:val="000000" w:themeColor="text1"/>
          <w:sz w:val="20"/>
          <w:szCs w:val="20"/>
        </w:rPr>
        <w:t xml:space="preserve"> unter den Top-10-Netzwerkangriffen. </w:t>
      </w:r>
      <w:r>
        <w:rPr>
          <w:rFonts w:ascii="Helvetica" w:hAnsi="Helvetica"/>
          <w:color w:val="000000" w:themeColor="text1"/>
          <w:sz w:val="20"/>
          <w:szCs w:val="20"/>
        </w:rPr>
        <w:t>Die</w:t>
      </w:r>
      <w:r w:rsidRPr="00591512">
        <w:rPr>
          <w:rFonts w:ascii="Helvetica" w:hAnsi="Helvetica"/>
          <w:color w:val="000000" w:themeColor="text1"/>
          <w:sz w:val="20"/>
          <w:szCs w:val="20"/>
        </w:rPr>
        <w:t xml:space="preserve"> jüngste </w:t>
      </w:r>
      <w:r>
        <w:rPr>
          <w:rFonts w:ascii="Helvetica" w:hAnsi="Helvetica"/>
          <w:color w:val="000000" w:themeColor="text1"/>
          <w:sz w:val="20"/>
          <w:szCs w:val="20"/>
        </w:rPr>
        <w:t>zielt auf</w:t>
      </w:r>
      <w:r w:rsidRPr="00591512">
        <w:rPr>
          <w:rFonts w:ascii="Helvetica" w:hAnsi="Helvetica"/>
          <w:color w:val="000000" w:themeColor="text1"/>
          <w:sz w:val="20"/>
          <w:szCs w:val="20"/>
        </w:rPr>
        <w:t xml:space="preserve"> eine Sicherheitslücke in der beliebten Web-Skriptsprache PHP aus dem Jahr 2020</w:t>
      </w:r>
      <w:r>
        <w:rPr>
          <w:rFonts w:ascii="Helvetica" w:hAnsi="Helvetica"/>
          <w:color w:val="000000" w:themeColor="text1"/>
          <w:sz w:val="20"/>
          <w:szCs w:val="20"/>
        </w:rPr>
        <w:t xml:space="preserve"> ab</w:t>
      </w:r>
      <w:r w:rsidRPr="00591512">
        <w:rPr>
          <w:rFonts w:ascii="Helvetica" w:hAnsi="Helvetica"/>
          <w:color w:val="000000" w:themeColor="text1"/>
          <w:sz w:val="20"/>
          <w:szCs w:val="20"/>
        </w:rPr>
        <w:t xml:space="preserve">, die anderen drei </w:t>
      </w:r>
      <w:r>
        <w:rPr>
          <w:rFonts w:ascii="Helvetica" w:hAnsi="Helvetica"/>
          <w:color w:val="000000" w:themeColor="text1"/>
          <w:sz w:val="20"/>
          <w:szCs w:val="20"/>
        </w:rPr>
        <w:t>betreffen noch deutlich ältere Schwachstellen</w:t>
      </w:r>
      <w:r w:rsidRPr="00591512">
        <w:rPr>
          <w:rFonts w:ascii="Helvetica" w:hAnsi="Helvetica"/>
          <w:color w:val="000000" w:themeColor="text1"/>
          <w:sz w:val="20"/>
          <w:szCs w:val="20"/>
        </w:rPr>
        <w:t>. Dazu gehören eine Oracle GlassFish Server-</w:t>
      </w:r>
      <w:r>
        <w:rPr>
          <w:rFonts w:ascii="Helvetica" w:hAnsi="Helvetica"/>
          <w:color w:val="000000" w:themeColor="text1"/>
          <w:sz w:val="20"/>
          <w:szCs w:val="20"/>
        </w:rPr>
        <w:t>Lücke</w:t>
      </w:r>
      <w:r w:rsidRPr="00591512">
        <w:rPr>
          <w:rFonts w:ascii="Helvetica" w:hAnsi="Helvetica"/>
          <w:color w:val="000000" w:themeColor="text1"/>
          <w:sz w:val="20"/>
          <w:szCs w:val="20"/>
        </w:rPr>
        <w:t xml:space="preserve"> aus dem Jahr 20</w:t>
      </w:r>
      <w:r>
        <w:rPr>
          <w:rFonts w:ascii="Helvetica" w:hAnsi="Helvetica"/>
          <w:color w:val="000000" w:themeColor="text1"/>
          <w:sz w:val="20"/>
          <w:szCs w:val="20"/>
        </w:rPr>
        <w:t>11</w:t>
      </w:r>
      <w:r w:rsidRPr="00591512">
        <w:rPr>
          <w:rFonts w:ascii="Helvetica" w:hAnsi="Helvetica"/>
          <w:color w:val="000000" w:themeColor="text1"/>
          <w:sz w:val="20"/>
          <w:szCs w:val="20"/>
        </w:rPr>
        <w:t xml:space="preserve">, eine SQL-Injection-Schwachstelle in der Krankenaktenanwendung OpenEMR aus dem Jahr 2013 und eine </w:t>
      </w:r>
      <w:r>
        <w:rPr>
          <w:rFonts w:ascii="Helvetica" w:hAnsi="Helvetica"/>
          <w:color w:val="000000" w:themeColor="text1"/>
          <w:sz w:val="20"/>
          <w:szCs w:val="20"/>
        </w:rPr>
        <w:t xml:space="preserve">offene Flanke im Rahmen der </w:t>
      </w:r>
      <w:r w:rsidRPr="00591512">
        <w:rPr>
          <w:rFonts w:ascii="Helvetica" w:hAnsi="Helvetica"/>
          <w:color w:val="000000" w:themeColor="text1"/>
          <w:sz w:val="20"/>
          <w:szCs w:val="20"/>
        </w:rPr>
        <w:t xml:space="preserve">RCE (Remote Code Execution) in Microsoft Edge aus dem Jahr 2017. All diese Schwachstellen sind zwar veraltet, stellen aber </w:t>
      </w:r>
      <w:r>
        <w:rPr>
          <w:rFonts w:ascii="Helvetica" w:hAnsi="Helvetica"/>
          <w:color w:val="000000" w:themeColor="text1"/>
          <w:sz w:val="20"/>
          <w:szCs w:val="20"/>
        </w:rPr>
        <w:t>bis zur Behebung nach wie vor</w:t>
      </w:r>
      <w:r w:rsidRPr="00591512">
        <w:rPr>
          <w:rFonts w:ascii="Helvetica" w:hAnsi="Helvetica"/>
          <w:color w:val="000000" w:themeColor="text1"/>
          <w:sz w:val="20"/>
          <w:szCs w:val="20"/>
        </w:rPr>
        <w:t xml:space="preserve"> ein Risiko dar.</w:t>
      </w:r>
    </w:p>
    <w:p w14:paraId="38C58AE2" w14:textId="77777777" w:rsidR="00F050E9" w:rsidRPr="00591512" w:rsidRDefault="00F050E9" w:rsidP="00F050E9">
      <w:pPr>
        <w:spacing w:line="288" w:lineRule="auto"/>
        <w:ind w:right="1135"/>
        <w:rPr>
          <w:rFonts w:ascii="Helvetica" w:hAnsi="Helvetica"/>
          <w:color w:val="000000" w:themeColor="text1"/>
          <w:sz w:val="20"/>
          <w:szCs w:val="20"/>
        </w:rPr>
      </w:pPr>
    </w:p>
    <w:p w14:paraId="0D6DE303" w14:textId="116D9E03"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Microsoft Office-basierte Bedrohungen erfreuen sich nach wie vor gro</w:t>
      </w:r>
      <w:r w:rsidR="00694F9A">
        <w:rPr>
          <w:rFonts w:ascii="Helvetica" w:hAnsi="Helvetica"/>
          <w:b/>
          <w:bCs/>
          <w:color w:val="000000" w:themeColor="text1"/>
          <w:sz w:val="20"/>
          <w:szCs w:val="20"/>
        </w:rPr>
        <w:t>ss</w:t>
      </w:r>
      <w:r w:rsidRPr="00591512">
        <w:rPr>
          <w:rFonts w:ascii="Helvetica" w:hAnsi="Helvetica"/>
          <w:b/>
          <w:bCs/>
          <w:color w:val="000000" w:themeColor="text1"/>
          <w:sz w:val="20"/>
          <w:szCs w:val="20"/>
        </w:rPr>
        <w:t>er Beliebtheit</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w:t>
      </w:r>
      <w:r>
        <w:rPr>
          <w:rFonts w:ascii="Helvetica" w:hAnsi="Helvetica"/>
          <w:color w:val="000000" w:themeColor="text1"/>
          <w:sz w:val="20"/>
          <w:szCs w:val="20"/>
        </w:rPr>
        <w:t>I</w:t>
      </w:r>
      <w:r w:rsidRPr="00591512">
        <w:rPr>
          <w:rFonts w:ascii="Helvetica" w:hAnsi="Helvetica"/>
          <w:color w:val="000000" w:themeColor="text1"/>
          <w:sz w:val="20"/>
          <w:szCs w:val="20"/>
        </w:rPr>
        <w:t xml:space="preserve">m zweiten Quartal gab es einen Neuzugang in der Liste der 10 am weitesten verbreiteten Netzwerkangriffe, der sich erstmals ganz oben </w:t>
      </w:r>
      <w:r>
        <w:rPr>
          <w:rFonts w:ascii="Helvetica" w:hAnsi="Helvetica"/>
          <w:color w:val="000000" w:themeColor="text1"/>
          <w:sz w:val="20"/>
          <w:szCs w:val="20"/>
        </w:rPr>
        <w:t>positionieren konnte</w:t>
      </w:r>
      <w:r w:rsidRPr="00591512">
        <w:rPr>
          <w:rFonts w:ascii="Helvetica" w:hAnsi="Helvetica"/>
          <w:color w:val="000000" w:themeColor="text1"/>
          <w:sz w:val="20"/>
          <w:szCs w:val="20"/>
        </w:rPr>
        <w:t xml:space="preserve">. Bei der Signatur 1133630 handelt es sich um die oben erwähnte RCE-Schwachstelle von 2017, die Microsoft-Browser betrifft. Obwohl es sich um einen alten </w:t>
      </w:r>
      <w:r w:rsidRPr="00591512">
        <w:rPr>
          <w:rFonts w:ascii="Helvetica" w:hAnsi="Helvetica"/>
          <w:color w:val="000000" w:themeColor="text1"/>
          <w:sz w:val="20"/>
          <w:szCs w:val="20"/>
        </w:rPr>
        <w:lastRenderedPageBreak/>
        <w:t xml:space="preserve">Exploit handelt und die meisten Systeme (hoffentlich) gepatcht sind, droht denjenigen, die </w:t>
      </w:r>
      <w:r>
        <w:rPr>
          <w:rFonts w:ascii="Helvetica" w:hAnsi="Helvetica"/>
          <w:color w:val="000000" w:themeColor="text1"/>
          <w:sz w:val="20"/>
          <w:szCs w:val="20"/>
        </w:rPr>
        <w:t>das Update noch nicht eingespielt haben</w:t>
      </w:r>
      <w:r w:rsidRPr="00591512">
        <w:rPr>
          <w:rFonts w:ascii="Helvetica" w:hAnsi="Helvetica"/>
          <w:color w:val="000000" w:themeColor="text1"/>
          <w:sz w:val="20"/>
          <w:szCs w:val="20"/>
        </w:rPr>
        <w:t xml:space="preserve">, ein böses Erwachen, </w:t>
      </w:r>
      <w:r>
        <w:rPr>
          <w:rFonts w:ascii="Helvetica" w:hAnsi="Helvetica"/>
          <w:color w:val="000000" w:themeColor="text1"/>
          <w:sz w:val="20"/>
          <w:szCs w:val="20"/>
        </w:rPr>
        <w:t>sollte der</w:t>
      </w:r>
      <w:r w:rsidRPr="00591512">
        <w:rPr>
          <w:rFonts w:ascii="Helvetica" w:hAnsi="Helvetica"/>
          <w:color w:val="000000" w:themeColor="text1"/>
          <w:sz w:val="20"/>
          <w:szCs w:val="20"/>
        </w:rPr>
        <w:t xml:space="preserve"> Angreifer die Schwachstelle vor ihnen finden. Eine sehr ähnliche,</w:t>
      </w:r>
      <w:r>
        <w:rPr>
          <w:rFonts w:ascii="Helvetica" w:hAnsi="Helvetica"/>
          <w:color w:val="000000" w:themeColor="text1"/>
          <w:sz w:val="20"/>
          <w:szCs w:val="20"/>
        </w:rPr>
        <w:t xml:space="preserve"> ebenfalls</w:t>
      </w:r>
      <w:r w:rsidRPr="00591512">
        <w:rPr>
          <w:rFonts w:ascii="Helvetica" w:hAnsi="Helvetica"/>
          <w:color w:val="000000" w:themeColor="text1"/>
          <w:sz w:val="20"/>
          <w:szCs w:val="20"/>
        </w:rPr>
        <w:t xml:space="preserve"> hochgradig gefährliche RCE-Sicherheitslücke, die als CVE-2021-40444 </w:t>
      </w:r>
      <w:r>
        <w:rPr>
          <w:rFonts w:ascii="Helvetica" w:hAnsi="Helvetica"/>
          <w:color w:val="000000" w:themeColor="text1"/>
          <w:sz w:val="20"/>
          <w:szCs w:val="20"/>
        </w:rPr>
        <w:t>bekannt ist</w:t>
      </w:r>
      <w:r w:rsidRPr="00591512">
        <w:rPr>
          <w:rFonts w:ascii="Helvetica" w:hAnsi="Helvetica"/>
          <w:color w:val="000000" w:themeColor="text1"/>
          <w:sz w:val="20"/>
          <w:szCs w:val="20"/>
        </w:rPr>
        <w:t xml:space="preserve">, sorgte Anfang </w:t>
      </w:r>
      <w:r>
        <w:rPr>
          <w:rFonts w:ascii="Helvetica" w:hAnsi="Helvetica"/>
          <w:color w:val="000000" w:themeColor="text1"/>
          <w:sz w:val="20"/>
          <w:szCs w:val="20"/>
        </w:rPr>
        <w:t>September</w:t>
      </w:r>
      <w:r w:rsidRPr="00591512">
        <w:rPr>
          <w:rFonts w:ascii="Helvetica" w:hAnsi="Helvetica"/>
          <w:color w:val="000000" w:themeColor="text1"/>
          <w:sz w:val="20"/>
          <w:szCs w:val="20"/>
        </w:rPr>
        <w:t xml:space="preserve"> für Schlagzeilen, als sie aktiv in gezielten Angriffen gegen Microsoft Office und Office 365 auf Windows 10-Computern ausgenutzt wurde. Office-basierte Bedrohungen</w:t>
      </w:r>
      <w:r>
        <w:rPr>
          <w:rFonts w:ascii="Helvetica" w:hAnsi="Helvetica"/>
          <w:color w:val="000000" w:themeColor="text1"/>
          <w:sz w:val="20"/>
          <w:szCs w:val="20"/>
        </w:rPr>
        <w:t xml:space="preserve"> via Malware</w:t>
      </w:r>
      <w:r w:rsidRPr="00591512">
        <w:rPr>
          <w:rFonts w:ascii="Helvetica" w:hAnsi="Helvetica"/>
          <w:color w:val="000000" w:themeColor="text1"/>
          <w:sz w:val="20"/>
          <w:szCs w:val="20"/>
        </w:rPr>
        <w:t xml:space="preserve"> sind nach wie vor sehr beliebt, weshalb </w:t>
      </w:r>
      <w:r>
        <w:rPr>
          <w:rFonts w:ascii="Helvetica" w:hAnsi="Helvetica"/>
          <w:color w:val="000000" w:themeColor="text1"/>
          <w:sz w:val="20"/>
          <w:szCs w:val="20"/>
        </w:rPr>
        <w:t>WatchGuard</w:t>
      </w:r>
      <w:r w:rsidRPr="00591512">
        <w:rPr>
          <w:rFonts w:ascii="Helvetica" w:hAnsi="Helvetica"/>
          <w:color w:val="000000" w:themeColor="text1"/>
          <w:sz w:val="20"/>
          <w:szCs w:val="20"/>
        </w:rPr>
        <w:t xml:space="preserve"> diese Angriff</w:t>
      </w:r>
      <w:r>
        <w:rPr>
          <w:rFonts w:ascii="Helvetica" w:hAnsi="Helvetica"/>
          <w:color w:val="000000" w:themeColor="text1"/>
          <w:sz w:val="20"/>
          <w:szCs w:val="20"/>
        </w:rPr>
        <w:t>sarten</w:t>
      </w:r>
      <w:r w:rsidRPr="00591512">
        <w:rPr>
          <w:rFonts w:ascii="Helvetica" w:hAnsi="Helvetica"/>
          <w:color w:val="000000" w:themeColor="text1"/>
          <w:sz w:val="20"/>
          <w:szCs w:val="20"/>
        </w:rPr>
        <w:t xml:space="preserve"> immer noch in freier Wildbahn entdeck</w:t>
      </w:r>
      <w:r>
        <w:rPr>
          <w:rFonts w:ascii="Helvetica" w:hAnsi="Helvetica"/>
          <w:color w:val="000000" w:themeColor="text1"/>
          <w:sz w:val="20"/>
          <w:szCs w:val="20"/>
        </w:rPr>
        <w:t>t</w:t>
      </w:r>
      <w:r w:rsidRPr="00591512">
        <w:rPr>
          <w:rFonts w:ascii="Helvetica" w:hAnsi="Helvetica"/>
          <w:color w:val="000000" w:themeColor="text1"/>
          <w:sz w:val="20"/>
          <w:szCs w:val="20"/>
        </w:rPr>
        <w:t>. Glücklicherweise werden sie von bewährten IPS-Schutzma</w:t>
      </w:r>
      <w:r w:rsidR="00886E53">
        <w:rPr>
          <w:rFonts w:ascii="Helvetica" w:hAnsi="Helvetica"/>
          <w:color w:val="000000" w:themeColor="text1"/>
          <w:sz w:val="20"/>
          <w:szCs w:val="20"/>
        </w:rPr>
        <w:t>ss</w:t>
      </w:r>
      <w:r w:rsidRPr="00591512">
        <w:rPr>
          <w:rFonts w:ascii="Helvetica" w:hAnsi="Helvetica"/>
          <w:color w:val="000000" w:themeColor="text1"/>
          <w:sz w:val="20"/>
          <w:szCs w:val="20"/>
        </w:rPr>
        <w:t>nahmen erkannt</w:t>
      </w:r>
      <w:r>
        <w:rPr>
          <w:rFonts w:ascii="Helvetica" w:hAnsi="Helvetica"/>
          <w:color w:val="000000" w:themeColor="text1"/>
          <w:sz w:val="20"/>
          <w:szCs w:val="20"/>
        </w:rPr>
        <w:t>.</w:t>
      </w:r>
    </w:p>
    <w:p w14:paraId="4BAA9493" w14:textId="77777777" w:rsidR="00F050E9" w:rsidRPr="00591512" w:rsidRDefault="00F050E9" w:rsidP="00F050E9">
      <w:pPr>
        <w:spacing w:line="288" w:lineRule="auto"/>
        <w:ind w:right="1135"/>
        <w:rPr>
          <w:rFonts w:ascii="Helvetica" w:hAnsi="Helvetica"/>
          <w:color w:val="000000" w:themeColor="text1"/>
          <w:sz w:val="20"/>
          <w:szCs w:val="20"/>
        </w:rPr>
      </w:pPr>
    </w:p>
    <w:p w14:paraId="6A12A4DD" w14:textId="77777777" w:rsidR="00F050E9" w:rsidRPr="00591512" w:rsidRDefault="00F050E9" w:rsidP="00F050E9">
      <w:pPr>
        <w:spacing w:line="288" w:lineRule="auto"/>
        <w:ind w:right="1135"/>
        <w:rPr>
          <w:rFonts w:ascii="Helvetica" w:hAnsi="Helvetica"/>
          <w:color w:val="000000" w:themeColor="text1"/>
          <w:sz w:val="20"/>
          <w:szCs w:val="20"/>
        </w:rPr>
      </w:pPr>
      <w:r w:rsidRPr="00591512">
        <w:rPr>
          <w:rFonts w:ascii="Helvetica" w:hAnsi="Helvetica"/>
          <w:b/>
          <w:bCs/>
          <w:color w:val="000000" w:themeColor="text1"/>
          <w:sz w:val="20"/>
          <w:szCs w:val="20"/>
        </w:rPr>
        <w:t>Phishing-Domains geben sich als legitime</w:t>
      </w:r>
      <w:r>
        <w:rPr>
          <w:rFonts w:ascii="Helvetica" w:hAnsi="Helvetica"/>
          <w:b/>
          <w:bCs/>
          <w:color w:val="000000" w:themeColor="text1"/>
          <w:sz w:val="20"/>
          <w:szCs w:val="20"/>
        </w:rPr>
        <w:t xml:space="preserve"> </w:t>
      </w:r>
      <w:r w:rsidRPr="00591512">
        <w:rPr>
          <w:rFonts w:ascii="Helvetica" w:hAnsi="Helvetica"/>
          <w:b/>
          <w:bCs/>
          <w:color w:val="000000" w:themeColor="text1"/>
          <w:sz w:val="20"/>
          <w:szCs w:val="20"/>
        </w:rPr>
        <w:t>Domains aus</w:t>
      </w:r>
      <w:r w:rsidRPr="00591512">
        <w:rPr>
          <w:rFonts w:ascii="Helvetica" w:hAnsi="Helvetica"/>
          <w:color w:val="000000" w:themeColor="text1"/>
          <w:sz w:val="20"/>
          <w:szCs w:val="20"/>
        </w:rPr>
        <w:t xml:space="preserve"> </w:t>
      </w:r>
      <w:r>
        <w:rPr>
          <w:rFonts w:ascii="Helvetica" w:hAnsi="Helvetica"/>
          <w:color w:val="000000" w:themeColor="text1"/>
          <w:sz w:val="20"/>
          <w:szCs w:val="20"/>
        </w:rPr>
        <w:t>–</w:t>
      </w:r>
      <w:r w:rsidRPr="00591512">
        <w:rPr>
          <w:rFonts w:ascii="Helvetica" w:hAnsi="Helvetica"/>
          <w:color w:val="000000" w:themeColor="text1"/>
          <w:sz w:val="20"/>
          <w:szCs w:val="20"/>
        </w:rPr>
        <w:t xml:space="preserve"> WatchGuard hat in letzter Zeit eine Zunahme von Malware beobachtet, die auf Microsoft Exchange-Server und </w:t>
      </w:r>
      <w:r>
        <w:rPr>
          <w:rFonts w:ascii="Helvetica" w:hAnsi="Helvetica"/>
          <w:color w:val="000000" w:themeColor="text1"/>
          <w:sz w:val="20"/>
          <w:szCs w:val="20"/>
        </w:rPr>
        <w:t xml:space="preserve">–ganz </w:t>
      </w:r>
      <w:r w:rsidRPr="00591512">
        <w:rPr>
          <w:rFonts w:ascii="Helvetica" w:hAnsi="Helvetica"/>
          <w:color w:val="000000" w:themeColor="text1"/>
          <w:sz w:val="20"/>
          <w:szCs w:val="20"/>
        </w:rPr>
        <w:t>allgemein</w:t>
      </w:r>
      <w:r>
        <w:rPr>
          <w:rFonts w:ascii="Helvetica" w:hAnsi="Helvetica"/>
          <w:color w:val="000000" w:themeColor="text1"/>
          <w:sz w:val="20"/>
          <w:szCs w:val="20"/>
        </w:rPr>
        <w:t xml:space="preserve"> –</w:t>
      </w:r>
      <w:r w:rsidRPr="00591512">
        <w:rPr>
          <w:rFonts w:ascii="Helvetica" w:hAnsi="Helvetica"/>
          <w:color w:val="000000" w:themeColor="text1"/>
          <w:sz w:val="20"/>
          <w:szCs w:val="20"/>
        </w:rPr>
        <w:t xml:space="preserve"> E-Mail-Benutzer abzielt, um Remote-Access-Trojaner (RAT) an hochsensiblen Orten herunterzuladen. Dies ist höchstwahrscheinlich darauf zurückzuführen, dass das 2. Quartal das zweite Quartal in Folge war, in dem Remote-Mitarbeiter entweder in hybride Büros und akademische Umgebungen zurückkehrten oder sich wieder wie gewohnt </w:t>
      </w:r>
      <w:r>
        <w:rPr>
          <w:rFonts w:ascii="Helvetica" w:hAnsi="Helvetica"/>
          <w:color w:val="000000" w:themeColor="text1"/>
          <w:sz w:val="20"/>
          <w:szCs w:val="20"/>
        </w:rPr>
        <w:t>im Unternehmen befanden</w:t>
      </w:r>
      <w:r w:rsidRPr="00591512">
        <w:rPr>
          <w:rFonts w:ascii="Helvetica" w:hAnsi="Helvetica"/>
          <w:color w:val="000000" w:themeColor="text1"/>
          <w:sz w:val="20"/>
          <w:szCs w:val="20"/>
        </w:rPr>
        <w:t xml:space="preserve">. In jedem Fall </w:t>
      </w:r>
      <w:r>
        <w:rPr>
          <w:rFonts w:ascii="Helvetica" w:hAnsi="Helvetica"/>
          <w:color w:val="000000" w:themeColor="text1"/>
          <w:sz w:val="20"/>
          <w:szCs w:val="20"/>
        </w:rPr>
        <w:t>–</w:t>
      </w:r>
      <w:r w:rsidRPr="00591512">
        <w:rPr>
          <w:rFonts w:ascii="Helvetica" w:hAnsi="Helvetica"/>
          <w:color w:val="000000" w:themeColor="text1"/>
          <w:sz w:val="20"/>
          <w:szCs w:val="20"/>
        </w:rPr>
        <w:t xml:space="preserve"> oder an jedem Standort </w:t>
      </w:r>
      <w:r>
        <w:rPr>
          <w:rFonts w:ascii="Helvetica" w:hAnsi="Helvetica"/>
          <w:color w:val="000000" w:themeColor="text1"/>
          <w:sz w:val="20"/>
          <w:szCs w:val="20"/>
        </w:rPr>
        <w:t>–</w:t>
      </w:r>
      <w:r w:rsidRPr="00591512">
        <w:rPr>
          <w:rFonts w:ascii="Helvetica" w:hAnsi="Helvetica"/>
          <w:color w:val="000000" w:themeColor="text1"/>
          <w:sz w:val="20"/>
          <w:szCs w:val="20"/>
        </w:rPr>
        <w:t xml:space="preserve"> ist es ratsam, </w:t>
      </w:r>
      <w:r>
        <w:rPr>
          <w:rFonts w:ascii="Helvetica" w:hAnsi="Helvetica"/>
          <w:color w:val="000000" w:themeColor="text1"/>
          <w:sz w:val="20"/>
          <w:szCs w:val="20"/>
        </w:rPr>
        <w:t>bei den Anwendern ein</w:t>
      </w:r>
      <w:r w:rsidRPr="00591512">
        <w:rPr>
          <w:rFonts w:ascii="Helvetica" w:hAnsi="Helvetica"/>
          <w:color w:val="000000" w:themeColor="text1"/>
          <w:sz w:val="20"/>
          <w:szCs w:val="20"/>
        </w:rPr>
        <w:t xml:space="preserve"> starkes Sicherheitsbewusstsein zu entwickeln und </w:t>
      </w:r>
      <w:r>
        <w:rPr>
          <w:rFonts w:ascii="Helvetica" w:hAnsi="Helvetica"/>
          <w:color w:val="000000" w:themeColor="text1"/>
          <w:sz w:val="20"/>
          <w:szCs w:val="20"/>
        </w:rPr>
        <w:t xml:space="preserve">auch </w:t>
      </w:r>
      <w:r w:rsidRPr="00591512">
        <w:rPr>
          <w:rFonts w:ascii="Helvetica" w:hAnsi="Helvetica"/>
          <w:color w:val="000000" w:themeColor="text1"/>
          <w:sz w:val="20"/>
          <w:szCs w:val="20"/>
        </w:rPr>
        <w:t xml:space="preserve">die ausgehende Kommunikation </w:t>
      </w:r>
      <w:r>
        <w:rPr>
          <w:rFonts w:ascii="Helvetica" w:hAnsi="Helvetica"/>
          <w:color w:val="000000" w:themeColor="text1"/>
          <w:sz w:val="20"/>
          <w:szCs w:val="20"/>
        </w:rPr>
        <w:t>von</w:t>
      </w:r>
      <w:r w:rsidRPr="00591512">
        <w:rPr>
          <w:rFonts w:ascii="Helvetica" w:hAnsi="Helvetica"/>
          <w:color w:val="000000" w:themeColor="text1"/>
          <w:sz w:val="20"/>
          <w:szCs w:val="20"/>
        </w:rPr>
        <w:t xml:space="preserve"> Geräten zu überwachen, die mit den angeschlossenen </w:t>
      </w:r>
      <w:r>
        <w:rPr>
          <w:rFonts w:ascii="Helvetica" w:hAnsi="Helvetica"/>
          <w:color w:val="000000" w:themeColor="text1"/>
          <w:sz w:val="20"/>
          <w:szCs w:val="20"/>
        </w:rPr>
        <w:t>Endpunkten</w:t>
      </w:r>
      <w:r w:rsidRPr="00591512">
        <w:rPr>
          <w:rFonts w:ascii="Helvetica" w:hAnsi="Helvetica"/>
          <w:color w:val="000000" w:themeColor="text1"/>
          <w:sz w:val="20"/>
          <w:szCs w:val="20"/>
        </w:rPr>
        <w:t xml:space="preserve"> nicht direkt verbunden sind.</w:t>
      </w:r>
    </w:p>
    <w:p w14:paraId="684BADD7" w14:textId="77777777" w:rsidR="00F050E9" w:rsidRPr="00591512" w:rsidRDefault="00F050E9" w:rsidP="00F050E9">
      <w:pPr>
        <w:spacing w:line="288" w:lineRule="auto"/>
        <w:ind w:right="1135"/>
        <w:rPr>
          <w:rFonts w:ascii="Helvetica" w:hAnsi="Helvetica"/>
          <w:color w:val="000000" w:themeColor="text1"/>
          <w:sz w:val="20"/>
          <w:szCs w:val="20"/>
        </w:rPr>
      </w:pPr>
    </w:p>
    <w:p w14:paraId="3A58FF1A" w14:textId="3D419394" w:rsidR="00F050E9" w:rsidRPr="00591512" w:rsidRDefault="00F050E9" w:rsidP="00F050E9">
      <w:pPr>
        <w:spacing w:line="288" w:lineRule="auto"/>
        <w:ind w:right="1135"/>
        <w:rPr>
          <w:rFonts w:ascii="Helvetica" w:hAnsi="Helvetica"/>
          <w:color w:val="000000" w:themeColor="text1"/>
          <w:sz w:val="20"/>
          <w:szCs w:val="20"/>
        </w:rPr>
      </w:pPr>
      <w:r w:rsidRPr="00B77CC0">
        <w:rPr>
          <w:rFonts w:ascii="Helvetica" w:hAnsi="Helvetica"/>
          <w:bCs/>
          <w:color w:val="000000" w:themeColor="text1"/>
          <w:sz w:val="20"/>
          <w:szCs w:val="20"/>
        </w:rPr>
        <w:t xml:space="preserve">Die vierteljährlichen Forschungsberichte von WatchGuard basieren auf anonymisierten Firebox-Feed-Daten von aktiven WatchGuard Fireboxen, deren Besitzer </w:t>
      </w:r>
      <w:r>
        <w:rPr>
          <w:rFonts w:ascii="Helvetica" w:hAnsi="Helvetica"/>
          <w:bCs/>
          <w:color w:val="000000" w:themeColor="text1"/>
          <w:sz w:val="20"/>
          <w:szCs w:val="20"/>
        </w:rPr>
        <w:t>der</w:t>
      </w:r>
      <w:r w:rsidRPr="00B77CC0">
        <w:rPr>
          <w:rFonts w:ascii="Helvetica" w:hAnsi="Helvetica"/>
          <w:bCs/>
          <w:color w:val="000000" w:themeColor="text1"/>
          <w:sz w:val="20"/>
          <w:szCs w:val="20"/>
        </w:rPr>
        <w:t xml:space="preserve"> Weitergabe von Daten zur Unterstützung der Forschungsarbeit des Threat Lab </w:t>
      </w:r>
      <w:r>
        <w:rPr>
          <w:rFonts w:ascii="Helvetica" w:hAnsi="Helvetica"/>
          <w:bCs/>
          <w:color w:val="000000" w:themeColor="text1"/>
          <w:sz w:val="20"/>
          <w:szCs w:val="20"/>
        </w:rPr>
        <w:t>zugestimmt</w:t>
      </w:r>
      <w:r w:rsidRPr="00B77CC0">
        <w:rPr>
          <w:rFonts w:ascii="Helvetica" w:hAnsi="Helvetica"/>
          <w:bCs/>
          <w:color w:val="000000" w:themeColor="text1"/>
          <w:sz w:val="20"/>
          <w:szCs w:val="20"/>
        </w:rPr>
        <w:t xml:space="preserve"> haben. Im ersten Quartal blockierte WatchGuard insgesamt mehr als 16,6 Millionen Malware-Varianten (438 pro Gerät) und fast 5,2 Millionen Netzwerkbedrohungen (137 pro Gerät). </w:t>
      </w:r>
      <w:r w:rsidRPr="00B77CC0">
        <w:rPr>
          <w:rFonts w:ascii="Helvetica" w:hAnsi="Helvetica"/>
          <w:color w:val="000000" w:themeColor="text1"/>
          <w:sz w:val="20"/>
          <w:szCs w:val="20"/>
        </w:rPr>
        <w:t xml:space="preserve">Der vollständige Bericht enthält Details zu weiteren Malware- und Netzwerktrends aus dem zweiten Quartal 2021, einen noch tieferen Einblick in die Bedrohungen, die in der ersten Jahreshälfte 2021 am Endpunkt erkannt wurden, empfohlene Sicherheitsstrategien </w:t>
      </w:r>
      <w:r>
        <w:rPr>
          <w:rFonts w:ascii="Helvetica" w:hAnsi="Helvetica"/>
          <w:color w:val="000000" w:themeColor="text1"/>
          <w:sz w:val="20"/>
          <w:szCs w:val="20"/>
        </w:rPr>
        <w:t>sowie</w:t>
      </w:r>
      <w:r w:rsidRPr="00B77CC0">
        <w:rPr>
          <w:rFonts w:ascii="Helvetica" w:hAnsi="Helvetica"/>
          <w:color w:val="000000" w:themeColor="text1"/>
          <w:sz w:val="20"/>
          <w:szCs w:val="20"/>
        </w:rPr>
        <w:t xml:space="preserve"> wichtige Abwehrtipps für Unternehmen aller Grö</w:t>
      </w:r>
      <w:r w:rsidR="00886E53">
        <w:rPr>
          <w:rFonts w:ascii="Helvetica" w:hAnsi="Helvetica"/>
          <w:color w:val="000000" w:themeColor="text1"/>
          <w:sz w:val="20"/>
          <w:szCs w:val="20"/>
        </w:rPr>
        <w:t>ss</w:t>
      </w:r>
      <w:r w:rsidRPr="00B77CC0">
        <w:rPr>
          <w:rFonts w:ascii="Helvetica" w:hAnsi="Helvetica"/>
          <w:color w:val="000000" w:themeColor="text1"/>
          <w:sz w:val="20"/>
          <w:szCs w:val="20"/>
        </w:rPr>
        <w:t>en und Branchen und vieles mehr.</w:t>
      </w:r>
      <w:r w:rsidRPr="00591512">
        <w:rPr>
          <w:rFonts w:ascii="Helvetica" w:hAnsi="Helvetica"/>
          <w:color w:val="000000" w:themeColor="text1"/>
          <w:sz w:val="20"/>
          <w:szCs w:val="20"/>
        </w:rPr>
        <w:t xml:space="preserve"> </w:t>
      </w:r>
    </w:p>
    <w:p w14:paraId="033F54CD" w14:textId="77777777" w:rsidR="00F050E9" w:rsidRPr="000E3C60" w:rsidRDefault="00F050E9" w:rsidP="00F050E9">
      <w:pPr>
        <w:spacing w:line="288" w:lineRule="auto"/>
        <w:ind w:right="1135"/>
        <w:rPr>
          <w:rFonts w:ascii="Helvetica" w:hAnsi="Helvetica"/>
          <w:b/>
          <w:color w:val="000000" w:themeColor="text1"/>
          <w:sz w:val="20"/>
          <w:szCs w:val="20"/>
        </w:rPr>
      </w:pPr>
    </w:p>
    <w:p w14:paraId="2FA4F379" w14:textId="77777777" w:rsidR="00F050E9" w:rsidRPr="00B77CC0" w:rsidRDefault="00F050E9" w:rsidP="00F050E9">
      <w:pPr>
        <w:spacing w:line="288" w:lineRule="auto"/>
        <w:ind w:right="1135"/>
        <w:rPr>
          <w:rFonts w:ascii="Helvetica" w:hAnsi="Helvetica"/>
          <w:bCs/>
          <w:color w:val="000000" w:themeColor="text1"/>
          <w:sz w:val="20"/>
          <w:szCs w:val="20"/>
          <w:highlight w:val="yellow"/>
        </w:rPr>
      </w:pPr>
      <w:r w:rsidRPr="000E3C60">
        <w:rPr>
          <w:rFonts w:ascii="Helvetica" w:hAnsi="Helvetica"/>
          <w:bCs/>
          <w:color w:val="000000" w:themeColor="text1"/>
          <w:sz w:val="20"/>
          <w:szCs w:val="20"/>
        </w:rPr>
        <w:t xml:space="preserve">Der aktuelle Internet Security Report in englischer Sprache steht online zum Download zur Verfügung: </w:t>
      </w:r>
      <w:hyperlink r:id="rId7" w:history="1">
        <w:r>
          <w:rPr>
            <w:rStyle w:val="Hyperlink"/>
            <w:rFonts w:ascii="Helvetica" w:hAnsi="Helvetica"/>
            <w:bCs/>
            <w:sz w:val="20"/>
            <w:szCs w:val="20"/>
          </w:rPr>
          <w:t xml:space="preserve">https://www.watchguard.com/wgrd-resource-center/security-report-q2-2021 </w:t>
        </w:r>
      </w:hyperlink>
    </w:p>
    <w:p w14:paraId="661D28DF" w14:textId="77777777" w:rsidR="00F050E9" w:rsidRPr="000E3C60" w:rsidRDefault="00F050E9" w:rsidP="00F050E9">
      <w:pPr>
        <w:pStyle w:val="Textkrper"/>
        <w:spacing w:line="288" w:lineRule="auto"/>
        <w:ind w:right="1135"/>
        <w:rPr>
          <w:rFonts w:eastAsia="MS Mincho"/>
          <w:sz w:val="20"/>
          <w:szCs w:val="20"/>
          <w:lang w:eastAsia="de-DE"/>
        </w:rPr>
      </w:pPr>
    </w:p>
    <w:p w14:paraId="07B5E189" w14:textId="77777777" w:rsidR="00F050E9" w:rsidRPr="000E3C60" w:rsidRDefault="00F050E9" w:rsidP="00F050E9">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F050E9" w:rsidRPr="000E3C60" w14:paraId="22B903D3" w14:textId="77777777" w:rsidTr="00435B2D">
        <w:trPr>
          <w:trHeight w:val="1985"/>
        </w:trPr>
        <w:tc>
          <w:tcPr>
            <w:tcW w:w="3686" w:type="dxa"/>
          </w:tcPr>
          <w:p w14:paraId="6799F52C" w14:textId="77777777" w:rsidR="00F050E9" w:rsidRPr="000E3C60" w:rsidRDefault="00F050E9" w:rsidP="00435B2D">
            <w:pPr>
              <w:pStyle w:val="Kopfzeile"/>
              <w:ind w:right="-141"/>
            </w:pPr>
            <w:r w:rsidRPr="000E3C60">
              <w:t xml:space="preserve">            </w:t>
            </w:r>
          </w:p>
          <w:p w14:paraId="185F7FDD" w14:textId="77777777" w:rsidR="00F050E9" w:rsidRPr="000E3C60" w:rsidRDefault="00F050E9" w:rsidP="00435B2D">
            <w:pPr>
              <w:pStyle w:val="Kopfzeile"/>
              <w:ind w:right="-141"/>
            </w:pPr>
            <w:r w:rsidRPr="000E3C60">
              <w:rPr>
                <w:noProof/>
              </w:rPr>
              <w:drawing>
                <wp:inline distT="0" distB="0" distL="0" distR="0" wp14:anchorId="5C39B6A9" wp14:editId="2D215979">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9691" cy="1060234"/>
                          </a:xfrm>
                          <a:prstGeom prst="rect">
                            <a:avLst/>
                          </a:prstGeom>
                        </pic:spPr>
                      </pic:pic>
                    </a:graphicData>
                  </a:graphic>
                </wp:inline>
              </w:drawing>
            </w:r>
          </w:p>
        </w:tc>
      </w:tr>
      <w:tr w:rsidR="00F050E9" w:rsidRPr="00807AE2" w14:paraId="2786D501" w14:textId="77777777" w:rsidTr="00435B2D">
        <w:trPr>
          <w:trHeight w:val="544"/>
        </w:trPr>
        <w:tc>
          <w:tcPr>
            <w:tcW w:w="3686" w:type="dxa"/>
          </w:tcPr>
          <w:p w14:paraId="2ED47485" w14:textId="77777777" w:rsidR="00F050E9" w:rsidRPr="000E3C60" w:rsidRDefault="00F050E9" w:rsidP="00435B2D">
            <w:pPr>
              <w:tabs>
                <w:tab w:val="left" w:pos="3828"/>
                <w:tab w:val="left" w:pos="5245"/>
                <w:tab w:val="left" w:pos="7938"/>
              </w:tabs>
              <w:spacing w:line="288" w:lineRule="auto"/>
              <w:ind w:right="222"/>
              <w:rPr>
                <w:rFonts w:ascii="Helvetica" w:hAnsi="Helvetica"/>
                <w:sz w:val="16"/>
                <w:szCs w:val="16"/>
                <w:lang w:val="en-US"/>
              </w:rPr>
            </w:pPr>
            <w:r w:rsidRPr="000E3C60">
              <w:rPr>
                <w:rFonts w:ascii="Helvetica" w:hAnsi="Helvetica"/>
                <w:sz w:val="16"/>
                <w:szCs w:val="16"/>
                <w:lang w:val="en-US"/>
              </w:rPr>
              <w:t xml:space="preserve">Corey Nachreiner, Chief </w:t>
            </w:r>
            <w:r>
              <w:rPr>
                <w:rFonts w:ascii="Helvetica" w:hAnsi="Helvetica"/>
                <w:sz w:val="16"/>
                <w:szCs w:val="16"/>
                <w:lang w:val="en-US"/>
              </w:rPr>
              <w:t>Security</w:t>
            </w:r>
            <w:r w:rsidRPr="000E3C60">
              <w:rPr>
                <w:rFonts w:ascii="Helvetica" w:hAnsi="Helvetica"/>
                <w:sz w:val="16"/>
                <w:szCs w:val="16"/>
                <w:lang w:val="en-US"/>
              </w:rPr>
              <w:t xml:space="preserve"> Officer bei WatchGuard Technologies</w:t>
            </w:r>
          </w:p>
        </w:tc>
      </w:tr>
    </w:tbl>
    <w:p w14:paraId="7AA65429" w14:textId="77777777" w:rsidR="00F050E9" w:rsidRPr="000E3C60" w:rsidRDefault="00F050E9" w:rsidP="00F050E9">
      <w:pPr>
        <w:spacing w:line="288" w:lineRule="auto"/>
        <w:ind w:right="1134"/>
        <w:rPr>
          <w:rFonts w:ascii="Helvetica" w:hAnsi="Helvetica"/>
          <w:sz w:val="20"/>
          <w:szCs w:val="20"/>
          <w:lang w:val="en-US"/>
        </w:rPr>
      </w:pPr>
    </w:p>
    <w:p w14:paraId="59F7B010" w14:textId="77777777" w:rsidR="00F050E9" w:rsidRPr="000E3C60" w:rsidRDefault="00F050E9" w:rsidP="00F050E9">
      <w:pPr>
        <w:spacing w:line="288" w:lineRule="auto"/>
        <w:ind w:right="1134"/>
        <w:rPr>
          <w:rFonts w:ascii="Helvetica" w:hAnsi="Helvetica"/>
          <w:color w:val="000000" w:themeColor="text1"/>
          <w:sz w:val="20"/>
          <w:szCs w:val="20"/>
          <w:lang w:val="en-US"/>
        </w:rPr>
      </w:pPr>
    </w:p>
    <w:p w14:paraId="0E2A49BB" w14:textId="77777777" w:rsidR="00F050E9" w:rsidRPr="000E3C60" w:rsidRDefault="00F050E9" w:rsidP="00F050E9">
      <w:pPr>
        <w:spacing w:line="288" w:lineRule="auto"/>
        <w:rPr>
          <w:rFonts w:ascii="Helvetica" w:hAnsi="Helvetica"/>
          <w:color w:val="000000" w:themeColor="text1"/>
          <w:sz w:val="20"/>
          <w:szCs w:val="20"/>
          <w:lang w:val="en-US"/>
        </w:rPr>
      </w:pPr>
    </w:p>
    <w:p w14:paraId="075B3E57" w14:textId="77777777" w:rsidR="00F050E9" w:rsidRPr="000E3C60" w:rsidRDefault="00F050E9" w:rsidP="00F050E9">
      <w:pPr>
        <w:spacing w:line="288" w:lineRule="auto"/>
        <w:rPr>
          <w:rFonts w:ascii="Helvetica" w:hAnsi="Helvetica"/>
          <w:color w:val="000000" w:themeColor="text1"/>
          <w:sz w:val="20"/>
          <w:szCs w:val="20"/>
          <w:lang w:val="en-US"/>
        </w:rPr>
      </w:pPr>
    </w:p>
    <w:p w14:paraId="527333F2" w14:textId="77777777" w:rsidR="00F050E9" w:rsidRPr="000E3C60" w:rsidRDefault="00F050E9" w:rsidP="00F050E9">
      <w:pPr>
        <w:spacing w:line="288" w:lineRule="auto"/>
        <w:rPr>
          <w:rFonts w:ascii="Helvetica" w:hAnsi="Helvetica"/>
          <w:color w:val="000000" w:themeColor="text1"/>
          <w:sz w:val="20"/>
          <w:szCs w:val="20"/>
          <w:lang w:val="en-US"/>
        </w:rPr>
      </w:pPr>
    </w:p>
    <w:p w14:paraId="289CA86D" w14:textId="77777777" w:rsidR="00F050E9" w:rsidRPr="000E3C60" w:rsidRDefault="00F050E9" w:rsidP="00F050E9">
      <w:pPr>
        <w:spacing w:line="288" w:lineRule="auto"/>
        <w:rPr>
          <w:rFonts w:ascii="Helvetica" w:hAnsi="Helvetica"/>
          <w:color w:val="000000" w:themeColor="text1"/>
          <w:sz w:val="20"/>
          <w:szCs w:val="20"/>
          <w:lang w:val="en-US"/>
        </w:rPr>
      </w:pPr>
    </w:p>
    <w:p w14:paraId="1CF62B73" w14:textId="77777777" w:rsidR="00F050E9" w:rsidRPr="000E3C60" w:rsidRDefault="00F050E9" w:rsidP="00F050E9">
      <w:pPr>
        <w:spacing w:line="288" w:lineRule="auto"/>
        <w:rPr>
          <w:rFonts w:ascii="Helvetica" w:hAnsi="Helvetica"/>
          <w:color w:val="000000" w:themeColor="text1"/>
          <w:sz w:val="20"/>
          <w:szCs w:val="20"/>
          <w:lang w:val="en-US"/>
        </w:rPr>
      </w:pPr>
    </w:p>
    <w:p w14:paraId="2AEDAA0E" w14:textId="77777777" w:rsidR="00F050E9" w:rsidRPr="000E3C60" w:rsidRDefault="00F050E9" w:rsidP="00F050E9">
      <w:pPr>
        <w:spacing w:line="288" w:lineRule="auto"/>
        <w:rPr>
          <w:rFonts w:ascii="Helvetica" w:hAnsi="Helvetica"/>
          <w:color w:val="000000" w:themeColor="text1"/>
          <w:sz w:val="20"/>
          <w:szCs w:val="20"/>
          <w:lang w:val="en-US"/>
        </w:rPr>
      </w:pPr>
    </w:p>
    <w:p w14:paraId="7AA1954D" w14:textId="77777777" w:rsidR="00F050E9" w:rsidRPr="000E3C60" w:rsidRDefault="00F050E9" w:rsidP="00F050E9">
      <w:pPr>
        <w:spacing w:line="288" w:lineRule="auto"/>
        <w:rPr>
          <w:rFonts w:ascii="Helvetica" w:hAnsi="Helvetica"/>
          <w:color w:val="000000" w:themeColor="text1"/>
          <w:sz w:val="20"/>
          <w:szCs w:val="20"/>
          <w:lang w:val="en-US"/>
        </w:rPr>
      </w:pPr>
    </w:p>
    <w:p w14:paraId="23E9B059" w14:textId="77777777" w:rsidR="00F050E9" w:rsidRPr="000E3C60" w:rsidRDefault="00F050E9" w:rsidP="00F050E9">
      <w:pPr>
        <w:spacing w:line="288" w:lineRule="auto"/>
        <w:rPr>
          <w:rFonts w:ascii="Helvetica" w:hAnsi="Helvetica"/>
          <w:color w:val="000000" w:themeColor="text1"/>
          <w:sz w:val="20"/>
          <w:szCs w:val="20"/>
          <w:lang w:val="en-US"/>
        </w:rPr>
      </w:pPr>
    </w:p>
    <w:p w14:paraId="571F0618" w14:textId="77777777" w:rsidR="00F050E9" w:rsidRPr="000E3C60" w:rsidRDefault="00F050E9" w:rsidP="00F050E9">
      <w:pPr>
        <w:spacing w:line="288" w:lineRule="auto"/>
        <w:rPr>
          <w:rFonts w:ascii="Helvetica" w:hAnsi="Helvetica"/>
          <w:color w:val="000000" w:themeColor="text1"/>
          <w:sz w:val="20"/>
          <w:szCs w:val="20"/>
        </w:rPr>
      </w:pPr>
      <w:r w:rsidRPr="000E3C60">
        <w:rPr>
          <w:rFonts w:ascii="Helvetica" w:hAnsi="Helvetica"/>
          <w:color w:val="000000" w:themeColor="text1"/>
          <w:sz w:val="20"/>
          <w:szCs w:val="20"/>
        </w:rPr>
        <w:lastRenderedPageBreak/>
        <w:t>Das Bildmaterial zum Download finden Sie in unserem Medienportal press-n-relations.amid-pr.com (Suchbegriff „</w:t>
      </w:r>
      <w:hyperlink r:id="rId9" w:history="1">
        <w:r w:rsidRPr="000E3C60">
          <w:rPr>
            <w:rStyle w:val="Hyperlink"/>
            <w:rFonts w:ascii="Helvetica" w:hAnsi="Helvetica"/>
            <w:sz w:val="20"/>
            <w:szCs w:val="20"/>
          </w:rPr>
          <w:t>Corey Nachreiner</w:t>
        </w:r>
      </w:hyperlink>
      <w:r w:rsidRPr="000E3C60">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BF6DC2"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F6DC2" w14:paraId="52ACB12D" w14:textId="77777777" w:rsidTr="00A75D14">
        <w:trPr>
          <w:trHeight w:val="1436"/>
        </w:trPr>
        <w:tc>
          <w:tcPr>
            <w:tcW w:w="4606" w:type="dxa"/>
          </w:tcPr>
          <w:p w14:paraId="655FDFE6" w14:textId="77777777" w:rsidR="006F3C2D" w:rsidRPr="00BF6DC2" w:rsidRDefault="008B4BBB" w:rsidP="00A75D14">
            <w:pPr>
              <w:pStyle w:val="Textkrper"/>
              <w:spacing w:line="312" w:lineRule="auto"/>
              <w:ind w:right="426"/>
              <w:rPr>
                <w:bCs/>
                <w:color w:val="000000" w:themeColor="text1"/>
                <w:sz w:val="16"/>
                <w:lang w:val="de-CH"/>
              </w:rPr>
            </w:pPr>
            <w:r w:rsidRPr="00BF6DC2">
              <w:rPr>
                <w:bCs/>
                <w:color w:val="000000" w:themeColor="text1"/>
                <w:sz w:val="16"/>
                <w:lang w:val="de-CH"/>
              </w:rPr>
              <w:t>Kontakt</w:t>
            </w:r>
            <w:r w:rsidR="006F3C2D" w:rsidRPr="00BF6DC2">
              <w:rPr>
                <w:bCs/>
                <w:color w:val="000000" w:themeColor="text1"/>
                <w:sz w:val="16"/>
                <w:lang w:val="de-CH"/>
              </w:rPr>
              <w:t>:</w:t>
            </w:r>
          </w:p>
          <w:p w14:paraId="2A1D785C"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WatchGuard</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Technologies</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GmbH</w:t>
            </w:r>
          </w:p>
          <w:p w14:paraId="479F3A49" w14:textId="77777777" w:rsidR="006F3C2D" w:rsidRPr="00BF6DC2" w:rsidRDefault="000E0BA1"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Paul</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Moll</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Field</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Marketing</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Manager</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Central</w:t>
            </w:r>
            <w:r w:rsidR="00F91F98" w:rsidRPr="00BF6DC2">
              <w:rPr>
                <w:b w:val="0"/>
                <w:color w:val="000000" w:themeColor="text1"/>
                <w:spacing w:val="-2"/>
                <w:sz w:val="16"/>
                <w:szCs w:val="16"/>
                <w:lang w:val="de-CH"/>
              </w:rPr>
              <w:t xml:space="preserve"> </w:t>
            </w:r>
            <w:r w:rsidR="006F3C2D" w:rsidRPr="00BF6DC2">
              <w:rPr>
                <w:b w:val="0"/>
                <w:color w:val="000000" w:themeColor="text1"/>
                <w:spacing w:val="-2"/>
                <w:sz w:val="16"/>
                <w:szCs w:val="16"/>
                <w:lang w:val="de-CH"/>
              </w:rPr>
              <w:t>Europe</w:t>
            </w:r>
          </w:p>
          <w:p w14:paraId="428BECB1"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Wendenstr.</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379,</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20537</w:t>
            </w:r>
            <w:r w:rsidR="00F91F98" w:rsidRPr="00BF6DC2">
              <w:rPr>
                <w:b w:val="0"/>
                <w:color w:val="000000" w:themeColor="text1"/>
                <w:spacing w:val="-2"/>
                <w:sz w:val="16"/>
                <w:szCs w:val="16"/>
                <w:lang w:val="de-CH"/>
              </w:rPr>
              <w:t xml:space="preserve"> </w:t>
            </w:r>
            <w:r w:rsidRPr="00BF6DC2">
              <w:rPr>
                <w:b w:val="0"/>
                <w:color w:val="000000" w:themeColor="text1"/>
                <w:spacing w:val="-2"/>
                <w:sz w:val="16"/>
                <w:szCs w:val="16"/>
                <w:lang w:val="de-CH"/>
              </w:rPr>
              <w:t>Hamburg</w:t>
            </w:r>
          </w:p>
          <w:p w14:paraId="0D042AE7" w14:textId="77777777" w:rsidR="006F3C2D" w:rsidRPr="00BF6DC2" w:rsidRDefault="006F3C2D"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Tel.:</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+49</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152</w:t>
            </w:r>
            <w:r w:rsidR="00F91F98" w:rsidRPr="00BF6DC2">
              <w:rPr>
                <w:b w:val="0"/>
                <w:color w:val="000000" w:themeColor="text1"/>
                <w:spacing w:val="-2"/>
                <w:sz w:val="16"/>
                <w:szCs w:val="16"/>
                <w:lang w:val="de-CH"/>
              </w:rPr>
              <w:t xml:space="preserve"> </w:t>
            </w:r>
            <w:r w:rsidR="00825C5E" w:rsidRPr="00BF6DC2">
              <w:rPr>
                <w:b w:val="0"/>
                <w:color w:val="000000" w:themeColor="text1"/>
                <w:spacing w:val="-2"/>
                <w:sz w:val="16"/>
                <w:szCs w:val="16"/>
                <w:lang w:val="de-CH"/>
              </w:rPr>
              <w:t>31795040</w:t>
            </w:r>
          </w:p>
          <w:p w14:paraId="73EEA945" w14:textId="77777777" w:rsidR="006F3C2D" w:rsidRPr="00BF6DC2" w:rsidRDefault="000E0BA1" w:rsidP="00A75D14">
            <w:pPr>
              <w:pStyle w:val="Textkrper"/>
              <w:tabs>
                <w:tab w:val="left" w:pos="7513"/>
              </w:tabs>
              <w:spacing w:line="312" w:lineRule="auto"/>
              <w:rPr>
                <w:b w:val="0"/>
                <w:color w:val="000000" w:themeColor="text1"/>
                <w:spacing w:val="-2"/>
                <w:sz w:val="16"/>
                <w:szCs w:val="16"/>
                <w:lang w:val="de-CH"/>
              </w:rPr>
            </w:pPr>
            <w:r w:rsidRPr="00BF6DC2">
              <w:rPr>
                <w:b w:val="0"/>
                <w:color w:val="000000" w:themeColor="text1"/>
                <w:spacing w:val="-2"/>
                <w:sz w:val="16"/>
                <w:szCs w:val="16"/>
                <w:lang w:val="de-CH"/>
              </w:rPr>
              <w:t>paul.moll</w:t>
            </w:r>
            <w:r w:rsidR="006F3C2D" w:rsidRPr="00BF6DC2">
              <w:rPr>
                <w:b w:val="0"/>
                <w:color w:val="000000" w:themeColor="text1"/>
                <w:spacing w:val="-2"/>
                <w:sz w:val="16"/>
                <w:szCs w:val="16"/>
                <w:lang w:val="de-CH"/>
              </w:rPr>
              <w:t>@watchguard.com</w:t>
            </w:r>
          </w:p>
          <w:p w14:paraId="25E0B59A" w14:textId="77777777" w:rsidR="006F3C2D" w:rsidRPr="00BF6DC2" w:rsidRDefault="006F3C2D" w:rsidP="00A75D14">
            <w:pPr>
              <w:pStyle w:val="Textkrper"/>
              <w:tabs>
                <w:tab w:val="left" w:pos="7513"/>
              </w:tabs>
              <w:spacing w:line="312" w:lineRule="auto"/>
              <w:rPr>
                <w:b w:val="0"/>
                <w:color w:val="000000" w:themeColor="text1"/>
                <w:sz w:val="16"/>
                <w:lang w:val="de-CH"/>
              </w:rPr>
            </w:pPr>
            <w:r w:rsidRPr="00BF6DC2">
              <w:rPr>
                <w:b w:val="0"/>
                <w:color w:val="000000" w:themeColor="text1"/>
                <w:spacing w:val="-2"/>
                <w:sz w:val="16"/>
                <w:szCs w:val="16"/>
                <w:lang w:val="de-CH"/>
              </w:rPr>
              <w:t>www.watchguard.de</w:t>
            </w:r>
          </w:p>
        </w:tc>
        <w:tc>
          <w:tcPr>
            <w:tcW w:w="4111" w:type="dxa"/>
          </w:tcPr>
          <w:p w14:paraId="38A3A066" w14:textId="77777777" w:rsidR="006F3C2D" w:rsidRPr="00BF6DC2" w:rsidRDefault="006F3C2D" w:rsidP="00A75D14">
            <w:pPr>
              <w:pStyle w:val="Textkrper"/>
              <w:tabs>
                <w:tab w:val="left" w:pos="7513"/>
              </w:tabs>
              <w:spacing w:line="312" w:lineRule="auto"/>
              <w:ind w:right="426"/>
              <w:rPr>
                <w:bCs/>
                <w:color w:val="000000" w:themeColor="text1"/>
                <w:sz w:val="16"/>
                <w:lang w:val="de-CH"/>
              </w:rPr>
            </w:pPr>
            <w:r w:rsidRPr="00BF6DC2">
              <w:rPr>
                <w:bCs/>
                <w:color w:val="000000" w:themeColor="text1"/>
                <w:sz w:val="16"/>
                <w:lang w:val="de-CH"/>
              </w:rPr>
              <w:t>Presse-</w:t>
            </w:r>
            <w:r w:rsidR="00F91F98" w:rsidRPr="00BF6DC2">
              <w:rPr>
                <w:bCs/>
                <w:color w:val="000000" w:themeColor="text1"/>
                <w:sz w:val="16"/>
                <w:lang w:val="de-CH"/>
              </w:rPr>
              <w:t xml:space="preserve"> </w:t>
            </w:r>
            <w:r w:rsidRPr="00BF6DC2">
              <w:rPr>
                <w:bCs/>
                <w:color w:val="000000" w:themeColor="text1"/>
                <w:sz w:val="16"/>
                <w:lang w:val="de-CH"/>
              </w:rPr>
              <w:t>und</w:t>
            </w:r>
            <w:r w:rsidR="00F91F98" w:rsidRPr="00BF6DC2">
              <w:rPr>
                <w:bCs/>
                <w:color w:val="000000" w:themeColor="text1"/>
                <w:sz w:val="16"/>
                <w:lang w:val="de-CH"/>
              </w:rPr>
              <w:t xml:space="preserve"> </w:t>
            </w:r>
            <w:r w:rsidRPr="00BF6DC2">
              <w:rPr>
                <w:bCs/>
                <w:color w:val="000000" w:themeColor="text1"/>
                <w:sz w:val="16"/>
                <w:lang w:val="de-CH"/>
              </w:rPr>
              <w:t>Öffentlichkeitsarbeit:</w:t>
            </w:r>
          </w:p>
          <w:p w14:paraId="6AFC7D8C"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Press'n'Relations GmbH, c/o Medianovis AG</w:t>
            </w:r>
          </w:p>
          <w:p w14:paraId="736946B0"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Rebecca Horn</w:t>
            </w:r>
          </w:p>
          <w:p w14:paraId="28C9BE42"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Schaffhauserstr. 91, 8057 Zürich</w:t>
            </w:r>
          </w:p>
          <w:p w14:paraId="5E94A83E"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 xml:space="preserve">Tel.: +49 731 962 87 15 </w:t>
            </w:r>
          </w:p>
          <w:p w14:paraId="08072A31" w14:textId="77777777" w:rsidR="00BF6DC2" w:rsidRPr="00BF6DC2" w:rsidRDefault="00BF6DC2" w:rsidP="00BF6DC2">
            <w:pPr>
              <w:pStyle w:val="Textkrper"/>
              <w:tabs>
                <w:tab w:val="left" w:pos="7513"/>
              </w:tabs>
              <w:spacing w:line="312" w:lineRule="auto"/>
              <w:ind w:right="426"/>
              <w:rPr>
                <w:b w:val="0"/>
                <w:color w:val="000000" w:themeColor="text1"/>
                <w:spacing w:val="-2"/>
                <w:sz w:val="16"/>
                <w:szCs w:val="16"/>
                <w:lang w:val="de-CH"/>
              </w:rPr>
            </w:pPr>
            <w:r w:rsidRPr="00BF6DC2">
              <w:rPr>
                <w:b w:val="0"/>
                <w:color w:val="000000" w:themeColor="text1"/>
                <w:spacing w:val="-2"/>
                <w:sz w:val="16"/>
                <w:szCs w:val="16"/>
                <w:lang w:val="de-CH"/>
              </w:rPr>
              <w:t>rh@press-n-relations.de</w:t>
            </w:r>
          </w:p>
          <w:p w14:paraId="5FFB9C6B" w14:textId="15EA6136" w:rsidR="006F3C2D" w:rsidRPr="00BF6DC2" w:rsidRDefault="00BF6DC2" w:rsidP="00BF6DC2">
            <w:pPr>
              <w:pStyle w:val="Textkrper"/>
              <w:tabs>
                <w:tab w:val="left" w:pos="7513"/>
              </w:tabs>
              <w:spacing w:line="312" w:lineRule="auto"/>
              <w:ind w:right="425"/>
              <w:rPr>
                <w:b w:val="0"/>
                <w:bCs/>
                <w:color w:val="000000" w:themeColor="text1"/>
                <w:sz w:val="16"/>
                <w:lang w:val="de-CH"/>
              </w:rPr>
            </w:pPr>
            <w:r w:rsidRPr="00BF6DC2">
              <w:rPr>
                <w:b w:val="0"/>
                <w:color w:val="000000" w:themeColor="text1"/>
                <w:spacing w:val="-2"/>
                <w:sz w:val="16"/>
                <w:szCs w:val="16"/>
                <w:lang w:val="de-CH"/>
              </w:rPr>
              <w:t>www.press-n-relations.com</w:t>
            </w:r>
          </w:p>
        </w:tc>
      </w:tr>
    </w:tbl>
    <w:p w14:paraId="204C6C98" w14:textId="77777777" w:rsidR="00E41106" w:rsidRPr="00BF6DC2"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BF6DC2"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BF6DC2">
        <w:rPr>
          <w:rFonts w:ascii="Helvetica" w:hAnsi="Helvetica"/>
          <w:b/>
          <w:color w:val="000000" w:themeColor="text1"/>
          <w:sz w:val="16"/>
          <w:szCs w:val="16"/>
          <w:lang w:val="de-CH"/>
        </w:rPr>
        <w:t>Über WatchGuard Technologies</w:t>
      </w:r>
    </w:p>
    <w:p w14:paraId="4003B245" w14:textId="3BFB4F00"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BF6DC2">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Threat </w:t>
      </w:r>
      <w:proofErr w:type="gramStart"/>
      <w:r w:rsidRPr="00BF6DC2">
        <w:rPr>
          <w:rFonts w:ascii="Helvetica" w:hAnsi="Helvetica"/>
          <w:color w:val="000000" w:themeColor="text1"/>
          <w:spacing w:val="-2"/>
          <w:sz w:val="16"/>
          <w:szCs w:val="16"/>
          <w:lang w:val="de-CH"/>
        </w:rPr>
        <w:t>Management)-</w:t>
      </w:r>
      <w:proofErr w:type="gramEnd"/>
      <w:r w:rsidRPr="00BF6DC2">
        <w:rPr>
          <w:rFonts w:ascii="Helvetica" w:hAnsi="Helvetica"/>
          <w:color w:val="000000" w:themeColor="text1"/>
          <w:spacing w:val="-2"/>
          <w:sz w:val="16"/>
          <w:szCs w:val="16"/>
          <w:lang w:val="de-CH"/>
        </w:rPr>
        <w:t xml:space="preserve"> und Next-Generation-Firewall-Plattformen über Multifaktor-Authen</w:t>
      </w:r>
      <w:r w:rsidRPr="00BF6DC2">
        <w:rPr>
          <w:rFonts w:ascii="Helvetica" w:hAnsi="Helvetica"/>
          <w:color w:val="000000" w:themeColor="text1"/>
          <w:spacing w:val="-2"/>
          <w:sz w:val="16"/>
          <w:szCs w:val="16"/>
          <w:lang w:val="de-CH"/>
        </w:rPr>
        <w:softHyphen/>
        <w:t>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BF6DC2">
        <w:rPr>
          <w:rFonts w:ascii="Helvetica" w:hAnsi="Helvetica"/>
          <w:color w:val="000000" w:themeColor="text1"/>
          <w:spacing w:val="-2"/>
          <w:sz w:val="16"/>
          <w:szCs w:val="16"/>
          <w:lang w:val="de-CH"/>
        </w:rPr>
        <w:t>ss</w:t>
      </w:r>
      <w:r w:rsidRPr="00BF6DC2">
        <w:rPr>
          <w:rFonts w:ascii="Helvetica" w:hAnsi="Helvetica"/>
          <w:color w:val="000000" w:themeColor="text1"/>
          <w:spacing w:val="-2"/>
          <w:sz w:val="16"/>
          <w:szCs w:val="16"/>
          <w:lang w:val="de-CH"/>
        </w:rPr>
        <w:t xml:space="preserve">e, dezentral aufgestellte Organisationen </w:t>
      </w:r>
      <w:r w:rsidR="00F050E9">
        <w:rPr>
          <w:rFonts w:ascii="Helvetica" w:hAnsi="Helvetica"/>
          <w:color w:val="000000" w:themeColor="text1"/>
          <w:spacing w:val="-2"/>
          <w:sz w:val="16"/>
          <w:szCs w:val="16"/>
          <w:lang w:val="de-CH"/>
        </w:rPr>
        <w:t xml:space="preserve">und Managed Services Provider </w:t>
      </w:r>
      <w:r w:rsidRPr="00BF6DC2">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77777777" w:rsidR="00DD1C5C" w:rsidRPr="00BF6DC2"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BF6DC2">
        <w:rPr>
          <w:rFonts w:ascii="Helvetica" w:hAnsi="Helvetica"/>
          <w:color w:val="000000" w:themeColor="text1"/>
          <w:spacing w:val="-2"/>
          <w:sz w:val="16"/>
          <w:szCs w:val="16"/>
          <w:lang w:val="de-CH"/>
        </w:rPr>
        <w:t>Aktuelle Informationen, Aktionen und Updates finden Sie auch auf </w:t>
      </w:r>
      <w:hyperlink r:id="rId10" w:history="1">
        <w:r w:rsidRPr="00BF6DC2">
          <w:rPr>
            <w:rStyle w:val="Hyperlink"/>
            <w:rFonts w:ascii="Helvetica" w:hAnsi="Helvetica"/>
            <w:spacing w:val="-2"/>
            <w:sz w:val="16"/>
            <w:szCs w:val="16"/>
            <w:lang w:val="de-CH"/>
          </w:rPr>
          <w:t>Twitter</w:t>
        </w:r>
      </w:hyperlink>
      <w:r w:rsidRPr="00BF6DC2">
        <w:rPr>
          <w:rFonts w:ascii="Helvetica" w:hAnsi="Helvetica"/>
          <w:color w:val="000000" w:themeColor="text1"/>
          <w:spacing w:val="-2"/>
          <w:sz w:val="16"/>
          <w:szCs w:val="16"/>
          <w:lang w:val="de-CH"/>
        </w:rPr>
        <w:t>, </w:t>
      </w:r>
      <w:hyperlink r:id="rId11" w:history="1">
        <w:r w:rsidRPr="00BF6DC2">
          <w:rPr>
            <w:rStyle w:val="Hyperlink"/>
            <w:rFonts w:ascii="Helvetica" w:hAnsi="Helvetica"/>
            <w:spacing w:val="-2"/>
            <w:sz w:val="16"/>
            <w:szCs w:val="16"/>
            <w:lang w:val="de-CH"/>
          </w:rPr>
          <w:t>Facebook</w:t>
        </w:r>
      </w:hyperlink>
      <w:r w:rsidRPr="00BF6DC2">
        <w:rPr>
          <w:rFonts w:ascii="Helvetica" w:hAnsi="Helvetica"/>
          <w:color w:val="000000" w:themeColor="text1"/>
          <w:spacing w:val="-2"/>
          <w:sz w:val="16"/>
          <w:szCs w:val="16"/>
          <w:lang w:val="de-CH"/>
        </w:rPr>
        <w:t> oder </w:t>
      </w:r>
      <w:hyperlink r:id="rId12" w:history="1">
        <w:r w:rsidRPr="00BF6DC2">
          <w:rPr>
            <w:rStyle w:val="Hyperlink"/>
            <w:rFonts w:ascii="Helvetica" w:hAnsi="Helvetica"/>
            <w:spacing w:val="-2"/>
            <w:sz w:val="16"/>
            <w:szCs w:val="16"/>
            <w:lang w:val="de-CH"/>
          </w:rPr>
          <w:t>LinkedIn</w:t>
        </w:r>
      </w:hyperlink>
      <w:r w:rsidRPr="00BF6DC2">
        <w:rPr>
          <w:rFonts w:ascii="Helvetica" w:hAnsi="Helvetica"/>
          <w:color w:val="000000" w:themeColor="text1"/>
          <w:spacing w:val="-2"/>
          <w:sz w:val="16"/>
          <w:szCs w:val="16"/>
          <w:lang w:val="de-CH"/>
        </w:rPr>
        <w:t>. Der WatchGuard-Blog „Secplicity“ berichtet darüber hinaus über die neuesten Bedrohungen und zeigt auf, wie man mit ihnen umgeht: </w:t>
      </w:r>
      <w:hyperlink r:id="rId13" w:history="1">
        <w:r w:rsidRPr="00BF6DC2">
          <w:rPr>
            <w:rStyle w:val="Hyperlink"/>
            <w:rFonts w:ascii="Helvetica" w:hAnsi="Helvetica"/>
            <w:spacing w:val="-2"/>
            <w:sz w:val="16"/>
            <w:szCs w:val="16"/>
            <w:lang w:val="de-CH"/>
          </w:rPr>
          <w:t>www.secplicity.org</w:t>
        </w:r>
      </w:hyperlink>
      <w:r w:rsidRPr="00BF6DC2">
        <w:rPr>
          <w:rFonts w:ascii="Helvetica" w:hAnsi="Helvetica"/>
          <w:color w:val="000000" w:themeColor="text1"/>
          <w:spacing w:val="-2"/>
          <w:sz w:val="16"/>
          <w:szCs w:val="16"/>
          <w:lang w:val="de-CH"/>
        </w:rPr>
        <w:t>. Oder Sie abonnieren den „443 – Security Simplified“-Podcast bei </w:t>
      </w:r>
      <w:hyperlink r:id="rId14" w:history="1">
        <w:r w:rsidRPr="00BF6DC2">
          <w:rPr>
            <w:rStyle w:val="Hyperlink"/>
            <w:rFonts w:ascii="Helvetica" w:hAnsi="Helvetica"/>
            <w:spacing w:val="-2"/>
            <w:sz w:val="16"/>
            <w:szCs w:val="16"/>
            <w:lang w:val="de-CH"/>
          </w:rPr>
          <w:t>Secplicity.org</w:t>
        </w:r>
      </w:hyperlink>
      <w:r w:rsidRPr="00BF6DC2">
        <w:rPr>
          <w:rFonts w:ascii="Helvetica" w:hAnsi="Helvetica"/>
          <w:color w:val="000000" w:themeColor="text1"/>
          <w:spacing w:val="-2"/>
          <w:sz w:val="16"/>
          <w:szCs w:val="16"/>
          <w:lang w:val="de-CH"/>
        </w:rPr>
        <w:t> bzw. wo immer Sie Ihre Lieblings-Podcasts finden. </w:t>
      </w:r>
    </w:p>
    <w:p w14:paraId="0A1F6EC8" w14:textId="77777777" w:rsidR="00D37950" w:rsidRPr="00BF6DC2" w:rsidRDefault="00D37950">
      <w:pPr>
        <w:tabs>
          <w:tab w:val="left" w:pos="3828"/>
          <w:tab w:val="left" w:pos="8364"/>
        </w:tabs>
        <w:spacing w:line="288" w:lineRule="auto"/>
        <w:ind w:right="1"/>
        <w:rPr>
          <w:rFonts w:ascii="Helvetica" w:hAnsi="Helvetica"/>
          <w:sz w:val="16"/>
          <w:szCs w:val="16"/>
          <w:lang w:val="de-CH"/>
        </w:rPr>
      </w:pPr>
    </w:p>
    <w:sectPr w:rsidR="00D37950" w:rsidRPr="00BF6DC2" w:rsidSect="00302AD1">
      <w:headerReference w:type="default" r:id="rId15"/>
      <w:footerReference w:type="even" r:id="rId16"/>
      <w:footerReference w:type="default" r:id="rId17"/>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F96FE" w14:textId="77777777" w:rsidR="006B00BC" w:rsidRDefault="006B00BC">
      <w:r>
        <w:separator/>
      </w:r>
    </w:p>
  </w:endnote>
  <w:endnote w:type="continuationSeparator" w:id="0">
    <w:p w14:paraId="3F29ED09" w14:textId="77777777" w:rsidR="006B00BC" w:rsidRDefault="006B0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A87B5" w14:textId="77777777" w:rsidR="006B00BC" w:rsidRDefault="006B00BC">
      <w:r>
        <w:separator/>
      </w:r>
    </w:p>
  </w:footnote>
  <w:footnote w:type="continuationSeparator" w:id="0">
    <w:p w14:paraId="208C313E" w14:textId="77777777" w:rsidR="006B00BC" w:rsidRDefault="006B00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332B"/>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8B5"/>
    <w:rsid w:val="0020490A"/>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458"/>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65B"/>
    <w:rsid w:val="003A7676"/>
    <w:rsid w:val="003A79D8"/>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331B"/>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405"/>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4F9A"/>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00B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D45"/>
    <w:rsid w:val="007C3E2C"/>
    <w:rsid w:val="007C4A0A"/>
    <w:rsid w:val="007C5418"/>
    <w:rsid w:val="007C5CA9"/>
    <w:rsid w:val="007C5D28"/>
    <w:rsid w:val="007C6343"/>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6E53"/>
    <w:rsid w:val="0088791E"/>
    <w:rsid w:val="00887AD1"/>
    <w:rsid w:val="00887BB3"/>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3104"/>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3180"/>
    <w:rsid w:val="009A391F"/>
    <w:rsid w:val="009A3EB4"/>
    <w:rsid w:val="009A5572"/>
    <w:rsid w:val="009A72B0"/>
    <w:rsid w:val="009A73E3"/>
    <w:rsid w:val="009A7882"/>
    <w:rsid w:val="009A7F0B"/>
    <w:rsid w:val="009B10EF"/>
    <w:rsid w:val="009B2249"/>
    <w:rsid w:val="009B233B"/>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6AC2"/>
    <w:rsid w:val="00A46CCE"/>
    <w:rsid w:val="00A5047C"/>
    <w:rsid w:val="00A51C3E"/>
    <w:rsid w:val="00A52880"/>
    <w:rsid w:val="00A5299A"/>
    <w:rsid w:val="00A52E9B"/>
    <w:rsid w:val="00A52FBF"/>
    <w:rsid w:val="00A533ED"/>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6B8"/>
    <w:rsid w:val="00A758E6"/>
    <w:rsid w:val="00A75B56"/>
    <w:rsid w:val="00A75D14"/>
    <w:rsid w:val="00A75F9D"/>
    <w:rsid w:val="00A76BE3"/>
    <w:rsid w:val="00A76E8B"/>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5E4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807A5"/>
    <w:rsid w:val="00B80A07"/>
    <w:rsid w:val="00B823AA"/>
    <w:rsid w:val="00B826A6"/>
    <w:rsid w:val="00B82811"/>
    <w:rsid w:val="00B82D19"/>
    <w:rsid w:val="00B82FD6"/>
    <w:rsid w:val="00B836B2"/>
    <w:rsid w:val="00B836CE"/>
    <w:rsid w:val="00B83906"/>
    <w:rsid w:val="00B84AC5"/>
    <w:rsid w:val="00B853A1"/>
    <w:rsid w:val="00B86E18"/>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6473"/>
    <w:rsid w:val="00BF6DC2"/>
    <w:rsid w:val="00C00296"/>
    <w:rsid w:val="00C00B2D"/>
    <w:rsid w:val="00C00E93"/>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5519"/>
    <w:rsid w:val="00CF6CE4"/>
    <w:rsid w:val="00CF77FE"/>
    <w:rsid w:val="00CF79C0"/>
    <w:rsid w:val="00CF7A3D"/>
    <w:rsid w:val="00CF7FFB"/>
    <w:rsid w:val="00D00396"/>
    <w:rsid w:val="00D00E39"/>
    <w:rsid w:val="00D0169D"/>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937"/>
    <w:rsid w:val="00E24546"/>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50C2"/>
    <w:rsid w:val="00E7699D"/>
    <w:rsid w:val="00E76F92"/>
    <w:rsid w:val="00E77DDF"/>
    <w:rsid w:val="00E80222"/>
    <w:rsid w:val="00E806C9"/>
    <w:rsid w:val="00E8276D"/>
    <w:rsid w:val="00E82CCD"/>
    <w:rsid w:val="00E83237"/>
    <w:rsid w:val="00E8350F"/>
    <w:rsid w:val="00E83EDE"/>
    <w:rsid w:val="00E8421E"/>
    <w:rsid w:val="00E842EE"/>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0E9"/>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secplicity.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atchguard.com/wgrd-resource-center/security-report-q2-2021"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ress-n-relations.amid-pr.com/AMID-PR/searchresult/searchresult.xhtml?searchString=Corey+Nachreiner&amp;searchId=0&amp;searchType=detailed" TargetMode="External"/><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1514</Words>
  <Characters>9545</Characters>
  <Application>Microsoft Office Word</Application>
  <DocSecurity>0</DocSecurity>
  <Lines>79</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11037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2</cp:revision>
  <cp:lastPrinted>2021-06-22T12:10:00Z</cp:lastPrinted>
  <dcterms:created xsi:type="dcterms:W3CDTF">2021-09-30T10:09:00Z</dcterms:created>
  <dcterms:modified xsi:type="dcterms:W3CDTF">2021-09-30T10:09:00Z</dcterms:modified>
  <cp:category/>
</cp:coreProperties>
</file>