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1F3EFE4E" w:rsidR="00AF2CB9" w:rsidRPr="00E224AF" w:rsidRDefault="002245E8"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51EA79A7" w:rsidR="00AF2CB9" w:rsidRPr="00E224AF" w:rsidRDefault="002245E8" w:rsidP="00AF2CB9">
      <w:pPr>
        <w:spacing w:line="288" w:lineRule="auto"/>
        <w:rPr>
          <w:rFonts w:ascii="Helvetica" w:hAnsi="Helvetica"/>
          <w:sz w:val="20"/>
          <w:szCs w:val="20"/>
        </w:rPr>
      </w:pPr>
      <w:r>
        <w:rPr>
          <w:rFonts w:ascii="Helvetica" w:hAnsi="Helvetica"/>
          <w:sz w:val="20"/>
          <w:szCs w:val="20"/>
        </w:rPr>
        <w:t>Zürich</w:t>
      </w:r>
      <w:r w:rsidR="00566F6A">
        <w:rPr>
          <w:rFonts w:ascii="Helvetica" w:hAnsi="Helvetica"/>
          <w:sz w:val="20"/>
          <w:szCs w:val="20"/>
        </w:rPr>
        <w:t>,</w:t>
      </w:r>
      <w:r w:rsidR="002C3420">
        <w:rPr>
          <w:rFonts w:ascii="Helvetica" w:hAnsi="Helvetica"/>
          <w:sz w:val="20"/>
          <w:szCs w:val="20"/>
        </w:rPr>
        <w:t xml:space="preserve"> 24</w:t>
      </w:r>
      <w:r w:rsidR="00566F6A">
        <w:rPr>
          <w:rFonts w:ascii="Helvetica" w:hAnsi="Helvetica"/>
          <w:sz w:val="20"/>
          <w:szCs w:val="20"/>
        </w:rPr>
        <w:t xml:space="preserve">. </w:t>
      </w:r>
      <w:r w:rsidR="009B05A5">
        <w:rPr>
          <w:rFonts w:ascii="Helvetica" w:hAnsi="Helvetica"/>
          <w:sz w:val="20"/>
          <w:szCs w:val="20"/>
        </w:rPr>
        <w:t>Juni</w:t>
      </w:r>
      <w:r w:rsidR="0049121E" w:rsidRPr="00C531C4">
        <w:rPr>
          <w:rFonts w:ascii="Helvetica" w:hAnsi="Helvetica"/>
          <w:sz w:val="20"/>
          <w:szCs w:val="20"/>
        </w:rPr>
        <w:t xml:space="preserve"> 2020</w:t>
      </w:r>
    </w:p>
    <w:p w14:paraId="1B9710D5" w14:textId="77777777" w:rsidR="005003B0" w:rsidRPr="00E224AF" w:rsidRDefault="005003B0" w:rsidP="00A75D14">
      <w:pPr>
        <w:tabs>
          <w:tab w:val="left" w:pos="6946"/>
          <w:tab w:val="left" w:pos="7088"/>
        </w:tabs>
        <w:spacing w:line="288" w:lineRule="auto"/>
        <w:ind w:right="2127"/>
        <w:rPr>
          <w:rFonts w:ascii="Helvetica" w:hAnsi="Helvetica"/>
        </w:rPr>
      </w:pPr>
    </w:p>
    <w:p w14:paraId="7E81C9A7" w14:textId="77777777" w:rsidR="00D40207" w:rsidRPr="006F6BDE" w:rsidRDefault="00D40207" w:rsidP="00D40207">
      <w:pPr>
        <w:tabs>
          <w:tab w:val="left" w:pos="8222"/>
        </w:tabs>
        <w:spacing w:line="288" w:lineRule="auto"/>
        <w:ind w:right="1273"/>
        <w:rPr>
          <w:rFonts w:ascii="Helvetica" w:hAnsi="Helvetica"/>
          <w:b/>
        </w:rPr>
      </w:pPr>
      <w:r>
        <w:rPr>
          <w:rFonts w:ascii="Helvetica" w:hAnsi="Helvetica"/>
          <w:b/>
        </w:rPr>
        <w:t>Von wegen sicher: HTTPS-Kommunikation gehört auf den Prüfstand</w:t>
      </w:r>
    </w:p>
    <w:p w14:paraId="5421FDB5" w14:textId="00AA02CA" w:rsidR="00D40207" w:rsidRDefault="00D40207" w:rsidP="00D40207">
      <w:pPr>
        <w:tabs>
          <w:tab w:val="left" w:pos="8222"/>
        </w:tabs>
        <w:spacing w:line="288" w:lineRule="auto"/>
        <w:ind w:right="1273"/>
        <w:rPr>
          <w:rFonts w:ascii="Helvetica" w:hAnsi="Helvetica"/>
          <w:b/>
          <w:sz w:val="20"/>
          <w:szCs w:val="20"/>
        </w:rPr>
      </w:pPr>
      <w:r>
        <w:rPr>
          <w:rFonts w:ascii="Helvetica" w:hAnsi="Helvetica"/>
          <w:b/>
          <w:sz w:val="20"/>
          <w:szCs w:val="20"/>
        </w:rPr>
        <w:t>Laut jüngstem Internet Security Report von WatchGuard zielen gross angelegte Malware-Kampagnen vor allem auf Deutschland ab</w:t>
      </w:r>
    </w:p>
    <w:p w14:paraId="370EF447" w14:textId="77777777" w:rsidR="00D40207" w:rsidRPr="008C04DA" w:rsidRDefault="00D40207" w:rsidP="00D40207">
      <w:pPr>
        <w:spacing w:line="288" w:lineRule="auto"/>
        <w:ind w:right="1273"/>
        <w:rPr>
          <w:rFonts w:ascii="Helvetica" w:hAnsi="Helvetica"/>
          <w:b/>
          <w:sz w:val="20"/>
          <w:szCs w:val="20"/>
        </w:rPr>
      </w:pPr>
    </w:p>
    <w:p w14:paraId="53BE145E" w14:textId="5BD9CC6E" w:rsidR="00D40207" w:rsidRDefault="00D40207" w:rsidP="00D40207">
      <w:pPr>
        <w:spacing w:line="288" w:lineRule="auto"/>
        <w:ind w:right="1273"/>
        <w:rPr>
          <w:rFonts w:ascii="Helvetica" w:hAnsi="Helvetica"/>
          <w:b/>
          <w:sz w:val="20"/>
          <w:szCs w:val="20"/>
        </w:rPr>
      </w:pPr>
      <w:r>
        <w:rPr>
          <w:rFonts w:ascii="Helvetica" w:hAnsi="Helvetica"/>
          <w:b/>
          <w:color w:val="000000" w:themeColor="text1"/>
          <w:sz w:val="20"/>
          <w:szCs w:val="20"/>
        </w:rPr>
        <w:t xml:space="preserve">Der aktuell veröffentlichte </w:t>
      </w:r>
      <w:hyperlink r:id="rId7" w:history="1">
        <w:r w:rsidRPr="002343CA">
          <w:rPr>
            <w:rStyle w:val="Hyperlink"/>
            <w:rFonts w:ascii="Helvetica" w:hAnsi="Helvetica"/>
            <w:b/>
            <w:sz w:val="20"/>
            <w:szCs w:val="20"/>
          </w:rPr>
          <w:t>WatchGuard Internet Security Report</w:t>
        </w:r>
      </w:hyperlink>
      <w:r w:rsidRPr="007515A7">
        <w:rPr>
          <w:rFonts w:ascii="Helvetica" w:hAnsi="Helvetica"/>
          <w:b/>
          <w:sz w:val="20"/>
          <w:szCs w:val="20"/>
        </w:rPr>
        <w:t xml:space="preserve"> </w:t>
      </w:r>
      <w:r>
        <w:rPr>
          <w:rFonts w:ascii="Helvetica" w:hAnsi="Helvetica"/>
          <w:b/>
          <w:sz w:val="20"/>
          <w:szCs w:val="20"/>
        </w:rPr>
        <w:t>für das erste Quartal 2020 bringt erneut spannende Erkenntnisse zur weltweiten Lage der IT-Sicherheit ans Licht. So wurde beispielsweise erstmals ein genauerer Blick auf die Verteilwege von Malware geworfen – mit aufrüttelnden Ergebnissen: Über 67 Prozent der insgesamt identifizierten Schadsoftware wurden via HTTPS (</w:t>
      </w:r>
      <w:r w:rsidRPr="003A387F">
        <w:rPr>
          <w:rFonts w:ascii="Helvetica" w:hAnsi="Helvetica"/>
          <w:b/>
          <w:sz w:val="20"/>
          <w:szCs w:val="20"/>
        </w:rPr>
        <w:t>Hypertext Transfer Protocol Secure</w:t>
      </w:r>
      <w:r>
        <w:rPr>
          <w:rFonts w:ascii="Helvetica" w:hAnsi="Helvetica"/>
          <w:b/>
          <w:sz w:val="20"/>
          <w:szCs w:val="20"/>
        </w:rPr>
        <w:t xml:space="preserve">) übertragen – und damit das Protokoll, welches eigentlich den sicheren Informationstransfer im Internet gewährleisten soll. Unternehmen, deren Sicherheitslösungen nicht in der Lage sind, diesen verschlüsselten Datenverkehr zu überprüfen, laufen Gefahr, zwei Drittel der eingehenden Bedrohungen erst gar nicht zu erkennen. Darüber hinaus wurden 72 Prozent der per HTTPS übertragenen, verschlüsselten Malware als „Zero Day“-Varianten klassifiziert, was bedeutet, dass für sie noch keine </w:t>
      </w:r>
      <w:r w:rsidRPr="007D36C9">
        <w:rPr>
          <w:rFonts w:ascii="Helvetica" w:hAnsi="Helvetica"/>
          <w:b/>
          <w:sz w:val="20"/>
          <w:szCs w:val="20"/>
        </w:rPr>
        <w:t>Antivirensignatur existiert</w:t>
      </w:r>
      <w:r>
        <w:rPr>
          <w:rFonts w:ascii="Helvetica" w:hAnsi="Helvetica"/>
          <w:b/>
          <w:sz w:val="20"/>
          <w:szCs w:val="20"/>
        </w:rPr>
        <w:t xml:space="preserve"> und </w:t>
      </w:r>
      <w:r w:rsidRPr="007D36C9">
        <w:rPr>
          <w:rFonts w:ascii="Helvetica" w:hAnsi="Helvetica"/>
          <w:b/>
          <w:sz w:val="20"/>
          <w:szCs w:val="20"/>
        </w:rPr>
        <w:t>signaturbasierte Schutzma</w:t>
      </w:r>
      <w:r>
        <w:rPr>
          <w:rFonts w:ascii="Helvetica" w:hAnsi="Helvetica"/>
          <w:b/>
          <w:sz w:val="20"/>
          <w:szCs w:val="20"/>
        </w:rPr>
        <w:t>ss</w:t>
      </w:r>
      <w:r w:rsidRPr="007D36C9">
        <w:rPr>
          <w:rFonts w:ascii="Helvetica" w:hAnsi="Helvetica"/>
          <w:b/>
          <w:sz w:val="20"/>
          <w:szCs w:val="20"/>
        </w:rPr>
        <w:t xml:space="preserve">nahmen </w:t>
      </w:r>
      <w:r>
        <w:rPr>
          <w:rFonts w:ascii="Helvetica" w:hAnsi="Helvetica"/>
          <w:b/>
          <w:sz w:val="20"/>
          <w:szCs w:val="20"/>
        </w:rPr>
        <w:t xml:space="preserve">den sprichwörtlich zahnlosen Tiger darstellen. </w:t>
      </w:r>
    </w:p>
    <w:p w14:paraId="3E204C6A" w14:textId="77777777" w:rsidR="00D40207" w:rsidRDefault="00D40207" w:rsidP="00D40207">
      <w:pPr>
        <w:spacing w:line="288" w:lineRule="auto"/>
        <w:ind w:right="1273"/>
        <w:rPr>
          <w:rFonts w:ascii="Helvetica" w:hAnsi="Helvetica"/>
          <w:b/>
          <w:sz w:val="20"/>
          <w:szCs w:val="20"/>
        </w:rPr>
      </w:pPr>
    </w:p>
    <w:p w14:paraId="7820586B" w14:textId="5345199F" w:rsidR="00D40207" w:rsidRDefault="00D40207" w:rsidP="00D40207">
      <w:pPr>
        <w:spacing w:line="288" w:lineRule="auto"/>
        <w:ind w:right="1273"/>
        <w:rPr>
          <w:rFonts w:ascii="Helvetica" w:hAnsi="Helvetica"/>
          <w:bCs/>
          <w:color w:val="000000" w:themeColor="text1"/>
          <w:sz w:val="20"/>
          <w:szCs w:val="20"/>
        </w:rPr>
      </w:pPr>
      <w:r w:rsidRPr="00737F0B">
        <w:rPr>
          <w:rFonts w:ascii="Helvetica" w:hAnsi="Helvetica"/>
          <w:bCs/>
          <w:sz w:val="20"/>
          <w:szCs w:val="20"/>
        </w:rPr>
        <w:t>Entsprechend dieser Auswertungen geht die klare Empfehlung der Experten</w:t>
      </w:r>
      <w:r>
        <w:rPr>
          <w:rFonts w:ascii="Helvetica" w:hAnsi="Helvetica"/>
          <w:bCs/>
          <w:sz w:val="20"/>
          <w:szCs w:val="20"/>
        </w:rPr>
        <w:t xml:space="preserve"> des WatchGuard Threat Labs</w:t>
      </w:r>
      <w:r w:rsidRPr="00737F0B">
        <w:rPr>
          <w:rFonts w:ascii="Helvetica" w:hAnsi="Helvetica"/>
          <w:bCs/>
          <w:sz w:val="20"/>
          <w:szCs w:val="20"/>
        </w:rPr>
        <w:t xml:space="preserve"> zum Einsatz von IT-Sicherheitslösungen, die auch HTTPS-Prüfungen umfassen und </w:t>
      </w:r>
      <w:r>
        <w:rPr>
          <w:rFonts w:ascii="Helvetica" w:hAnsi="Helvetica"/>
          <w:bCs/>
          <w:sz w:val="20"/>
          <w:szCs w:val="20"/>
        </w:rPr>
        <w:t>weitreichenden</w:t>
      </w:r>
      <w:r w:rsidRPr="00737F0B">
        <w:rPr>
          <w:rFonts w:ascii="Helvetica" w:hAnsi="Helvetica"/>
          <w:bCs/>
          <w:sz w:val="20"/>
          <w:szCs w:val="20"/>
        </w:rPr>
        <w:t xml:space="preserve"> </w:t>
      </w:r>
      <w:r>
        <w:rPr>
          <w:rFonts w:ascii="Helvetica" w:hAnsi="Helvetica"/>
          <w:bCs/>
          <w:sz w:val="20"/>
          <w:szCs w:val="20"/>
        </w:rPr>
        <w:t>Schutz</w:t>
      </w:r>
      <w:r w:rsidRPr="00737F0B">
        <w:rPr>
          <w:rFonts w:ascii="Helvetica" w:hAnsi="Helvetica"/>
          <w:bCs/>
          <w:sz w:val="20"/>
          <w:szCs w:val="20"/>
        </w:rPr>
        <w:t xml:space="preserve"> auf Basis fortschrittlicher Verhaltensanalyse gewährleisten. Der Invest in entsprechende Schutzma</w:t>
      </w:r>
      <w:r>
        <w:rPr>
          <w:rFonts w:ascii="Helvetica" w:hAnsi="Helvetica"/>
          <w:bCs/>
          <w:sz w:val="20"/>
          <w:szCs w:val="20"/>
        </w:rPr>
        <w:t>ss</w:t>
      </w:r>
      <w:r w:rsidRPr="00737F0B">
        <w:rPr>
          <w:rFonts w:ascii="Helvetica" w:hAnsi="Helvetica"/>
          <w:bCs/>
          <w:sz w:val="20"/>
          <w:szCs w:val="20"/>
        </w:rPr>
        <w:t>nahmen ist laut Report gerade in Deutschland mehr als gerechtfertigt: Neben Gro</w:t>
      </w:r>
      <w:r>
        <w:rPr>
          <w:rFonts w:ascii="Helvetica" w:hAnsi="Helvetica"/>
          <w:bCs/>
          <w:sz w:val="20"/>
          <w:szCs w:val="20"/>
        </w:rPr>
        <w:t>ss</w:t>
      </w:r>
      <w:r w:rsidRPr="00737F0B">
        <w:rPr>
          <w:rFonts w:ascii="Helvetica" w:hAnsi="Helvetica"/>
          <w:bCs/>
          <w:sz w:val="20"/>
          <w:szCs w:val="20"/>
        </w:rPr>
        <w:t>britannien war die Bundesrepublik im Ländervergleich das Hauptziel entsprechender Angriffe.</w:t>
      </w:r>
      <w:r>
        <w:rPr>
          <w:rFonts w:ascii="Helvetica" w:hAnsi="Helvetica"/>
          <w:bCs/>
          <w:sz w:val="20"/>
          <w:szCs w:val="20"/>
        </w:rPr>
        <w:t xml:space="preserve"> </w:t>
      </w:r>
      <w:r>
        <w:rPr>
          <w:rFonts w:ascii="Helvetica" w:hAnsi="Helvetica"/>
          <w:bCs/>
          <w:color w:val="000000" w:themeColor="text1"/>
          <w:sz w:val="20"/>
          <w:szCs w:val="20"/>
        </w:rPr>
        <w:t xml:space="preserve">Corey Nachreiner, </w:t>
      </w:r>
      <w:r w:rsidRPr="00DF7890">
        <w:rPr>
          <w:rFonts w:ascii="Helvetica" w:hAnsi="Helvetica"/>
          <w:bCs/>
          <w:sz w:val="20"/>
          <w:szCs w:val="20"/>
        </w:rPr>
        <w:t>Chief Technology Officer bei WatchGuard</w:t>
      </w:r>
      <w:r>
        <w:rPr>
          <w:rFonts w:ascii="Helvetica" w:hAnsi="Helvetica"/>
          <w:bCs/>
          <w:sz w:val="20"/>
          <w:szCs w:val="20"/>
        </w:rPr>
        <w:t>, unterstreicht:</w:t>
      </w:r>
      <w:r w:rsidRPr="00737F0B">
        <w:rPr>
          <w:rFonts w:ascii="Helvetica" w:hAnsi="Helvetica"/>
          <w:bCs/>
          <w:color w:val="000000" w:themeColor="text1"/>
          <w:sz w:val="20"/>
          <w:szCs w:val="20"/>
        </w:rPr>
        <w:t xml:space="preserve"> </w:t>
      </w:r>
      <w:r>
        <w:rPr>
          <w:rFonts w:ascii="Helvetica" w:hAnsi="Helvetica"/>
          <w:bCs/>
          <w:color w:val="000000" w:themeColor="text1"/>
          <w:sz w:val="20"/>
          <w:szCs w:val="20"/>
        </w:rPr>
        <w:t>„Gerade kleinere</w:t>
      </w:r>
      <w:r w:rsidRPr="00737F0B">
        <w:rPr>
          <w:rFonts w:ascii="Helvetica" w:hAnsi="Helvetica"/>
          <w:bCs/>
          <w:color w:val="000000" w:themeColor="text1"/>
          <w:sz w:val="20"/>
          <w:szCs w:val="20"/>
        </w:rPr>
        <w:t xml:space="preserve"> Organisationen </w:t>
      </w:r>
      <w:r>
        <w:rPr>
          <w:rFonts w:ascii="Helvetica" w:hAnsi="Helvetica"/>
          <w:bCs/>
          <w:color w:val="000000" w:themeColor="text1"/>
          <w:sz w:val="20"/>
          <w:szCs w:val="20"/>
        </w:rPr>
        <w:t xml:space="preserve">scheuen sich aufgrund des damit verbundenen Mehraufwandes noch davor, Lösungen zur </w:t>
      </w:r>
      <w:r w:rsidRPr="00737F0B">
        <w:rPr>
          <w:rFonts w:ascii="Helvetica" w:hAnsi="Helvetica"/>
          <w:bCs/>
          <w:color w:val="000000" w:themeColor="text1"/>
          <w:sz w:val="20"/>
          <w:szCs w:val="20"/>
        </w:rPr>
        <w:t>HTTPS-Inspektion einzurichten</w:t>
      </w:r>
      <w:r>
        <w:rPr>
          <w:rFonts w:ascii="Helvetica" w:hAnsi="Helvetica"/>
          <w:bCs/>
          <w:color w:val="000000" w:themeColor="text1"/>
          <w:sz w:val="20"/>
          <w:szCs w:val="20"/>
        </w:rPr>
        <w:t>. Unsere Analysen zeigen jedoch mehr als deutlich,</w:t>
      </w:r>
      <w:r w:rsidRPr="00737F0B">
        <w:rPr>
          <w:rFonts w:ascii="Helvetica" w:hAnsi="Helvetica"/>
          <w:bCs/>
          <w:color w:val="000000" w:themeColor="text1"/>
          <w:sz w:val="20"/>
          <w:szCs w:val="20"/>
        </w:rPr>
        <w:t xml:space="preserve"> dass ein Gro</w:t>
      </w:r>
      <w:r>
        <w:rPr>
          <w:rFonts w:ascii="Helvetica" w:hAnsi="Helvetica"/>
          <w:bCs/>
          <w:color w:val="000000" w:themeColor="text1"/>
          <w:sz w:val="20"/>
          <w:szCs w:val="20"/>
        </w:rPr>
        <w:t>ss</w:t>
      </w:r>
      <w:r w:rsidRPr="00737F0B">
        <w:rPr>
          <w:rFonts w:ascii="Helvetica" w:hAnsi="Helvetica"/>
          <w:bCs/>
          <w:color w:val="000000" w:themeColor="text1"/>
          <w:sz w:val="20"/>
          <w:szCs w:val="20"/>
        </w:rPr>
        <w:t xml:space="preserve">teil der Malware über verschlüsselte Verbindungen übertragen wird und es einfach keine Option mehr ist, den Datenverkehr ungeprüft </w:t>
      </w:r>
      <w:r>
        <w:rPr>
          <w:rFonts w:ascii="Helvetica" w:hAnsi="Helvetica"/>
          <w:bCs/>
          <w:color w:val="000000" w:themeColor="text1"/>
          <w:sz w:val="20"/>
          <w:szCs w:val="20"/>
        </w:rPr>
        <w:t xml:space="preserve">fliessen </w:t>
      </w:r>
      <w:r w:rsidRPr="00737F0B">
        <w:rPr>
          <w:rFonts w:ascii="Helvetica" w:hAnsi="Helvetica"/>
          <w:bCs/>
          <w:color w:val="000000" w:themeColor="text1"/>
          <w:sz w:val="20"/>
          <w:szCs w:val="20"/>
        </w:rPr>
        <w:t>zu lassen</w:t>
      </w:r>
      <w:r>
        <w:rPr>
          <w:rFonts w:ascii="Helvetica" w:hAnsi="Helvetica"/>
          <w:bCs/>
          <w:color w:val="000000" w:themeColor="text1"/>
          <w:sz w:val="20"/>
          <w:szCs w:val="20"/>
        </w:rPr>
        <w:t xml:space="preserve">.“ Um im Wettrüsten mit den Cyberkriminellen mithalten zu können, zählt laut Nachreiner die </w:t>
      </w:r>
      <w:r w:rsidRPr="00737F0B">
        <w:rPr>
          <w:rFonts w:ascii="Helvetica" w:hAnsi="Helvetica"/>
          <w:bCs/>
          <w:color w:val="000000" w:themeColor="text1"/>
          <w:sz w:val="20"/>
          <w:szCs w:val="20"/>
        </w:rPr>
        <w:t xml:space="preserve">Implementierung </w:t>
      </w:r>
      <w:r>
        <w:rPr>
          <w:rFonts w:ascii="Helvetica" w:hAnsi="Helvetica"/>
          <w:bCs/>
          <w:color w:val="000000" w:themeColor="text1"/>
          <w:sz w:val="20"/>
          <w:szCs w:val="20"/>
        </w:rPr>
        <w:t>unterschiedlichster,</w:t>
      </w:r>
      <w:r w:rsidRPr="00737F0B">
        <w:rPr>
          <w:rFonts w:ascii="Helvetica" w:hAnsi="Helvetica"/>
          <w:bCs/>
          <w:color w:val="000000" w:themeColor="text1"/>
          <w:sz w:val="20"/>
          <w:szCs w:val="20"/>
        </w:rPr>
        <w:t xml:space="preserve"> mehrschichtiger Sicherheitsdienst</w:t>
      </w:r>
      <w:r>
        <w:rPr>
          <w:rFonts w:ascii="Helvetica" w:hAnsi="Helvetica"/>
          <w:bCs/>
          <w:color w:val="000000" w:themeColor="text1"/>
          <w:sz w:val="20"/>
          <w:szCs w:val="20"/>
        </w:rPr>
        <w:t>e.</w:t>
      </w:r>
      <w:r w:rsidRPr="00737F0B">
        <w:rPr>
          <w:rFonts w:ascii="Helvetica" w:hAnsi="Helvetica"/>
          <w:bCs/>
          <w:color w:val="000000" w:themeColor="text1"/>
          <w:sz w:val="20"/>
          <w:szCs w:val="20"/>
        </w:rPr>
        <w:t xml:space="preserve"> </w:t>
      </w:r>
      <w:r>
        <w:rPr>
          <w:rFonts w:ascii="Helvetica" w:hAnsi="Helvetica"/>
          <w:bCs/>
          <w:color w:val="000000" w:themeColor="text1"/>
          <w:sz w:val="20"/>
          <w:szCs w:val="20"/>
        </w:rPr>
        <w:t xml:space="preserve">Wie unabhängige Tests ergaben, sind Anwender mit den Lösungen von WatchGuard nicht nur im Hinblick auf ihre Abwehr, sondern auch performanceseitig gut aufgestellt. So zeigte die Firebox M270 in einer Analyse von Miercom beispielsweise </w:t>
      </w:r>
      <w:r w:rsidRPr="00C87FF9">
        <w:rPr>
          <w:rFonts w:ascii="Helvetica" w:hAnsi="Helvetica"/>
          <w:bCs/>
          <w:color w:val="000000" w:themeColor="text1"/>
          <w:sz w:val="20"/>
          <w:szCs w:val="20"/>
        </w:rPr>
        <w:t xml:space="preserve">einen gleichbleibend hohen Durchsatz </w:t>
      </w:r>
      <w:r>
        <w:rPr>
          <w:rFonts w:ascii="Helvetica" w:hAnsi="Helvetica"/>
          <w:bCs/>
          <w:color w:val="000000" w:themeColor="text1"/>
          <w:sz w:val="20"/>
          <w:szCs w:val="20"/>
        </w:rPr>
        <w:t xml:space="preserve">bei der </w:t>
      </w:r>
      <w:r w:rsidRPr="00C87FF9">
        <w:rPr>
          <w:rFonts w:ascii="Helvetica" w:hAnsi="Helvetica"/>
          <w:bCs/>
          <w:color w:val="000000" w:themeColor="text1"/>
          <w:sz w:val="20"/>
          <w:szCs w:val="20"/>
        </w:rPr>
        <w:t xml:space="preserve">Überprüfung </w:t>
      </w:r>
      <w:r>
        <w:rPr>
          <w:rFonts w:ascii="Helvetica" w:hAnsi="Helvetica"/>
          <w:bCs/>
          <w:color w:val="000000" w:themeColor="text1"/>
          <w:sz w:val="20"/>
          <w:szCs w:val="20"/>
        </w:rPr>
        <w:t>des</w:t>
      </w:r>
      <w:r w:rsidRPr="00C87FF9">
        <w:rPr>
          <w:rFonts w:ascii="Helvetica" w:hAnsi="Helvetica"/>
          <w:bCs/>
          <w:color w:val="000000" w:themeColor="text1"/>
          <w:sz w:val="20"/>
          <w:szCs w:val="20"/>
        </w:rPr>
        <w:t xml:space="preserve"> HTTPS-Verkehr</w:t>
      </w:r>
      <w:r>
        <w:rPr>
          <w:rFonts w:ascii="Helvetica" w:hAnsi="Helvetica"/>
          <w:bCs/>
          <w:color w:val="000000" w:themeColor="text1"/>
          <w:sz w:val="20"/>
          <w:szCs w:val="20"/>
        </w:rPr>
        <w:t xml:space="preserve"> und liess damit andere Wettbewerbsprodukte hinter sich. </w:t>
      </w:r>
    </w:p>
    <w:p w14:paraId="0BECFFE1" w14:textId="77777777" w:rsidR="00D40207" w:rsidRDefault="00D40207" w:rsidP="00D40207">
      <w:pPr>
        <w:spacing w:line="288" w:lineRule="auto"/>
        <w:ind w:right="1273"/>
        <w:rPr>
          <w:rFonts w:ascii="Helvetica" w:hAnsi="Helvetica"/>
          <w:bCs/>
          <w:color w:val="000000" w:themeColor="text1"/>
          <w:sz w:val="20"/>
          <w:szCs w:val="20"/>
        </w:rPr>
      </w:pPr>
    </w:p>
    <w:p w14:paraId="1E2109B9" w14:textId="77777777" w:rsidR="00D40207" w:rsidRPr="002A1F34" w:rsidRDefault="00D40207" w:rsidP="00D40207">
      <w:pPr>
        <w:spacing w:line="288" w:lineRule="auto"/>
        <w:ind w:right="1273"/>
        <w:rPr>
          <w:rFonts w:ascii="Helvetica" w:hAnsi="Helvetica"/>
          <w:bCs/>
          <w:color w:val="000000" w:themeColor="text1"/>
          <w:sz w:val="20"/>
          <w:szCs w:val="20"/>
        </w:rPr>
      </w:pPr>
      <w:r>
        <w:rPr>
          <w:rFonts w:ascii="Helvetica" w:hAnsi="Helvetica"/>
          <w:bCs/>
          <w:color w:val="000000" w:themeColor="text1"/>
          <w:sz w:val="20"/>
          <w:szCs w:val="20"/>
        </w:rPr>
        <w:t>Weitere wichtige Erkenntnisse des Berichts zum ersten Quartal 2020:</w:t>
      </w:r>
    </w:p>
    <w:p w14:paraId="747EAD69" w14:textId="77777777" w:rsidR="00D40207" w:rsidRPr="00A06FFF" w:rsidRDefault="00D40207" w:rsidP="00D40207">
      <w:pPr>
        <w:spacing w:line="288" w:lineRule="auto"/>
        <w:ind w:right="1273"/>
        <w:rPr>
          <w:rFonts w:ascii="Helvetica" w:hAnsi="Helvetica"/>
          <w:color w:val="000000" w:themeColor="text1"/>
          <w:sz w:val="20"/>
          <w:szCs w:val="20"/>
        </w:rPr>
      </w:pPr>
    </w:p>
    <w:p w14:paraId="3ACF7F9E" w14:textId="77777777" w:rsidR="00D40207" w:rsidRPr="00007264" w:rsidRDefault="00D40207" w:rsidP="00D40207">
      <w:pPr>
        <w:pStyle w:val="Listenabsatz"/>
        <w:numPr>
          <w:ilvl w:val="0"/>
          <w:numId w:val="49"/>
        </w:numPr>
        <w:spacing w:line="288" w:lineRule="auto"/>
        <w:ind w:right="1273"/>
        <w:rPr>
          <w:rFonts w:ascii="Helvetica" w:hAnsi="Helvetica"/>
          <w:color w:val="000000" w:themeColor="text1"/>
          <w:sz w:val="20"/>
          <w:szCs w:val="20"/>
        </w:rPr>
      </w:pPr>
      <w:r>
        <w:rPr>
          <w:rFonts w:ascii="Helvetica" w:hAnsi="Helvetica"/>
          <w:b/>
          <w:color w:val="000000" w:themeColor="text1"/>
          <w:sz w:val="20"/>
          <w:szCs w:val="20"/>
        </w:rPr>
        <w:t xml:space="preserve">Gefahr durch Kryptowährung „Monero“: </w:t>
      </w:r>
      <w:r>
        <w:rPr>
          <w:rFonts w:ascii="Helvetica" w:hAnsi="Helvetica"/>
          <w:bCs/>
          <w:color w:val="000000" w:themeColor="text1"/>
          <w:sz w:val="20"/>
          <w:szCs w:val="20"/>
        </w:rPr>
        <w:t xml:space="preserve">Fünf der zehn prominentesten </w:t>
      </w:r>
      <w:r w:rsidRPr="008A2089">
        <w:rPr>
          <w:rFonts w:ascii="Helvetica" w:hAnsi="Helvetica"/>
          <w:bCs/>
          <w:color w:val="000000" w:themeColor="text1"/>
          <w:sz w:val="20"/>
          <w:szCs w:val="20"/>
        </w:rPr>
        <w:t>vo</w:t>
      </w:r>
      <w:r>
        <w:rPr>
          <w:rFonts w:ascii="Helvetica" w:hAnsi="Helvetica"/>
          <w:bCs/>
          <w:color w:val="000000" w:themeColor="text1"/>
          <w:sz w:val="20"/>
          <w:szCs w:val="20"/>
        </w:rPr>
        <w:t>m</w:t>
      </w:r>
      <w:r w:rsidRPr="008A2089">
        <w:rPr>
          <w:rFonts w:ascii="Helvetica" w:hAnsi="Helvetica"/>
          <w:bCs/>
          <w:color w:val="000000" w:themeColor="text1"/>
          <w:sz w:val="20"/>
          <w:szCs w:val="20"/>
        </w:rPr>
        <w:t xml:space="preserve"> DNS-Filterdienst</w:t>
      </w:r>
      <w:r w:rsidRPr="002A1F34">
        <w:rPr>
          <w:rFonts w:ascii="Helvetica" w:hAnsi="Helvetica"/>
          <w:b/>
          <w:color w:val="000000" w:themeColor="text1"/>
          <w:sz w:val="20"/>
          <w:szCs w:val="20"/>
        </w:rPr>
        <w:t xml:space="preserve"> </w:t>
      </w:r>
      <w:r>
        <w:rPr>
          <w:rFonts w:ascii="Helvetica" w:hAnsi="Helvetica"/>
          <w:b/>
          <w:color w:val="000000" w:themeColor="text1"/>
          <w:sz w:val="20"/>
          <w:szCs w:val="20"/>
        </w:rPr>
        <w:t>„</w:t>
      </w:r>
      <w:r w:rsidRPr="008A2089">
        <w:rPr>
          <w:rFonts w:ascii="Helvetica" w:hAnsi="Helvetica"/>
          <w:bCs/>
          <w:color w:val="000000" w:themeColor="text1"/>
          <w:sz w:val="20"/>
          <w:szCs w:val="20"/>
        </w:rPr>
        <w:t>DNSWatch</w:t>
      </w:r>
      <w:r>
        <w:rPr>
          <w:rFonts w:ascii="Helvetica" w:hAnsi="Helvetica"/>
          <w:bCs/>
          <w:color w:val="000000" w:themeColor="text1"/>
          <w:sz w:val="20"/>
          <w:szCs w:val="20"/>
        </w:rPr>
        <w:t xml:space="preserve">“ identifizierten Domains zur Malware-Verbreitung </w:t>
      </w:r>
      <w:r>
        <w:rPr>
          <w:rFonts w:ascii="Helvetica" w:hAnsi="Helvetica"/>
          <w:bCs/>
          <w:color w:val="000000" w:themeColor="text1"/>
          <w:sz w:val="20"/>
          <w:szCs w:val="20"/>
        </w:rPr>
        <w:lastRenderedPageBreak/>
        <w:t>stehen in Verbindung mit der Kryptowährung „Monero“. Dieser sprunghafte Anstieg der Popularität von Kryptominern liegt möglicherweise in den einfachen und gleichzeitig vielversprechenden Missbrauchsmöglichkeiten begründet: Der Zusammenschluss von Malware und Kryptominer-Modul ist schnell bewerkstelligt und sichert Cyberkriminellen zusätzliches Einkommen.</w:t>
      </w:r>
    </w:p>
    <w:p w14:paraId="455FAE95" w14:textId="77777777" w:rsidR="00D40207" w:rsidRPr="00A955AF" w:rsidRDefault="00D40207" w:rsidP="00D40207">
      <w:pPr>
        <w:pStyle w:val="Listenabsatz"/>
        <w:spacing w:line="288" w:lineRule="auto"/>
        <w:ind w:right="1273"/>
        <w:rPr>
          <w:rFonts w:ascii="Helvetica" w:hAnsi="Helvetica"/>
          <w:color w:val="000000" w:themeColor="text1"/>
          <w:sz w:val="20"/>
          <w:szCs w:val="20"/>
        </w:rPr>
      </w:pPr>
    </w:p>
    <w:p w14:paraId="02B97056" w14:textId="77777777" w:rsidR="00D40207" w:rsidRDefault="00D40207" w:rsidP="00D40207">
      <w:pPr>
        <w:pStyle w:val="Listenabsatz"/>
        <w:numPr>
          <w:ilvl w:val="0"/>
          <w:numId w:val="49"/>
        </w:numPr>
        <w:spacing w:line="288" w:lineRule="auto"/>
        <w:ind w:right="1273"/>
        <w:rPr>
          <w:rFonts w:ascii="Helvetica" w:hAnsi="Helvetica"/>
          <w:color w:val="000000" w:themeColor="text1"/>
          <w:sz w:val="20"/>
          <w:szCs w:val="20"/>
        </w:rPr>
      </w:pPr>
      <w:r w:rsidRPr="00A955AF">
        <w:rPr>
          <w:rFonts w:ascii="Helvetica" w:hAnsi="Helvetica"/>
          <w:b/>
          <w:bCs/>
          <w:color w:val="000000" w:themeColor="text1"/>
          <w:sz w:val="20"/>
          <w:szCs w:val="20"/>
        </w:rPr>
        <w:t xml:space="preserve">Malware-Varianten </w:t>
      </w:r>
      <w:r>
        <w:rPr>
          <w:rFonts w:ascii="Helvetica" w:hAnsi="Helvetica"/>
          <w:b/>
          <w:bCs/>
          <w:color w:val="000000" w:themeColor="text1"/>
          <w:sz w:val="20"/>
          <w:szCs w:val="20"/>
        </w:rPr>
        <w:t xml:space="preserve">wie </w:t>
      </w:r>
      <w:r w:rsidRPr="00A955AF">
        <w:rPr>
          <w:rFonts w:ascii="Helvetica" w:hAnsi="Helvetica"/>
          <w:b/>
          <w:bCs/>
          <w:color w:val="000000" w:themeColor="text1"/>
          <w:sz w:val="20"/>
          <w:szCs w:val="20"/>
        </w:rPr>
        <w:t xml:space="preserve">„Flawed-Ammyy“ und „Cryxos“ </w:t>
      </w:r>
      <w:r>
        <w:rPr>
          <w:rFonts w:ascii="Helvetica" w:hAnsi="Helvetica"/>
          <w:b/>
          <w:bCs/>
          <w:color w:val="000000" w:themeColor="text1"/>
          <w:sz w:val="20"/>
          <w:szCs w:val="20"/>
        </w:rPr>
        <w:t>gehen trickreich ans Werk</w:t>
      </w:r>
      <w:r w:rsidRPr="00A955AF">
        <w:rPr>
          <w:rFonts w:ascii="Helvetica" w:hAnsi="Helvetica"/>
          <w:b/>
          <w:bCs/>
          <w:color w:val="000000" w:themeColor="text1"/>
          <w:sz w:val="20"/>
          <w:szCs w:val="20"/>
        </w:rPr>
        <w:t>:</w:t>
      </w:r>
      <w:r>
        <w:rPr>
          <w:rFonts w:ascii="Helvetica" w:hAnsi="Helvetica"/>
          <w:color w:val="000000" w:themeColor="text1"/>
          <w:sz w:val="20"/>
          <w:szCs w:val="20"/>
        </w:rPr>
        <w:t xml:space="preserve"> Der regional weitverbreitete </w:t>
      </w:r>
      <w:r w:rsidRPr="00A955AF">
        <w:rPr>
          <w:rFonts w:ascii="Helvetica" w:hAnsi="Helvetica"/>
          <w:color w:val="000000" w:themeColor="text1"/>
          <w:sz w:val="20"/>
          <w:szCs w:val="20"/>
        </w:rPr>
        <w:t xml:space="preserve">Trojaner </w:t>
      </w:r>
      <w:r>
        <w:rPr>
          <w:rFonts w:ascii="Helvetica" w:hAnsi="Helvetica"/>
          <w:color w:val="000000" w:themeColor="text1"/>
          <w:sz w:val="20"/>
          <w:szCs w:val="20"/>
        </w:rPr>
        <w:t>„</w:t>
      </w:r>
      <w:r w:rsidRPr="00A955AF">
        <w:rPr>
          <w:rFonts w:ascii="Helvetica" w:hAnsi="Helvetica"/>
          <w:color w:val="000000" w:themeColor="text1"/>
          <w:sz w:val="20"/>
          <w:szCs w:val="20"/>
        </w:rPr>
        <w:t>Cryxos</w:t>
      </w:r>
      <w:r>
        <w:rPr>
          <w:rFonts w:ascii="Helvetica" w:hAnsi="Helvetica"/>
          <w:color w:val="000000" w:themeColor="text1"/>
          <w:sz w:val="20"/>
          <w:szCs w:val="20"/>
        </w:rPr>
        <w:t>“</w:t>
      </w:r>
      <w:r w:rsidRPr="00A955AF">
        <w:rPr>
          <w:rFonts w:ascii="Helvetica" w:hAnsi="Helvetica"/>
          <w:color w:val="000000" w:themeColor="text1"/>
          <w:sz w:val="20"/>
          <w:szCs w:val="20"/>
        </w:rPr>
        <w:t xml:space="preserve"> stand auf der </w:t>
      </w:r>
      <w:r>
        <w:rPr>
          <w:rFonts w:ascii="Helvetica" w:hAnsi="Helvetica"/>
          <w:color w:val="000000" w:themeColor="text1"/>
          <w:sz w:val="20"/>
          <w:szCs w:val="20"/>
        </w:rPr>
        <w:t>Top-5-</w:t>
      </w:r>
      <w:r w:rsidRPr="00A955AF">
        <w:rPr>
          <w:rFonts w:ascii="Helvetica" w:hAnsi="Helvetica"/>
          <w:color w:val="000000" w:themeColor="text1"/>
          <w:sz w:val="20"/>
          <w:szCs w:val="20"/>
        </w:rPr>
        <w:t>Liste der verschlüsselten Malware-Varianten von WatchGuard an dritter Stelle</w:t>
      </w:r>
      <w:r>
        <w:rPr>
          <w:rFonts w:ascii="Helvetica" w:hAnsi="Helvetica"/>
          <w:color w:val="000000" w:themeColor="text1"/>
          <w:sz w:val="20"/>
          <w:szCs w:val="20"/>
        </w:rPr>
        <w:t xml:space="preserve">. </w:t>
      </w:r>
      <w:r w:rsidRPr="00A955AF">
        <w:rPr>
          <w:rFonts w:ascii="Helvetica" w:hAnsi="Helvetica"/>
          <w:color w:val="000000" w:themeColor="text1"/>
          <w:sz w:val="20"/>
          <w:szCs w:val="20"/>
        </w:rPr>
        <w:t xml:space="preserve">Er </w:t>
      </w:r>
      <w:r>
        <w:rPr>
          <w:rFonts w:ascii="Helvetica" w:hAnsi="Helvetica"/>
          <w:color w:val="000000" w:themeColor="text1"/>
          <w:sz w:val="20"/>
          <w:szCs w:val="20"/>
        </w:rPr>
        <w:t>kommt</w:t>
      </w:r>
      <w:r w:rsidRPr="00A955AF">
        <w:rPr>
          <w:rFonts w:ascii="Helvetica" w:hAnsi="Helvetica"/>
          <w:color w:val="000000" w:themeColor="text1"/>
          <w:sz w:val="20"/>
          <w:szCs w:val="20"/>
        </w:rPr>
        <w:t xml:space="preserve"> als E-Mail-Anhang </w:t>
      </w:r>
      <w:r>
        <w:rPr>
          <w:rFonts w:ascii="Helvetica" w:hAnsi="Helvetica"/>
          <w:color w:val="000000" w:themeColor="text1"/>
          <w:sz w:val="20"/>
          <w:szCs w:val="20"/>
        </w:rPr>
        <w:t>einer fingierten Rechnung daher und fordert</w:t>
      </w:r>
      <w:r w:rsidRPr="00A955AF">
        <w:rPr>
          <w:rFonts w:ascii="Helvetica" w:hAnsi="Helvetica"/>
          <w:color w:val="000000" w:themeColor="text1"/>
          <w:sz w:val="20"/>
          <w:szCs w:val="20"/>
        </w:rPr>
        <w:t xml:space="preserve"> Benutzer auf, E-Mail und Passwort einzugeben</w:t>
      </w:r>
      <w:r>
        <w:rPr>
          <w:rFonts w:ascii="Helvetica" w:hAnsi="Helvetica"/>
          <w:color w:val="000000" w:themeColor="text1"/>
          <w:sz w:val="20"/>
          <w:szCs w:val="20"/>
        </w:rPr>
        <w:t>. Ebenfalls sehr oft kam  „</w:t>
      </w:r>
      <w:r w:rsidRPr="00A955AF">
        <w:rPr>
          <w:rFonts w:ascii="Helvetica" w:hAnsi="Helvetica"/>
          <w:color w:val="000000" w:themeColor="text1"/>
          <w:sz w:val="20"/>
          <w:szCs w:val="20"/>
        </w:rPr>
        <w:t>Flawed-Ammyy</w:t>
      </w:r>
      <w:r>
        <w:rPr>
          <w:rFonts w:ascii="Helvetica" w:hAnsi="Helvetica"/>
          <w:color w:val="000000" w:themeColor="text1"/>
          <w:sz w:val="20"/>
          <w:szCs w:val="20"/>
        </w:rPr>
        <w:t>“</w:t>
      </w:r>
      <w:r w:rsidRPr="00A955AF">
        <w:rPr>
          <w:rFonts w:ascii="Helvetica" w:hAnsi="Helvetica"/>
          <w:color w:val="000000" w:themeColor="text1"/>
          <w:sz w:val="20"/>
          <w:szCs w:val="20"/>
        </w:rPr>
        <w:t xml:space="preserve"> </w:t>
      </w:r>
      <w:r>
        <w:rPr>
          <w:rFonts w:ascii="Helvetica" w:hAnsi="Helvetica"/>
          <w:color w:val="000000" w:themeColor="text1"/>
          <w:sz w:val="20"/>
          <w:szCs w:val="20"/>
        </w:rPr>
        <w:t>zum Einsatz. Dabei handelt es sich um einen</w:t>
      </w:r>
      <w:r w:rsidRPr="00A955AF">
        <w:rPr>
          <w:rFonts w:ascii="Helvetica" w:hAnsi="Helvetica"/>
          <w:color w:val="000000" w:themeColor="text1"/>
          <w:sz w:val="20"/>
          <w:szCs w:val="20"/>
        </w:rPr>
        <w:t xml:space="preserve"> </w:t>
      </w:r>
      <w:r>
        <w:rPr>
          <w:rFonts w:ascii="Helvetica" w:hAnsi="Helvetica"/>
          <w:color w:val="000000" w:themeColor="text1"/>
          <w:sz w:val="20"/>
          <w:szCs w:val="20"/>
        </w:rPr>
        <w:t xml:space="preserve">sogenannten </w:t>
      </w:r>
      <w:r w:rsidRPr="00A955AF">
        <w:rPr>
          <w:rFonts w:ascii="Helvetica" w:hAnsi="Helvetica"/>
          <w:color w:val="000000" w:themeColor="text1"/>
          <w:sz w:val="20"/>
          <w:szCs w:val="20"/>
        </w:rPr>
        <w:t>Support</w:t>
      </w:r>
      <w:r>
        <w:rPr>
          <w:rFonts w:ascii="Helvetica" w:hAnsi="Helvetica"/>
          <w:color w:val="000000" w:themeColor="text1"/>
          <w:sz w:val="20"/>
          <w:szCs w:val="20"/>
        </w:rPr>
        <w:t xml:space="preserve"> Scam</w:t>
      </w:r>
      <w:r w:rsidRPr="00A955AF">
        <w:rPr>
          <w:rFonts w:ascii="Helvetica" w:hAnsi="Helvetica"/>
          <w:color w:val="000000" w:themeColor="text1"/>
          <w:sz w:val="20"/>
          <w:szCs w:val="20"/>
        </w:rPr>
        <w:t>, bei dem der Angreifer die Support-Software Ammyy Admin benutzt, um Fernzugriff auf den Computer des Opfers zu erhalten.</w:t>
      </w:r>
    </w:p>
    <w:p w14:paraId="1F173D6E" w14:textId="77777777" w:rsidR="00D40207" w:rsidRPr="00B14A7D" w:rsidRDefault="00D40207" w:rsidP="00D40207">
      <w:pPr>
        <w:spacing w:line="288" w:lineRule="auto"/>
        <w:ind w:right="1273"/>
        <w:rPr>
          <w:rFonts w:ascii="Helvetica" w:hAnsi="Helvetica"/>
          <w:color w:val="000000" w:themeColor="text1"/>
          <w:sz w:val="20"/>
          <w:szCs w:val="20"/>
        </w:rPr>
      </w:pPr>
    </w:p>
    <w:p w14:paraId="599C628E" w14:textId="419E8081" w:rsidR="00D40207" w:rsidRDefault="00D40207" w:rsidP="00D40207">
      <w:pPr>
        <w:pStyle w:val="Listenabsatz"/>
        <w:numPr>
          <w:ilvl w:val="0"/>
          <w:numId w:val="49"/>
        </w:numPr>
        <w:spacing w:line="288" w:lineRule="auto"/>
        <w:ind w:right="1273"/>
        <w:rPr>
          <w:rFonts w:ascii="Helvetica" w:hAnsi="Helvetica"/>
          <w:color w:val="000000" w:themeColor="text1"/>
          <w:sz w:val="20"/>
          <w:szCs w:val="20"/>
        </w:rPr>
      </w:pPr>
      <w:r>
        <w:rPr>
          <w:rFonts w:ascii="Helvetica" w:hAnsi="Helvetica"/>
          <w:b/>
          <w:bCs/>
          <w:color w:val="000000" w:themeColor="text1"/>
          <w:sz w:val="20"/>
          <w:szCs w:val="20"/>
        </w:rPr>
        <w:t>Risiko</w:t>
      </w:r>
      <w:r w:rsidRPr="00B14A7D">
        <w:rPr>
          <w:rFonts w:ascii="Helvetica" w:hAnsi="Helvetica"/>
          <w:b/>
          <w:bCs/>
          <w:color w:val="000000" w:themeColor="text1"/>
          <w:sz w:val="20"/>
          <w:szCs w:val="20"/>
        </w:rPr>
        <w:t xml:space="preserve"> einer </w:t>
      </w:r>
      <w:r>
        <w:rPr>
          <w:rFonts w:ascii="Helvetica" w:hAnsi="Helvetica"/>
          <w:b/>
          <w:bCs/>
          <w:color w:val="000000" w:themeColor="text1"/>
          <w:sz w:val="20"/>
          <w:szCs w:val="20"/>
        </w:rPr>
        <w:t xml:space="preserve">mittlerweile </w:t>
      </w:r>
      <w:r w:rsidRPr="00B14A7D">
        <w:rPr>
          <w:rFonts w:ascii="Helvetica" w:hAnsi="Helvetica"/>
          <w:b/>
          <w:bCs/>
          <w:color w:val="000000" w:themeColor="text1"/>
          <w:sz w:val="20"/>
          <w:szCs w:val="20"/>
        </w:rPr>
        <w:t xml:space="preserve">drei Jahre alten Adobe-Sicherheitslücke </w:t>
      </w:r>
      <w:r>
        <w:rPr>
          <w:rFonts w:ascii="Helvetica" w:hAnsi="Helvetica"/>
          <w:b/>
          <w:bCs/>
          <w:color w:val="000000" w:themeColor="text1"/>
          <w:sz w:val="20"/>
          <w:szCs w:val="20"/>
        </w:rPr>
        <w:t>präsenter denn je</w:t>
      </w:r>
      <w:r w:rsidRPr="00B14A7D">
        <w:rPr>
          <w:rFonts w:ascii="Helvetica" w:hAnsi="Helvetica"/>
          <w:b/>
          <w:bCs/>
          <w:color w:val="000000" w:themeColor="text1"/>
          <w:sz w:val="20"/>
          <w:szCs w:val="20"/>
        </w:rPr>
        <w:t>:</w:t>
      </w:r>
      <w:r>
        <w:rPr>
          <w:rFonts w:ascii="Helvetica" w:hAnsi="Helvetica"/>
          <w:color w:val="000000" w:themeColor="text1"/>
          <w:sz w:val="20"/>
          <w:szCs w:val="20"/>
        </w:rPr>
        <w:t xml:space="preserve"> Zum ersten Mal taucht eine bereits im August 2017 gepatchte Schwachstelle im </w:t>
      </w:r>
      <w:r w:rsidRPr="00B14A7D">
        <w:rPr>
          <w:rFonts w:ascii="Helvetica" w:hAnsi="Helvetica"/>
          <w:color w:val="000000" w:themeColor="text1"/>
          <w:sz w:val="20"/>
          <w:szCs w:val="20"/>
        </w:rPr>
        <w:t>Adobe Acrobat Reader</w:t>
      </w:r>
      <w:r>
        <w:rPr>
          <w:rFonts w:ascii="Helvetica" w:hAnsi="Helvetica"/>
          <w:color w:val="000000" w:themeColor="text1"/>
          <w:sz w:val="20"/>
          <w:szCs w:val="20"/>
        </w:rPr>
        <w:t xml:space="preserve"> in der WatchGuard-Liste der häufigsten Einfallstore ins Netzwerk auf. Diese Tatsache zeigt, wie wichtig es ist, Patches regelmässig auszuführen und </w:t>
      </w:r>
      <w:r w:rsidRPr="00B14A7D">
        <w:rPr>
          <w:rFonts w:ascii="Helvetica" w:hAnsi="Helvetica"/>
          <w:color w:val="000000" w:themeColor="text1"/>
          <w:sz w:val="20"/>
          <w:szCs w:val="20"/>
        </w:rPr>
        <w:t xml:space="preserve">Systeme </w:t>
      </w:r>
      <w:r>
        <w:rPr>
          <w:rFonts w:ascii="Helvetica" w:hAnsi="Helvetica"/>
          <w:color w:val="000000" w:themeColor="text1"/>
          <w:sz w:val="20"/>
          <w:szCs w:val="20"/>
        </w:rPr>
        <w:t>auf den neuesten Stand zu bringen</w:t>
      </w:r>
      <w:r w:rsidRPr="00B14A7D">
        <w:rPr>
          <w:rFonts w:ascii="Helvetica" w:hAnsi="Helvetica"/>
          <w:color w:val="000000" w:themeColor="text1"/>
          <w:sz w:val="20"/>
          <w:szCs w:val="20"/>
        </w:rPr>
        <w:t>.</w:t>
      </w:r>
    </w:p>
    <w:p w14:paraId="5F7DB7E7" w14:textId="77777777" w:rsidR="00D40207" w:rsidRPr="00B14A7D" w:rsidRDefault="00D40207" w:rsidP="00D40207">
      <w:pPr>
        <w:pStyle w:val="Listenabsatz"/>
        <w:ind w:right="1273"/>
        <w:rPr>
          <w:rFonts w:ascii="Helvetica" w:hAnsi="Helvetica"/>
          <w:color w:val="000000" w:themeColor="text1"/>
          <w:sz w:val="20"/>
          <w:szCs w:val="20"/>
        </w:rPr>
      </w:pPr>
    </w:p>
    <w:p w14:paraId="7504FC58" w14:textId="77777777" w:rsidR="00D40207" w:rsidRPr="007F4A14" w:rsidRDefault="00D40207" w:rsidP="00D40207">
      <w:pPr>
        <w:pStyle w:val="Listenabsatz"/>
        <w:numPr>
          <w:ilvl w:val="0"/>
          <w:numId w:val="49"/>
        </w:numPr>
        <w:spacing w:line="288" w:lineRule="auto"/>
        <w:ind w:right="1273"/>
        <w:rPr>
          <w:rFonts w:ascii="Helvetica" w:hAnsi="Helvetica"/>
          <w:b/>
          <w:bCs/>
          <w:color w:val="000000" w:themeColor="text1"/>
          <w:sz w:val="20"/>
          <w:szCs w:val="20"/>
        </w:rPr>
      </w:pPr>
      <w:r w:rsidRPr="00B14A7D">
        <w:rPr>
          <w:rFonts w:ascii="Helvetica" w:hAnsi="Helvetica"/>
          <w:b/>
          <w:bCs/>
          <w:color w:val="000000" w:themeColor="text1"/>
          <w:sz w:val="20"/>
          <w:szCs w:val="20"/>
        </w:rPr>
        <w:t>Spearp</w:t>
      </w:r>
      <w:r>
        <w:rPr>
          <w:rFonts w:ascii="Helvetica" w:hAnsi="Helvetica"/>
          <w:b/>
          <w:bCs/>
          <w:color w:val="000000" w:themeColor="text1"/>
          <w:sz w:val="20"/>
          <w:szCs w:val="20"/>
        </w:rPr>
        <w:t>h</w:t>
      </w:r>
      <w:r w:rsidRPr="00B14A7D">
        <w:rPr>
          <w:rFonts w:ascii="Helvetica" w:hAnsi="Helvetica"/>
          <w:b/>
          <w:bCs/>
          <w:color w:val="000000" w:themeColor="text1"/>
          <w:sz w:val="20"/>
          <w:szCs w:val="20"/>
        </w:rPr>
        <w:t>ishing</w:t>
      </w:r>
      <w:r>
        <w:rPr>
          <w:rFonts w:ascii="Helvetica" w:hAnsi="Helvetica"/>
          <w:b/>
          <w:bCs/>
          <w:color w:val="000000" w:themeColor="text1"/>
          <w:sz w:val="20"/>
          <w:szCs w:val="20"/>
        </w:rPr>
        <w:t>-Kampagnen</w:t>
      </w:r>
      <w:r w:rsidRPr="00B14A7D">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auf dem Rücken </w:t>
      </w:r>
      <w:r w:rsidRPr="00B14A7D">
        <w:rPr>
          <w:rFonts w:ascii="Helvetica" w:hAnsi="Helvetica"/>
          <w:b/>
          <w:bCs/>
          <w:color w:val="000000" w:themeColor="text1"/>
          <w:sz w:val="20"/>
          <w:szCs w:val="20"/>
        </w:rPr>
        <w:t>prominente</w:t>
      </w:r>
      <w:r>
        <w:rPr>
          <w:rFonts w:ascii="Helvetica" w:hAnsi="Helvetica"/>
          <w:b/>
          <w:bCs/>
          <w:color w:val="000000" w:themeColor="text1"/>
          <w:sz w:val="20"/>
          <w:szCs w:val="20"/>
        </w:rPr>
        <w:t>r</w:t>
      </w:r>
      <w:r w:rsidRPr="00B14A7D">
        <w:rPr>
          <w:rFonts w:ascii="Helvetica" w:hAnsi="Helvetica"/>
          <w:b/>
          <w:bCs/>
          <w:color w:val="000000" w:themeColor="text1"/>
          <w:sz w:val="20"/>
          <w:szCs w:val="20"/>
        </w:rPr>
        <w:t xml:space="preserve"> Plattformen:</w:t>
      </w:r>
      <w:r>
        <w:rPr>
          <w:rFonts w:ascii="Helvetica" w:hAnsi="Helvetica"/>
          <w:b/>
          <w:bCs/>
          <w:color w:val="000000" w:themeColor="text1"/>
          <w:sz w:val="20"/>
          <w:szCs w:val="20"/>
        </w:rPr>
        <w:t xml:space="preserve"> </w:t>
      </w:r>
      <w:r w:rsidRPr="00C43EC3">
        <w:rPr>
          <w:rFonts w:ascii="Helvetica" w:hAnsi="Helvetica"/>
          <w:color w:val="000000" w:themeColor="text1"/>
          <w:sz w:val="20"/>
          <w:szCs w:val="20"/>
        </w:rPr>
        <w:t xml:space="preserve">In der </w:t>
      </w:r>
      <w:r>
        <w:rPr>
          <w:rFonts w:ascii="Helvetica" w:hAnsi="Helvetica"/>
          <w:color w:val="000000" w:themeColor="text1"/>
          <w:sz w:val="20"/>
          <w:szCs w:val="20"/>
        </w:rPr>
        <w:t>Übersicht der Webseiten-Domains, die als Ausgangspunkt der meisten Angriffe identifiziert wurden, tauchen drei neue Namen im Zusammenhang mit Spearphishing-Kampagnen auf: Sowohl die digitale Marketing-Lösung „</w:t>
      </w:r>
      <w:r w:rsidRPr="00B14A7D">
        <w:rPr>
          <w:rFonts w:ascii="Helvetica" w:hAnsi="Helvetica"/>
          <w:color w:val="000000" w:themeColor="text1"/>
          <w:sz w:val="20"/>
          <w:szCs w:val="20"/>
        </w:rPr>
        <w:t>Mapp Engage</w:t>
      </w:r>
      <w:r>
        <w:rPr>
          <w:rFonts w:ascii="Helvetica" w:hAnsi="Helvetica"/>
          <w:color w:val="000000" w:themeColor="text1"/>
          <w:sz w:val="20"/>
          <w:szCs w:val="20"/>
        </w:rPr>
        <w:t xml:space="preserve">“ als auch </w:t>
      </w:r>
      <w:r w:rsidRPr="007D7256">
        <w:rPr>
          <w:rFonts w:ascii="Helvetica" w:hAnsi="Helvetica"/>
          <w:color w:val="000000" w:themeColor="text1"/>
          <w:sz w:val="20"/>
          <w:szCs w:val="20"/>
        </w:rPr>
        <w:t xml:space="preserve">die </w:t>
      </w:r>
      <w:r>
        <w:rPr>
          <w:rFonts w:ascii="Helvetica" w:hAnsi="Helvetica"/>
          <w:color w:val="000000" w:themeColor="text1"/>
          <w:sz w:val="20"/>
          <w:szCs w:val="20"/>
        </w:rPr>
        <w:t xml:space="preserve">bekannte </w:t>
      </w:r>
      <w:r w:rsidRPr="007D7256">
        <w:rPr>
          <w:rFonts w:ascii="Helvetica" w:hAnsi="Helvetica"/>
          <w:color w:val="000000" w:themeColor="text1"/>
          <w:sz w:val="20"/>
          <w:szCs w:val="20"/>
        </w:rPr>
        <w:t xml:space="preserve">Online-Wettplattform </w:t>
      </w:r>
      <w:r>
        <w:rPr>
          <w:rFonts w:ascii="Helvetica" w:hAnsi="Helvetica"/>
          <w:color w:val="000000" w:themeColor="text1"/>
          <w:sz w:val="20"/>
          <w:szCs w:val="20"/>
        </w:rPr>
        <w:t>„</w:t>
      </w:r>
      <w:r w:rsidRPr="007D7256">
        <w:rPr>
          <w:rFonts w:ascii="Helvetica" w:hAnsi="Helvetica"/>
          <w:color w:val="000000" w:themeColor="text1"/>
          <w:sz w:val="20"/>
          <w:szCs w:val="20"/>
        </w:rPr>
        <w:t>Bet365</w:t>
      </w:r>
      <w:r>
        <w:rPr>
          <w:rFonts w:ascii="Helvetica" w:hAnsi="Helvetica"/>
          <w:color w:val="000000" w:themeColor="text1"/>
          <w:sz w:val="20"/>
          <w:szCs w:val="20"/>
        </w:rPr>
        <w:t>“</w:t>
      </w:r>
      <w:r w:rsidRPr="007D7256">
        <w:rPr>
          <w:rFonts w:ascii="Helvetica" w:hAnsi="Helvetica"/>
          <w:color w:val="000000" w:themeColor="text1"/>
          <w:sz w:val="20"/>
          <w:szCs w:val="20"/>
        </w:rPr>
        <w:t xml:space="preserve"> (Kampagne auf Chinesisch) und eine AT&amp;T-Anmeldeseite</w:t>
      </w:r>
      <w:r>
        <w:rPr>
          <w:rFonts w:ascii="Helvetica" w:hAnsi="Helvetica"/>
          <w:color w:val="000000" w:themeColor="text1"/>
          <w:sz w:val="20"/>
          <w:szCs w:val="20"/>
        </w:rPr>
        <w:t xml:space="preserve"> wurden für gezielte Attacken missbraucht.</w:t>
      </w:r>
      <w:r w:rsidRPr="007D7256">
        <w:rPr>
          <w:rFonts w:ascii="Helvetica" w:hAnsi="Helvetica"/>
          <w:color w:val="000000" w:themeColor="text1"/>
          <w:sz w:val="20"/>
          <w:szCs w:val="20"/>
        </w:rPr>
        <w:t xml:space="preserve"> </w:t>
      </w:r>
    </w:p>
    <w:p w14:paraId="5B51BD98" w14:textId="77777777" w:rsidR="00D40207" w:rsidRPr="007F4A14" w:rsidRDefault="00D40207" w:rsidP="00D40207">
      <w:pPr>
        <w:pStyle w:val="Listenabsatz"/>
        <w:ind w:right="1273"/>
        <w:rPr>
          <w:rFonts w:ascii="Helvetica" w:hAnsi="Helvetica"/>
          <w:b/>
          <w:bCs/>
          <w:color w:val="000000" w:themeColor="text1"/>
          <w:sz w:val="20"/>
          <w:szCs w:val="20"/>
        </w:rPr>
      </w:pPr>
    </w:p>
    <w:p w14:paraId="69E35359" w14:textId="77777777" w:rsidR="00D40207" w:rsidRPr="007F4A14" w:rsidRDefault="00D40207" w:rsidP="00D40207">
      <w:pPr>
        <w:pStyle w:val="Listenabsatz"/>
        <w:numPr>
          <w:ilvl w:val="0"/>
          <w:numId w:val="49"/>
        </w:numPr>
        <w:spacing w:line="288" w:lineRule="auto"/>
        <w:ind w:right="1273"/>
        <w:rPr>
          <w:rFonts w:ascii="Helvetica" w:hAnsi="Helvetica"/>
          <w:b/>
          <w:bCs/>
          <w:color w:val="000000" w:themeColor="text1"/>
          <w:sz w:val="20"/>
          <w:szCs w:val="20"/>
        </w:rPr>
      </w:pPr>
      <w:r w:rsidRPr="007F4A14">
        <w:rPr>
          <w:rFonts w:ascii="Helvetica" w:hAnsi="Helvetica"/>
          <w:b/>
          <w:bCs/>
          <w:color w:val="000000" w:themeColor="text1"/>
          <w:sz w:val="20"/>
          <w:szCs w:val="20"/>
        </w:rPr>
        <w:t xml:space="preserve">COVID-19 hinterlässt Spuren: </w:t>
      </w:r>
      <w:r w:rsidRPr="007F4A14">
        <w:rPr>
          <w:rFonts w:ascii="Helvetica" w:hAnsi="Helvetica"/>
          <w:color w:val="000000" w:themeColor="text1"/>
          <w:sz w:val="20"/>
          <w:szCs w:val="20"/>
        </w:rPr>
        <w:t>Das erste Quartal 2020 markiert den Auftakt eines massiven Wandels im IT-Security-Umfeld, ausgelöst vom Coronavirus. In den ersten drei Monaten ist die Anzahl der Remotearbeiter extrem angestiegen, ebenso wie die der gezielten Angriffe auf Einzelpersonen.</w:t>
      </w:r>
    </w:p>
    <w:p w14:paraId="51016315" w14:textId="77777777" w:rsidR="00D40207" w:rsidRPr="007F4A14" w:rsidRDefault="00D40207" w:rsidP="00D40207">
      <w:pPr>
        <w:spacing w:line="288" w:lineRule="auto"/>
        <w:ind w:right="1273"/>
        <w:rPr>
          <w:rFonts w:ascii="Helvetica" w:hAnsi="Helvetica"/>
          <w:b/>
          <w:bCs/>
          <w:color w:val="000000" w:themeColor="text1"/>
          <w:sz w:val="20"/>
          <w:szCs w:val="20"/>
        </w:rPr>
      </w:pPr>
    </w:p>
    <w:p w14:paraId="3D431018" w14:textId="77777777" w:rsidR="00D40207" w:rsidRPr="000447BA" w:rsidRDefault="00D40207" w:rsidP="00D40207">
      <w:pPr>
        <w:pStyle w:val="Listenabsatz"/>
        <w:numPr>
          <w:ilvl w:val="0"/>
          <w:numId w:val="49"/>
        </w:numPr>
        <w:spacing w:line="288" w:lineRule="auto"/>
        <w:ind w:right="1273"/>
        <w:rPr>
          <w:rFonts w:ascii="Helvetica" w:hAnsi="Helvetica"/>
          <w:color w:val="000000" w:themeColor="text1"/>
          <w:sz w:val="20"/>
          <w:szCs w:val="20"/>
        </w:rPr>
      </w:pPr>
      <w:r w:rsidRPr="000447BA">
        <w:rPr>
          <w:rFonts w:ascii="Helvetica" w:hAnsi="Helvetica"/>
          <w:b/>
          <w:bCs/>
          <w:color w:val="000000" w:themeColor="text1"/>
          <w:sz w:val="20"/>
          <w:szCs w:val="20"/>
        </w:rPr>
        <w:t>Malware- und Netzwerkangriffe insgesamt rückläufig</w:t>
      </w:r>
      <w:r>
        <w:rPr>
          <w:rFonts w:ascii="Helvetica" w:hAnsi="Helvetica"/>
          <w:b/>
          <w:bCs/>
          <w:color w:val="000000" w:themeColor="text1"/>
          <w:sz w:val="20"/>
          <w:szCs w:val="20"/>
        </w:rPr>
        <w:t>:</w:t>
      </w:r>
      <w:r w:rsidRPr="000447BA">
        <w:rPr>
          <w:rFonts w:ascii="Helvetica" w:hAnsi="Helvetica"/>
          <w:color w:val="000000" w:themeColor="text1"/>
          <w:sz w:val="20"/>
          <w:szCs w:val="20"/>
        </w:rPr>
        <w:t xml:space="preserve"> </w:t>
      </w:r>
      <w:r>
        <w:rPr>
          <w:rFonts w:ascii="Helvetica" w:hAnsi="Helvetica"/>
          <w:color w:val="000000" w:themeColor="text1"/>
          <w:sz w:val="20"/>
          <w:szCs w:val="20"/>
        </w:rPr>
        <w:t>In Summe</w:t>
      </w:r>
      <w:r w:rsidRPr="000447BA">
        <w:rPr>
          <w:rFonts w:ascii="Helvetica" w:hAnsi="Helvetica"/>
          <w:color w:val="000000" w:themeColor="text1"/>
          <w:sz w:val="20"/>
          <w:szCs w:val="20"/>
        </w:rPr>
        <w:t xml:space="preserve"> </w:t>
      </w:r>
      <w:r>
        <w:rPr>
          <w:rFonts w:ascii="Helvetica" w:hAnsi="Helvetica"/>
          <w:color w:val="000000" w:themeColor="text1"/>
          <w:sz w:val="20"/>
          <w:szCs w:val="20"/>
        </w:rPr>
        <w:t>wurden</w:t>
      </w:r>
      <w:r w:rsidRPr="000447BA">
        <w:rPr>
          <w:rFonts w:ascii="Helvetica" w:hAnsi="Helvetica"/>
          <w:color w:val="000000" w:themeColor="text1"/>
          <w:sz w:val="20"/>
          <w:szCs w:val="20"/>
        </w:rPr>
        <w:t xml:space="preserve"> im ersten Quartal </w:t>
      </w:r>
      <w:r>
        <w:rPr>
          <w:rFonts w:ascii="Helvetica" w:hAnsi="Helvetica"/>
          <w:color w:val="000000" w:themeColor="text1"/>
          <w:sz w:val="20"/>
          <w:szCs w:val="20"/>
        </w:rPr>
        <w:t xml:space="preserve">des Jahres </w:t>
      </w:r>
      <w:r w:rsidRPr="000447BA">
        <w:rPr>
          <w:rFonts w:ascii="Helvetica" w:hAnsi="Helvetica"/>
          <w:color w:val="000000" w:themeColor="text1"/>
          <w:sz w:val="20"/>
          <w:szCs w:val="20"/>
        </w:rPr>
        <w:t>6,9</w:t>
      </w:r>
      <w:r>
        <w:rPr>
          <w:rFonts w:ascii="Helvetica" w:hAnsi="Helvetica"/>
          <w:color w:val="000000" w:themeColor="text1"/>
          <w:sz w:val="20"/>
          <w:szCs w:val="20"/>
        </w:rPr>
        <w:t xml:space="preserve"> Prozent</w:t>
      </w:r>
      <w:r w:rsidRPr="000447BA">
        <w:rPr>
          <w:rFonts w:ascii="Helvetica" w:hAnsi="Helvetica"/>
          <w:color w:val="000000" w:themeColor="text1"/>
          <w:sz w:val="20"/>
          <w:szCs w:val="20"/>
        </w:rPr>
        <w:t xml:space="preserve"> weniger Malware</w:t>
      </w:r>
      <w:r>
        <w:rPr>
          <w:rFonts w:ascii="Helvetica" w:hAnsi="Helvetica"/>
          <w:color w:val="000000" w:themeColor="text1"/>
          <w:sz w:val="20"/>
          <w:szCs w:val="20"/>
        </w:rPr>
        <w:t>-</w:t>
      </w:r>
      <w:r w:rsidRPr="000447BA">
        <w:rPr>
          <w:rFonts w:ascii="Helvetica" w:hAnsi="Helvetica"/>
          <w:color w:val="000000" w:themeColor="text1"/>
          <w:sz w:val="20"/>
          <w:szCs w:val="20"/>
        </w:rPr>
        <w:t xml:space="preserve"> und 11,6</w:t>
      </w:r>
      <w:r>
        <w:rPr>
          <w:rFonts w:ascii="Helvetica" w:hAnsi="Helvetica"/>
          <w:color w:val="000000" w:themeColor="text1"/>
          <w:sz w:val="20"/>
          <w:szCs w:val="20"/>
        </w:rPr>
        <w:t xml:space="preserve"> Prozent</w:t>
      </w:r>
      <w:r w:rsidRPr="000447BA">
        <w:rPr>
          <w:rFonts w:ascii="Helvetica" w:hAnsi="Helvetica"/>
          <w:color w:val="000000" w:themeColor="text1"/>
          <w:sz w:val="20"/>
          <w:szCs w:val="20"/>
        </w:rPr>
        <w:t xml:space="preserve"> weniger Netzwerk</w:t>
      </w:r>
      <w:r>
        <w:rPr>
          <w:rFonts w:ascii="Helvetica" w:hAnsi="Helvetica"/>
          <w:color w:val="000000" w:themeColor="text1"/>
          <w:sz w:val="20"/>
          <w:szCs w:val="20"/>
        </w:rPr>
        <w:t>übergriffe verzeichnet – u</w:t>
      </w:r>
      <w:r w:rsidRPr="000447BA">
        <w:rPr>
          <w:rFonts w:ascii="Helvetica" w:hAnsi="Helvetica"/>
          <w:color w:val="000000" w:themeColor="text1"/>
          <w:sz w:val="20"/>
          <w:szCs w:val="20"/>
        </w:rPr>
        <w:t>nd das, obwohl die Anzahl der Firebox</w:t>
      </w:r>
      <w:r>
        <w:rPr>
          <w:rFonts w:ascii="Helvetica" w:hAnsi="Helvetica"/>
          <w:color w:val="000000" w:themeColor="text1"/>
          <w:sz w:val="20"/>
          <w:szCs w:val="20"/>
        </w:rPr>
        <w:t>-Appliances</w:t>
      </w:r>
      <w:r w:rsidRPr="000447BA">
        <w:rPr>
          <w:rFonts w:ascii="Helvetica" w:hAnsi="Helvetica"/>
          <w:color w:val="000000" w:themeColor="text1"/>
          <w:sz w:val="20"/>
          <w:szCs w:val="20"/>
        </w:rPr>
        <w:t xml:space="preserve">, die </w:t>
      </w:r>
      <w:r>
        <w:rPr>
          <w:rFonts w:ascii="Helvetica" w:hAnsi="Helvetica"/>
          <w:color w:val="000000" w:themeColor="text1"/>
          <w:sz w:val="20"/>
          <w:szCs w:val="20"/>
        </w:rPr>
        <w:t xml:space="preserve">für den Bericht </w:t>
      </w:r>
      <w:r w:rsidRPr="000447BA">
        <w:rPr>
          <w:rFonts w:ascii="Helvetica" w:hAnsi="Helvetica"/>
          <w:color w:val="000000" w:themeColor="text1"/>
          <w:sz w:val="20"/>
          <w:szCs w:val="20"/>
        </w:rPr>
        <w:t>Daten beisteuer</w:t>
      </w:r>
      <w:r>
        <w:rPr>
          <w:rFonts w:ascii="Helvetica" w:hAnsi="Helvetica"/>
          <w:color w:val="000000" w:themeColor="text1"/>
          <w:sz w:val="20"/>
          <w:szCs w:val="20"/>
        </w:rPr>
        <w:t>te</w:t>
      </w:r>
      <w:r w:rsidRPr="000447BA">
        <w:rPr>
          <w:rFonts w:ascii="Helvetica" w:hAnsi="Helvetica"/>
          <w:color w:val="000000" w:themeColor="text1"/>
          <w:sz w:val="20"/>
          <w:szCs w:val="20"/>
        </w:rPr>
        <w:t xml:space="preserve">n, </w:t>
      </w:r>
      <w:r>
        <w:rPr>
          <w:rFonts w:ascii="Helvetica" w:hAnsi="Helvetica"/>
          <w:color w:val="000000" w:themeColor="text1"/>
          <w:sz w:val="20"/>
          <w:szCs w:val="20"/>
        </w:rPr>
        <w:t xml:space="preserve">weltweit </w:t>
      </w:r>
      <w:r w:rsidRPr="000447BA">
        <w:rPr>
          <w:rFonts w:ascii="Helvetica" w:hAnsi="Helvetica"/>
          <w:color w:val="000000" w:themeColor="text1"/>
          <w:sz w:val="20"/>
          <w:szCs w:val="20"/>
        </w:rPr>
        <w:t xml:space="preserve">um </w:t>
      </w:r>
      <w:r>
        <w:rPr>
          <w:rFonts w:ascii="Helvetica" w:hAnsi="Helvetica"/>
          <w:color w:val="000000" w:themeColor="text1"/>
          <w:sz w:val="20"/>
          <w:szCs w:val="20"/>
        </w:rPr>
        <w:t>neun Prozent</w:t>
      </w:r>
      <w:r w:rsidRPr="000447BA">
        <w:rPr>
          <w:rFonts w:ascii="Helvetica" w:hAnsi="Helvetica"/>
          <w:color w:val="000000" w:themeColor="text1"/>
          <w:sz w:val="20"/>
          <w:szCs w:val="20"/>
        </w:rPr>
        <w:t xml:space="preserve"> gestiegen ist. Dies könnte darauf zurückzuführen sein, dass während der COVID-19-Pandemie weniger potenzielle Ziele innerhalb des traditionellen Netzwerkumfelds </w:t>
      </w:r>
      <w:r>
        <w:rPr>
          <w:rFonts w:ascii="Helvetica" w:hAnsi="Helvetica"/>
          <w:color w:val="000000" w:themeColor="text1"/>
          <w:sz w:val="20"/>
          <w:szCs w:val="20"/>
        </w:rPr>
        <w:t>erreichbar waren</w:t>
      </w:r>
      <w:r w:rsidRPr="000447BA">
        <w:rPr>
          <w:rFonts w:ascii="Helvetica" w:hAnsi="Helvetica"/>
          <w:color w:val="000000" w:themeColor="text1"/>
          <w:sz w:val="20"/>
          <w:szCs w:val="20"/>
        </w:rPr>
        <w:t xml:space="preserve"> und die weltweiten "Work-from-home"-Richtlinien in vollem Umfang </w:t>
      </w:r>
      <w:r>
        <w:rPr>
          <w:rFonts w:ascii="Helvetica" w:hAnsi="Helvetica"/>
          <w:color w:val="000000" w:themeColor="text1"/>
          <w:sz w:val="20"/>
          <w:szCs w:val="20"/>
        </w:rPr>
        <w:t>Wirkung entfalteten</w:t>
      </w:r>
      <w:r w:rsidRPr="000447BA">
        <w:rPr>
          <w:rFonts w:ascii="Helvetica" w:hAnsi="Helvetica"/>
          <w:color w:val="000000" w:themeColor="text1"/>
          <w:sz w:val="20"/>
          <w:szCs w:val="20"/>
        </w:rPr>
        <w:t>.</w:t>
      </w:r>
    </w:p>
    <w:p w14:paraId="50CD3F09" w14:textId="77777777" w:rsidR="00D40207" w:rsidRPr="008A2089" w:rsidRDefault="00D40207" w:rsidP="00D40207">
      <w:pPr>
        <w:spacing w:line="288" w:lineRule="auto"/>
        <w:ind w:right="1273"/>
        <w:rPr>
          <w:rFonts w:ascii="Helvetica" w:hAnsi="Helvetica"/>
          <w:color w:val="000000" w:themeColor="text1"/>
          <w:sz w:val="20"/>
          <w:szCs w:val="20"/>
        </w:rPr>
      </w:pPr>
    </w:p>
    <w:p w14:paraId="6CF81FB2" w14:textId="77777777" w:rsidR="00D40207" w:rsidRDefault="00D40207" w:rsidP="00D40207">
      <w:pPr>
        <w:spacing w:line="288" w:lineRule="auto"/>
        <w:ind w:right="1273"/>
        <w:rPr>
          <w:rFonts w:ascii="Helvetica" w:hAnsi="Helvetica"/>
          <w:bCs/>
          <w:color w:val="000000" w:themeColor="text1"/>
          <w:sz w:val="20"/>
          <w:szCs w:val="20"/>
        </w:rPr>
      </w:pPr>
      <w:r w:rsidRPr="00E00251">
        <w:rPr>
          <w:rFonts w:ascii="Helvetica" w:hAnsi="Helvetica"/>
          <w:bCs/>
          <w:color w:val="000000" w:themeColor="text1"/>
          <w:sz w:val="20"/>
          <w:szCs w:val="20"/>
        </w:rPr>
        <w:t xml:space="preserve">Die Ergebnisse des </w:t>
      </w:r>
      <w:r>
        <w:rPr>
          <w:rFonts w:ascii="Helvetica" w:hAnsi="Helvetica"/>
          <w:bCs/>
          <w:color w:val="000000" w:themeColor="text1"/>
          <w:sz w:val="20"/>
          <w:szCs w:val="20"/>
        </w:rPr>
        <w:t xml:space="preserve">WatchGuard Internet Security </w:t>
      </w:r>
      <w:r w:rsidRPr="00E00251">
        <w:rPr>
          <w:rFonts w:ascii="Helvetica" w:hAnsi="Helvetica"/>
          <w:bCs/>
          <w:color w:val="000000" w:themeColor="text1"/>
          <w:sz w:val="20"/>
          <w:szCs w:val="20"/>
        </w:rPr>
        <w:t xml:space="preserve">Reports basieren auf </w:t>
      </w:r>
      <w:r>
        <w:rPr>
          <w:rFonts w:ascii="Helvetica" w:hAnsi="Helvetica"/>
          <w:bCs/>
          <w:color w:val="000000" w:themeColor="text1"/>
          <w:sz w:val="20"/>
          <w:szCs w:val="20"/>
        </w:rPr>
        <w:t xml:space="preserve">den </w:t>
      </w:r>
      <w:r w:rsidRPr="00E00251">
        <w:rPr>
          <w:rFonts w:ascii="Helvetica" w:hAnsi="Helvetica"/>
          <w:bCs/>
          <w:color w:val="000000" w:themeColor="text1"/>
          <w:sz w:val="20"/>
          <w:szCs w:val="20"/>
        </w:rPr>
        <w:t xml:space="preserve">anonymisierten Firebox-Feed-Daten von </w:t>
      </w:r>
      <w:r>
        <w:rPr>
          <w:rFonts w:ascii="Helvetica" w:hAnsi="Helvetica"/>
          <w:bCs/>
          <w:color w:val="000000" w:themeColor="text1"/>
          <w:sz w:val="20"/>
          <w:szCs w:val="20"/>
        </w:rPr>
        <w:t>über 44.000</w:t>
      </w:r>
      <w:r w:rsidRPr="00E00251">
        <w:rPr>
          <w:rFonts w:ascii="Helvetica" w:hAnsi="Helvetica"/>
          <w:bCs/>
          <w:color w:val="000000" w:themeColor="text1"/>
          <w:sz w:val="20"/>
          <w:szCs w:val="20"/>
        </w:rPr>
        <w:t xml:space="preserve"> aktiven WatchGuard UTM-Appliances weltweit, deren Anwender dem Daten-Sharing</w:t>
      </w:r>
      <w:r>
        <w:rPr>
          <w:rFonts w:ascii="Helvetica" w:hAnsi="Helvetica"/>
          <w:bCs/>
          <w:color w:val="000000" w:themeColor="text1"/>
          <w:sz w:val="20"/>
          <w:szCs w:val="20"/>
        </w:rPr>
        <w:t xml:space="preserve"> zur Unterstützung des </w:t>
      </w:r>
      <w:r>
        <w:rPr>
          <w:rFonts w:ascii="Helvetica" w:hAnsi="Helvetica"/>
          <w:bCs/>
          <w:color w:val="000000" w:themeColor="text1"/>
          <w:sz w:val="20"/>
          <w:szCs w:val="20"/>
        </w:rPr>
        <w:lastRenderedPageBreak/>
        <w:t xml:space="preserve">WatchGuard Threat Labs </w:t>
      </w:r>
      <w:r w:rsidRPr="00E00251">
        <w:rPr>
          <w:rFonts w:ascii="Helvetica" w:hAnsi="Helvetica"/>
          <w:bCs/>
          <w:color w:val="000000" w:themeColor="text1"/>
          <w:sz w:val="20"/>
          <w:szCs w:val="20"/>
        </w:rPr>
        <w:t>zugestimmt haben. Insgesamt blockierten die</w:t>
      </w:r>
      <w:r>
        <w:rPr>
          <w:rFonts w:ascii="Helvetica" w:hAnsi="Helvetica"/>
          <w:bCs/>
          <w:color w:val="000000" w:themeColor="text1"/>
          <w:sz w:val="20"/>
          <w:szCs w:val="20"/>
        </w:rPr>
        <w:t xml:space="preserve"> Appliances</w:t>
      </w:r>
      <w:r w:rsidRPr="00E00251">
        <w:rPr>
          <w:rFonts w:ascii="Helvetica" w:hAnsi="Helvetica"/>
          <w:bCs/>
          <w:color w:val="000000" w:themeColor="text1"/>
          <w:sz w:val="20"/>
          <w:szCs w:val="20"/>
        </w:rPr>
        <w:t xml:space="preserve"> im </w:t>
      </w:r>
      <w:r>
        <w:rPr>
          <w:rFonts w:ascii="Helvetica" w:hAnsi="Helvetica"/>
          <w:bCs/>
          <w:color w:val="000000" w:themeColor="text1"/>
          <w:sz w:val="20"/>
          <w:szCs w:val="20"/>
        </w:rPr>
        <w:t xml:space="preserve">ersten </w:t>
      </w:r>
      <w:r w:rsidRPr="00E00251">
        <w:rPr>
          <w:rFonts w:ascii="Helvetica" w:hAnsi="Helvetica"/>
          <w:bCs/>
          <w:color w:val="000000" w:themeColor="text1"/>
          <w:sz w:val="20"/>
          <w:szCs w:val="20"/>
        </w:rPr>
        <w:t xml:space="preserve">Quartal </w:t>
      </w:r>
      <w:r>
        <w:rPr>
          <w:rFonts w:ascii="Helvetica" w:hAnsi="Helvetica"/>
          <w:bCs/>
          <w:color w:val="000000" w:themeColor="text1"/>
          <w:sz w:val="20"/>
          <w:szCs w:val="20"/>
        </w:rPr>
        <w:t>2020</w:t>
      </w:r>
      <w:r w:rsidRPr="00E00251">
        <w:rPr>
          <w:rFonts w:ascii="Helvetica" w:hAnsi="Helvetica"/>
          <w:bCs/>
          <w:color w:val="000000" w:themeColor="text1"/>
          <w:sz w:val="20"/>
          <w:szCs w:val="20"/>
        </w:rPr>
        <w:t xml:space="preserve"> </w:t>
      </w:r>
      <w:r>
        <w:rPr>
          <w:rFonts w:ascii="Helvetica" w:hAnsi="Helvetica"/>
          <w:bCs/>
          <w:color w:val="000000" w:themeColor="text1"/>
          <w:sz w:val="20"/>
          <w:szCs w:val="20"/>
        </w:rPr>
        <w:t>über 32 Millionen</w:t>
      </w:r>
      <w:r w:rsidRPr="00E00251">
        <w:rPr>
          <w:rFonts w:ascii="Helvetica" w:hAnsi="Helvetica"/>
          <w:bCs/>
          <w:color w:val="000000" w:themeColor="text1"/>
          <w:sz w:val="20"/>
          <w:szCs w:val="20"/>
        </w:rPr>
        <w:t xml:space="preserve"> Malware-Varianten (</w:t>
      </w:r>
      <w:r>
        <w:rPr>
          <w:rFonts w:ascii="Helvetica" w:hAnsi="Helvetica"/>
          <w:bCs/>
          <w:color w:val="000000" w:themeColor="text1"/>
          <w:sz w:val="20"/>
          <w:szCs w:val="20"/>
        </w:rPr>
        <w:t xml:space="preserve">730 </w:t>
      </w:r>
      <w:r w:rsidRPr="00E00251">
        <w:rPr>
          <w:rFonts w:ascii="Helvetica" w:hAnsi="Helvetica"/>
          <w:bCs/>
          <w:color w:val="000000" w:themeColor="text1"/>
          <w:sz w:val="20"/>
          <w:szCs w:val="20"/>
        </w:rPr>
        <w:t xml:space="preserve">pro Gerät) und </w:t>
      </w:r>
      <w:r>
        <w:rPr>
          <w:rFonts w:ascii="Helvetica" w:hAnsi="Helvetica"/>
          <w:bCs/>
          <w:color w:val="000000" w:themeColor="text1"/>
          <w:sz w:val="20"/>
          <w:szCs w:val="20"/>
        </w:rPr>
        <w:t>rund 1,7 Millionen</w:t>
      </w:r>
      <w:r w:rsidRPr="00E00251">
        <w:rPr>
          <w:rFonts w:ascii="Helvetica" w:hAnsi="Helvetica"/>
          <w:bCs/>
          <w:color w:val="000000" w:themeColor="text1"/>
          <w:sz w:val="20"/>
          <w:szCs w:val="20"/>
        </w:rPr>
        <w:t xml:space="preserve"> Netzwerkangriffe (</w:t>
      </w:r>
      <w:r>
        <w:rPr>
          <w:rFonts w:ascii="Helvetica" w:hAnsi="Helvetica"/>
          <w:bCs/>
          <w:color w:val="000000" w:themeColor="text1"/>
          <w:sz w:val="20"/>
          <w:szCs w:val="20"/>
        </w:rPr>
        <w:t>38</w:t>
      </w:r>
      <w:r w:rsidRPr="00E00251">
        <w:rPr>
          <w:rFonts w:ascii="Helvetica" w:hAnsi="Helvetica"/>
          <w:bCs/>
          <w:color w:val="000000" w:themeColor="text1"/>
          <w:sz w:val="20"/>
          <w:szCs w:val="20"/>
        </w:rPr>
        <w:t xml:space="preserve"> pro Gerät).</w:t>
      </w:r>
      <w:r>
        <w:rPr>
          <w:rFonts w:ascii="Helvetica" w:hAnsi="Helvetica"/>
          <w:bCs/>
          <w:color w:val="000000" w:themeColor="text1"/>
          <w:sz w:val="20"/>
          <w:szCs w:val="20"/>
        </w:rPr>
        <w:t xml:space="preserve"> </w:t>
      </w:r>
    </w:p>
    <w:p w14:paraId="05E4F14B" w14:textId="77777777" w:rsidR="00D40207" w:rsidRDefault="00D40207" w:rsidP="00D40207">
      <w:pPr>
        <w:spacing w:line="288" w:lineRule="auto"/>
        <w:ind w:right="1273"/>
        <w:rPr>
          <w:rFonts w:ascii="Helvetica" w:hAnsi="Helvetica"/>
          <w:bCs/>
          <w:color w:val="000000" w:themeColor="text1"/>
          <w:sz w:val="20"/>
          <w:szCs w:val="20"/>
        </w:rPr>
      </w:pPr>
    </w:p>
    <w:p w14:paraId="3B098703" w14:textId="77777777" w:rsidR="00D40207" w:rsidRDefault="00D40207" w:rsidP="00D40207">
      <w:pPr>
        <w:spacing w:line="288" w:lineRule="auto"/>
        <w:ind w:right="1273"/>
        <w:rPr>
          <w:rFonts w:ascii="Helvetica" w:hAnsi="Helvetica"/>
          <w:bCs/>
          <w:color w:val="000000" w:themeColor="text1"/>
          <w:sz w:val="20"/>
          <w:szCs w:val="20"/>
        </w:rPr>
      </w:pPr>
      <w:r w:rsidRPr="008B11DC">
        <w:rPr>
          <w:rFonts w:ascii="Helvetica" w:hAnsi="Helvetica"/>
          <w:bCs/>
          <w:color w:val="000000" w:themeColor="text1"/>
          <w:sz w:val="20"/>
          <w:szCs w:val="20"/>
        </w:rPr>
        <w:t>Der vollständige Bericht</w:t>
      </w:r>
      <w:r>
        <w:rPr>
          <w:rFonts w:ascii="Helvetica" w:hAnsi="Helvetica"/>
          <w:bCs/>
          <w:color w:val="000000" w:themeColor="text1"/>
          <w:sz w:val="20"/>
          <w:szCs w:val="20"/>
        </w:rPr>
        <w:t xml:space="preserve">, der Unternehmen, IT-Sicherheitsdienstleister und Endkunden bei der Bewertung der aktuellen Bedrohungslage unterstützen soll, umfasst nicht zuletzt wichtige Tipps zur Abwehr all dieser Gefahren. Zudem enthält er </w:t>
      </w:r>
      <w:r w:rsidRPr="00C87FF9">
        <w:rPr>
          <w:rFonts w:ascii="Helvetica" w:hAnsi="Helvetica"/>
          <w:bCs/>
          <w:color w:val="000000" w:themeColor="text1"/>
          <w:sz w:val="20"/>
          <w:szCs w:val="20"/>
        </w:rPr>
        <w:t xml:space="preserve">eine detaillierte Analyse, wie sich die COVID-19-Pandemie und die damit verbundene Verlagerung </w:t>
      </w:r>
      <w:r>
        <w:rPr>
          <w:rFonts w:ascii="Helvetica" w:hAnsi="Helvetica"/>
          <w:bCs/>
          <w:color w:val="000000" w:themeColor="text1"/>
          <w:sz w:val="20"/>
          <w:szCs w:val="20"/>
        </w:rPr>
        <w:t xml:space="preserve">der beruflichen Aktivitäten ins Homeoffice </w:t>
      </w:r>
      <w:r w:rsidRPr="00C87FF9">
        <w:rPr>
          <w:rFonts w:ascii="Helvetica" w:hAnsi="Helvetica"/>
          <w:bCs/>
          <w:color w:val="000000" w:themeColor="text1"/>
          <w:sz w:val="20"/>
          <w:szCs w:val="20"/>
        </w:rPr>
        <w:t xml:space="preserve">auf die </w:t>
      </w:r>
      <w:r>
        <w:rPr>
          <w:rFonts w:ascii="Helvetica" w:hAnsi="Helvetica"/>
          <w:bCs/>
          <w:color w:val="000000" w:themeColor="text1"/>
          <w:sz w:val="20"/>
          <w:szCs w:val="20"/>
        </w:rPr>
        <w:t>IT-</w:t>
      </w:r>
      <w:r w:rsidRPr="00C87FF9">
        <w:rPr>
          <w:rFonts w:ascii="Helvetica" w:hAnsi="Helvetica"/>
          <w:bCs/>
          <w:color w:val="000000" w:themeColor="text1"/>
          <w:sz w:val="20"/>
          <w:szCs w:val="20"/>
        </w:rPr>
        <w:t>Sicherheitsla</w:t>
      </w:r>
      <w:r>
        <w:rPr>
          <w:rFonts w:ascii="Helvetica" w:hAnsi="Helvetica"/>
          <w:bCs/>
          <w:color w:val="000000" w:themeColor="text1"/>
          <w:sz w:val="20"/>
          <w:szCs w:val="20"/>
        </w:rPr>
        <w:t>ge</w:t>
      </w:r>
      <w:r w:rsidRPr="00C87FF9">
        <w:rPr>
          <w:rFonts w:ascii="Helvetica" w:hAnsi="Helvetica"/>
          <w:bCs/>
          <w:color w:val="000000" w:themeColor="text1"/>
          <w:sz w:val="20"/>
          <w:szCs w:val="20"/>
        </w:rPr>
        <w:t xml:space="preserve"> auswirkte</w:t>
      </w:r>
      <w:r>
        <w:rPr>
          <w:rFonts w:ascii="Helvetica" w:hAnsi="Helvetica"/>
          <w:bCs/>
          <w:color w:val="000000" w:themeColor="text1"/>
          <w:sz w:val="20"/>
          <w:szCs w:val="20"/>
        </w:rPr>
        <w:t>n</w:t>
      </w:r>
      <w:r w:rsidRPr="00C87FF9">
        <w:rPr>
          <w:rFonts w:ascii="Helvetica" w:hAnsi="Helvetica"/>
          <w:bCs/>
          <w:color w:val="000000" w:themeColor="text1"/>
          <w:sz w:val="20"/>
          <w:szCs w:val="20"/>
        </w:rPr>
        <w:t>.</w:t>
      </w:r>
    </w:p>
    <w:p w14:paraId="778D63D7" w14:textId="77777777" w:rsidR="00D40207" w:rsidRDefault="00D40207" w:rsidP="00D40207">
      <w:pPr>
        <w:spacing w:line="288" w:lineRule="auto"/>
        <w:ind w:right="1273"/>
        <w:rPr>
          <w:rFonts w:ascii="Helvetica" w:hAnsi="Helvetica"/>
          <w:b/>
          <w:color w:val="000000" w:themeColor="text1"/>
          <w:sz w:val="20"/>
          <w:szCs w:val="20"/>
        </w:rPr>
      </w:pPr>
    </w:p>
    <w:p w14:paraId="063C2293" w14:textId="77777777" w:rsidR="00D40207" w:rsidRDefault="00D40207" w:rsidP="00D40207">
      <w:pPr>
        <w:spacing w:line="288" w:lineRule="auto"/>
        <w:ind w:right="1273"/>
        <w:rPr>
          <w:rFonts w:ascii="Helvetica" w:hAnsi="Helvetica"/>
          <w:bCs/>
          <w:color w:val="000000" w:themeColor="text1"/>
          <w:sz w:val="20"/>
          <w:szCs w:val="20"/>
        </w:rPr>
      </w:pPr>
      <w:r>
        <w:rPr>
          <w:rFonts w:ascii="Helvetica" w:hAnsi="Helvetica"/>
          <w:bCs/>
          <w:color w:val="000000" w:themeColor="text1"/>
          <w:sz w:val="20"/>
          <w:szCs w:val="20"/>
        </w:rPr>
        <w:t>Der aktuelle Internet Security Report</w:t>
      </w:r>
      <w:r w:rsidRPr="00E7047A">
        <w:rPr>
          <w:rFonts w:ascii="Helvetica" w:hAnsi="Helvetica"/>
          <w:bCs/>
          <w:color w:val="000000" w:themeColor="text1"/>
          <w:sz w:val="20"/>
          <w:szCs w:val="20"/>
        </w:rPr>
        <w:t xml:space="preserve"> </w:t>
      </w:r>
      <w:r>
        <w:rPr>
          <w:rFonts w:ascii="Helvetica" w:hAnsi="Helvetica"/>
          <w:bCs/>
          <w:color w:val="000000" w:themeColor="text1"/>
          <w:sz w:val="20"/>
          <w:szCs w:val="20"/>
        </w:rPr>
        <w:t xml:space="preserve">in englischer Sprache steht online zum Download zur Verfügung: </w:t>
      </w:r>
      <w:hyperlink r:id="rId8" w:history="1">
        <w:r w:rsidRPr="00302AD1">
          <w:rPr>
            <w:rStyle w:val="Hyperlink"/>
            <w:rFonts w:ascii="Helvetica" w:hAnsi="Helvetica"/>
            <w:bCs/>
            <w:sz w:val="20"/>
            <w:szCs w:val="20"/>
          </w:rPr>
          <w:t>https://www.watchguard.com/wgrd-resource-center/security-report-q1-2020</w:t>
        </w:r>
      </w:hyperlink>
    </w:p>
    <w:p w14:paraId="4C07116E" w14:textId="77777777" w:rsidR="00D40207" w:rsidRDefault="00D40207" w:rsidP="00D40207">
      <w:pPr>
        <w:pStyle w:val="Textkrper"/>
        <w:spacing w:line="288" w:lineRule="auto"/>
        <w:ind w:right="1135"/>
        <w:rPr>
          <w:rFonts w:eastAsia="MS Mincho"/>
          <w:sz w:val="20"/>
          <w:szCs w:val="20"/>
          <w:lang w:eastAsia="de-DE"/>
        </w:rPr>
      </w:pPr>
    </w:p>
    <w:p w14:paraId="4634935C" w14:textId="77777777" w:rsidR="00D40207" w:rsidRPr="00E224AF" w:rsidRDefault="00D40207" w:rsidP="00D40207">
      <w:pPr>
        <w:pStyle w:val="Textkrper"/>
        <w:spacing w:line="288" w:lineRule="auto"/>
        <w:ind w:right="1135"/>
        <w:rPr>
          <w:rFonts w:eastAsia="MS Mincho"/>
          <w:sz w:val="20"/>
          <w:szCs w:val="20"/>
          <w:lang w:eastAsia="de-DE"/>
        </w:rPr>
      </w:pPr>
      <w:r w:rsidRPr="00E224AF">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40207" w14:paraId="7F3C2E69" w14:textId="77777777" w:rsidTr="004E477F">
        <w:trPr>
          <w:trHeight w:val="1985"/>
        </w:trPr>
        <w:tc>
          <w:tcPr>
            <w:tcW w:w="3686" w:type="dxa"/>
          </w:tcPr>
          <w:p w14:paraId="6A060790" w14:textId="77777777" w:rsidR="00D40207" w:rsidRDefault="00D40207" w:rsidP="004E477F">
            <w:pPr>
              <w:pStyle w:val="Kopfzeile"/>
              <w:ind w:right="-141"/>
            </w:pPr>
            <w:r>
              <w:t xml:space="preserve">            </w:t>
            </w:r>
          </w:p>
          <w:p w14:paraId="045D02AC" w14:textId="77777777" w:rsidR="00D40207" w:rsidRDefault="00D40207" w:rsidP="004E477F">
            <w:pPr>
              <w:pStyle w:val="Kopfzeile"/>
              <w:ind w:right="-141"/>
            </w:pPr>
            <w:r>
              <w:rPr>
                <w:noProof/>
              </w:rPr>
              <w:drawing>
                <wp:inline distT="0" distB="0" distL="0" distR="0" wp14:anchorId="04CD6549" wp14:editId="56B35059">
                  <wp:extent cx="837505" cy="1045028"/>
                  <wp:effectExtent l="0" t="0" r="127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D40207" w:rsidRPr="00F12EF4" w14:paraId="60A55B1D" w14:textId="77777777" w:rsidTr="004E477F">
        <w:trPr>
          <w:trHeight w:val="544"/>
        </w:trPr>
        <w:tc>
          <w:tcPr>
            <w:tcW w:w="3686" w:type="dxa"/>
          </w:tcPr>
          <w:p w14:paraId="42CD7F9C" w14:textId="77777777" w:rsidR="00D40207" w:rsidRPr="00996A56" w:rsidRDefault="00D40207" w:rsidP="004E477F">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Corey Nachreiner, Chief Technology Officer bei WatchGuard Technologies</w:t>
            </w:r>
          </w:p>
        </w:tc>
      </w:tr>
    </w:tbl>
    <w:p w14:paraId="42A54066" w14:textId="77777777" w:rsidR="00D40207" w:rsidRPr="007769C0" w:rsidRDefault="00D40207" w:rsidP="00D40207">
      <w:pPr>
        <w:spacing w:line="288" w:lineRule="auto"/>
        <w:ind w:right="1134"/>
        <w:rPr>
          <w:rFonts w:ascii="Helvetica" w:hAnsi="Helvetica"/>
          <w:sz w:val="20"/>
          <w:szCs w:val="20"/>
          <w:lang w:val="en-US"/>
        </w:rPr>
      </w:pPr>
    </w:p>
    <w:p w14:paraId="58A4733A" w14:textId="77777777" w:rsidR="00D40207" w:rsidRPr="007769C0" w:rsidRDefault="00D40207" w:rsidP="00D40207">
      <w:pPr>
        <w:spacing w:line="288" w:lineRule="auto"/>
        <w:ind w:right="1134"/>
        <w:rPr>
          <w:rFonts w:ascii="Helvetica" w:hAnsi="Helvetica"/>
          <w:color w:val="000000" w:themeColor="text1"/>
          <w:sz w:val="20"/>
          <w:szCs w:val="20"/>
          <w:lang w:val="en-US"/>
        </w:rPr>
      </w:pPr>
    </w:p>
    <w:p w14:paraId="37E560AC" w14:textId="77777777" w:rsidR="00D40207" w:rsidRPr="00F07213" w:rsidRDefault="00D40207" w:rsidP="00D40207">
      <w:pPr>
        <w:spacing w:line="288" w:lineRule="auto"/>
        <w:rPr>
          <w:rFonts w:ascii="Helvetica" w:hAnsi="Helvetica"/>
          <w:color w:val="000000" w:themeColor="text1"/>
          <w:sz w:val="20"/>
          <w:szCs w:val="20"/>
          <w:lang w:val="en-US"/>
        </w:rPr>
      </w:pPr>
    </w:p>
    <w:p w14:paraId="75BA6FD6" w14:textId="77777777" w:rsidR="00D40207" w:rsidRPr="00F07213" w:rsidRDefault="00D40207" w:rsidP="00D40207">
      <w:pPr>
        <w:spacing w:line="288" w:lineRule="auto"/>
        <w:rPr>
          <w:rFonts w:ascii="Helvetica" w:hAnsi="Helvetica"/>
          <w:color w:val="000000" w:themeColor="text1"/>
          <w:sz w:val="20"/>
          <w:szCs w:val="20"/>
          <w:lang w:val="en-US"/>
        </w:rPr>
      </w:pPr>
    </w:p>
    <w:p w14:paraId="0C615E48" w14:textId="77777777" w:rsidR="00D40207" w:rsidRPr="00F07213" w:rsidRDefault="00D40207" w:rsidP="00D40207">
      <w:pPr>
        <w:spacing w:line="288" w:lineRule="auto"/>
        <w:rPr>
          <w:rFonts w:ascii="Helvetica" w:hAnsi="Helvetica"/>
          <w:color w:val="000000" w:themeColor="text1"/>
          <w:sz w:val="20"/>
          <w:szCs w:val="20"/>
          <w:lang w:val="en-US"/>
        </w:rPr>
      </w:pPr>
    </w:p>
    <w:p w14:paraId="0E6A9540" w14:textId="77777777" w:rsidR="00D40207" w:rsidRPr="00F07213" w:rsidRDefault="00D40207" w:rsidP="00D40207">
      <w:pPr>
        <w:spacing w:line="288" w:lineRule="auto"/>
        <w:rPr>
          <w:rFonts w:ascii="Helvetica" w:hAnsi="Helvetica"/>
          <w:color w:val="000000" w:themeColor="text1"/>
          <w:sz w:val="20"/>
          <w:szCs w:val="20"/>
          <w:lang w:val="en-US"/>
        </w:rPr>
      </w:pPr>
    </w:p>
    <w:p w14:paraId="29EC685B" w14:textId="77777777" w:rsidR="00D40207" w:rsidRPr="00F07213" w:rsidRDefault="00D40207" w:rsidP="00D40207">
      <w:pPr>
        <w:spacing w:line="288" w:lineRule="auto"/>
        <w:rPr>
          <w:rFonts w:ascii="Helvetica" w:hAnsi="Helvetica"/>
          <w:color w:val="000000" w:themeColor="text1"/>
          <w:sz w:val="20"/>
          <w:szCs w:val="20"/>
          <w:lang w:val="en-US"/>
        </w:rPr>
      </w:pPr>
    </w:p>
    <w:p w14:paraId="6D6C360F" w14:textId="77777777" w:rsidR="00D40207" w:rsidRPr="00F07213" w:rsidRDefault="00D40207" w:rsidP="00D40207">
      <w:pPr>
        <w:spacing w:line="288" w:lineRule="auto"/>
        <w:rPr>
          <w:rFonts w:ascii="Helvetica" w:hAnsi="Helvetica"/>
          <w:color w:val="000000" w:themeColor="text1"/>
          <w:sz w:val="20"/>
          <w:szCs w:val="20"/>
          <w:lang w:val="en-US"/>
        </w:rPr>
      </w:pPr>
    </w:p>
    <w:p w14:paraId="6B62D6D5" w14:textId="77777777" w:rsidR="00D40207" w:rsidRPr="00E033ED" w:rsidRDefault="00D40207" w:rsidP="00D40207">
      <w:pPr>
        <w:spacing w:line="288" w:lineRule="auto"/>
        <w:rPr>
          <w:rFonts w:ascii="Helvetica" w:hAnsi="Helvetica"/>
          <w:color w:val="000000" w:themeColor="text1"/>
          <w:sz w:val="20"/>
          <w:szCs w:val="20"/>
          <w:lang w:val="en-US"/>
        </w:rPr>
      </w:pPr>
    </w:p>
    <w:p w14:paraId="49D88D1C" w14:textId="77777777" w:rsidR="00D40207" w:rsidRPr="00D72B96" w:rsidRDefault="00D40207" w:rsidP="00D40207">
      <w:pPr>
        <w:spacing w:line="288" w:lineRule="auto"/>
        <w:rPr>
          <w:rFonts w:ascii="Helvetica" w:hAnsi="Helvetica"/>
          <w:color w:val="000000" w:themeColor="text1"/>
          <w:sz w:val="20"/>
          <w:szCs w:val="20"/>
          <w:lang w:val="en-US"/>
        </w:rPr>
      </w:pPr>
    </w:p>
    <w:p w14:paraId="13AA3C06" w14:textId="77777777" w:rsidR="00D40207" w:rsidRPr="00E224AF" w:rsidRDefault="00D40207" w:rsidP="00D40207">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Corey Nachreiner</w:t>
      </w:r>
      <w:r w:rsidRPr="00E224AF">
        <w:rPr>
          <w:rFonts w:ascii="Helvetica" w:hAnsi="Helvetica"/>
          <w:color w:val="000000" w:themeColor="text1"/>
          <w:sz w:val="20"/>
          <w:szCs w:val="20"/>
        </w:rPr>
        <w:t>"). Selbstverständlich schicke ich Ihnen die Datei auch gerne per E-Mail zu. Kontakt: rh@press-n-relations.de</w:t>
      </w:r>
    </w:p>
    <w:p w14:paraId="1869490E" w14:textId="77777777" w:rsidR="002245E8" w:rsidRPr="00D83844" w:rsidRDefault="002245E8" w:rsidP="002245E8">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2245E8" w:rsidRPr="00D83844" w14:paraId="071E0B2E" w14:textId="77777777" w:rsidTr="00E51347">
        <w:trPr>
          <w:trHeight w:val="1436"/>
        </w:trPr>
        <w:tc>
          <w:tcPr>
            <w:tcW w:w="4606" w:type="dxa"/>
          </w:tcPr>
          <w:p w14:paraId="1A2459E2" w14:textId="77777777" w:rsidR="002245E8" w:rsidRPr="00D83844" w:rsidRDefault="002245E8" w:rsidP="00E51347">
            <w:pPr>
              <w:pStyle w:val="Textkrper"/>
              <w:spacing w:line="312" w:lineRule="auto"/>
              <w:ind w:right="426"/>
              <w:rPr>
                <w:bCs/>
                <w:color w:val="000000" w:themeColor="text1"/>
                <w:sz w:val="16"/>
                <w:lang w:val="de-CH"/>
              </w:rPr>
            </w:pPr>
            <w:r w:rsidRPr="00D83844">
              <w:rPr>
                <w:bCs/>
                <w:color w:val="000000" w:themeColor="text1"/>
                <w:sz w:val="16"/>
                <w:lang w:val="de-CH"/>
              </w:rPr>
              <w:t>Kontakt:</w:t>
            </w:r>
          </w:p>
          <w:p w14:paraId="7F98E4A0"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WatchGuard Technologies GmbH</w:t>
            </w:r>
          </w:p>
          <w:p w14:paraId="2787D0CD"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 Moll – Field Marketing Manager Central Europe</w:t>
            </w:r>
          </w:p>
          <w:p w14:paraId="206219EC"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Wendenstr. 379, 20537 Hamburg</w:t>
            </w:r>
          </w:p>
          <w:p w14:paraId="6E893737"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Tel.: +49 152 31795040</w:t>
            </w:r>
          </w:p>
          <w:p w14:paraId="211839EF"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paul.moll@watchguard.com</w:t>
            </w:r>
          </w:p>
          <w:p w14:paraId="39735087" w14:textId="77777777" w:rsidR="002245E8" w:rsidRPr="00D83844" w:rsidRDefault="002245E8" w:rsidP="00E51347">
            <w:pPr>
              <w:pStyle w:val="Textkrper"/>
              <w:tabs>
                <w:tab w:val="left" w:pos="7513"/>
              </w:tabs>
              <w:spacing w:line="312" w:lineRule="auto"/>
              <w:rPr>
                <w:b w:val="0"/>
                <w:color w:val="000000" w:themeColor="text1"/>
                <w:sz w:val="16"/>
                <w:lang w:val="de-CH"/>
              </w:rPr>
            </w:pPr>
            <w:r w:rsidRPr="00D83844">
              <w:rPr>
                <w:b w:val="0"/>
                <w:color w:val="000000" w:themeColor="text1"/>
                <w:spacing w:val="-2"/>
                <w:sz w:val="16"/>
                <w:szCs w:val="16"/>
                <w:lang w:val="de-CH"/>
              </w:rPr>
              <w:t>www.watchguard.de</w:t>
            </w:r>
          </w:p>
        </w:tc>
        <w:tc>
          <w:tcPr>
            <w:tcW w:w="4111" w:type="dxa"/>
          </w:tcPr>
          <w:p w14:paraId="17E5288E" w14:textId="77777777" w:rsidR="002245E8" w:rsidRPr="00D83844" w:rsidRDefault="002245E8" w:rsidP="00E51347">
            <w:pPr>
              <w:pStyle w:val="Textkrper"/>
              <w:tabs>
                <w:tab w:val="left" w:pos="7513"/>
              </w:tabs>
              <w:spacing w:line="312" w:lineRule="auto"/>
              <w:ind w:right="426"/>
              <w:rPr>
                <w:bCs/>
                <w:color w:val="000000" w:themeColor="text1"/>
                <w:sz w:val="16"/>
                <w:lang w:val="de-CH"/>
              </w:rPr>
            </w:pPr>
            <w:r w:rsidRPr="00D83844">
              <w:rPr>
                <w:bCs/>
                <w:color w:val="000000" w:themeColor="text1"/>
                <w:sz w:val="16"/>
                <w:lang w:val="de-CH"/>
              </w:rPr>
              <w:t>Presse- und Öffentlichkeitsarbeit:</w:t>
            </w:r>
          </w:p>
          <w:p w14:paraId="4D519D70"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Press'n'Relations GmbH, c/o Medianovis AG</w:t>
            </w:r>
          </w:p>
          <w:p w14:paraId="4F11A0F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Rebecca Horn</w:t>
            </w:r>
          </w:p>
          <w:p w14:paraId="7258DDF2"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Schaffhauser. 91, 8057 Zürich</w:t>
            </w:r>
          </w:p>
          <w:p w14:paraId="56479249"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 xml:space="preserve">Tel.: +49 731 962 87 15 </w:t>
            </w:r>
          </w:p>
          <w:p w14:paraId="12C3E0A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rh@press-n-relations.de</w:t>
            </w:r>
          </w:p>
          <w:p w14:paraId="7F8E09E1" w14:textId="77777777" w:rsidR="002245E8" w:rsidRPr="00D83844" w:rsidRDefault="002245E8" w:rsidP="00E51347">
            <w:pPr>
              <w:pStyle w:val="Textkrper"/>
              <w:tabs>
                <w:tab w:val="left" w:pos="7513"/>
              </w:tabs>
              <w:spacing w:line="312" w:lineRule="auto"/>
              <w:ind w:right="425"/>
              <w:rPr>
                <w:b w:val="0"/>
                <w:bCs/>
                <w:color w:val="000000" w:themeColor="text1"/>
                <w:sz w:val="16"/>
                <w:lang w:val="de-CH"/>
              </w:rPr>
            </w:pPr>
            <w:r w:rsidRPr="00D83844">
              <w:rPr>
                <w:b w:val="0"/>
                <w:color w:val="000000" w:themeColor="text1"/>
                <w:spacing w:val="-2"/>
                <w:sz w:val="16"/>
                <w:szCs w:val="16"/>
                <w:lang w:val="de-CH"/>
              </w:rPr>
              <w:t>www.press-n-relations.com</w:t>
            </w:r>
          </w:p>
        </w:tc>
      </w:tr>
    </w:tbl>
    <w:p w14:paraId="17A0B486" w14:textId="77777777" w:rsidR="00EF09A7"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p>
    <w:p w14:paraId="5D8E9A20" w14:textId="327041FF" w:rsidR="00EF09A7" w:rsidRPr="00C531C4"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Über WatchGuard Technologies</w:t>
      </w:r>
    </w:p>
    <w:p w14:paraId="42BB99C9" w14:textId="6CA2520B" w:rsidR="00EF09A7" w:rsidRPr="00C531C4" w:rsidRDefault="00EF09A7" w:rsidP="00EF09A7">
      <w:pPr>
        <w:tabs>
          <w:tab w:val="left" w:pos="3828"/>
          <w:tab w:val="left" w:pos="8364"/>
        </w:tabs>
        <w:spacing w:line="288" w:lineRule="auto"/>
        <w:ind w:right="567"/>
        <w:rPr>
          <w:rFonts w:ascii="Helvetica" w:hAnsi="Helvetica"/>
          <w:color w:val="000000" w:themeColor="text1"/>
          <w:spacing w:val="-2"/>
          <w:sz w:val="16"/>
          <w:szCs w:val="16"/>
        </w:rPr>
      </w:pPr>
      <w:r w:rsidRPr="00C531C4">
        <w:rPr>
          <w:rFonts w:ascii="Helvetica" w:hAnsi="Helvetica"/>
          <w:color w:val="000000" w:themeColor="text1"/>
          <w:spacing w:val="-2"/>
          <w:sz w:val="16"/>
          <w:szCs w:val="16"/>
        </w:rPr>
        <w:t xml:space="preserve">WatchGuard Technologies gehört zu den führenden Anbietern im Bereich </w:t>
      </w:r>
      <w:r>
        <w:rPr>
          <w:rFonts w:ascii="Helvetica" w:hAnsi="Helvetica"/>
          <w:color w:val="000000" w:themeColor="text1"/>
          <w:spacing w:val="-2"/>
          <w:sz w:val="16"/>
          <w:szCs w:val="16"/>
        </w:rPr>
        <w:t>IT-S</w:t>
      </w:r>
      <w:r w:rsidRPr="00C531C4">
        <w:rPr>
          <w:rFonts w:ascii="Helvetica" w:hAnsi="Helvetica"/>
          <w:color w:val="000000" w:themeColor="text1"/>
          <w:spacing w:val="-2"/>
          <w:sz w:val="16"/>
          <w:szCs w:val="16"/>
        </w:rPr>
        <w:t>icherheit. Das umfangreiche Produktportfolio reicht von hochentwickelten UTM (Unified Threat Management)- und Next-Generation-Firewall-Plattformen über Multifaktor-Authen</w:t>
      </w:r>
      <w:r w:rsidRPr="00C531C4">
        <w:rPr>
          <w:rFonts w:ascii="Helvetica" w:hAnsi="Helvetica"/>
          <w:color w:val="000000" w:themeColor="text1"/>
          <w:spacing w:val="-2"/>
          <w:sz w:val="16"/>
          <w:szCs w:val="16"/>
        </w:rPr>
        <w:softHyphen/>
        <w:t xml:space="preserve">tifizierung bis hin zu Technologien für umfassenden WLAN-Schutz </w:t>
      </w:r>
      <w:r w:rsidR="00D40207">
        <w:rPr>
          <w:rFonts w:ascii="Helvetica" w:hAnsi="Helvetica"/>
          <w:color w:val="000000" w:themeColor="text1"/>
          <w:spacing w:val="-2"/>
          <w:sz w:val="16"/>
          <w:szCs w:val="16"/>
        </w:rPr>
        <w:t>und Endpoint Protection s</w:t>
      </w:r>
      <w:r w:rsidRPr="00C531C4">
        <w:rPr>
          <w:rFonts w:ascii="Helvetica" w:hAnsi="Helvetica"/>
          <w:color w:val="000000" w:themeColor="text1"/>
          <w:spacing w:val="-2"/>
          <w:sz w:val="16"/>
          <w:szCs w:val="16"/>
        </w:rPr>
        <w:t>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 xml:space="preserve">e, dezentral aufgestellte Organisationen vom Einsatz profitieren. Neben der Zentrale in Seattle im US-Bundesstaat Washington verfügt WatchGuard über Niederlassungen in ganz Nordamerika, Lateinamerika und Europa sowie im asiatisch-pazifischen Raum. </w:t>
      </w:r>
    </w:p>
    <w:p w14:paraId="32079DE5" w14:textId="77777777" w:rsidR="00EF09A7" w:rsidRPr="00C531C4" w:rsidRDefault="00EF09A7" w:rsidP="00EF09A7">
      <w:pPr>
        <w:tabs>
          <w:tab w:val="left" w:pos="3828"/>
          <w:tab w:val="left" w:pos="8364"/>
        </w:tabs>
        <w:spacing w:line="288" w:lineRule="auto"/>
        <w:ind w:right="567"/>
        <w:rPr>
          <w:rFonts w:ascii="Helvetica" w:hAnsi="Helvetica"/>
          <w:color w:val="000000" w:themeColor="text1"/>
          <w:sz w:val="16"/>
          <w:szCs w:val="16"/>
        </w:rPr>
      </w:pPr>
    </w:p>
    <w:p w14:paraId="48781F12" w14:textId="35803BDA" w:rsidR="000354FC" w:rsidRPr="00D40207" w:rsidRDefault="00EF09A7" w:rsidP="00D40207">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 xml:space="preserve">Aktuelle Informationen, Aktionen und Updates finden Sie auch auf </w:t>
      </w:r>
      <w:hyperlink r:id="rId10"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 xml:space="preserve">, </w:t>
      </w:r>
      <w:hyperlink r:id="rId11" w:history="1">
        <w:r w:rsidRPr="00C531C4">
          <w:rPr>
            <w:rStyle w:val="Hyperlink"/>
            <w:rFonts w:ascii="Helvetica" w:hAnsi="Helvetica"/>
            <w:color w:val="000000" w:themeColor="text1"/>
            <w:spacing w:val="-3"/>
            <w:sz w:val="16"/>
            <w:szCs w:val="16"/>
            <w:u w:val="none"/>
          </w:rPr>
          <w:t>Facebook</w:t>
        </w:r>
      </w:hyperlink>
      <w:r w:rsidRPr="00C531C4">
        <w:rPr>
          <w:rFonts w:ascii="Helvetica" w:hAnsi="Helvetica"/>
          <w:color w:val="000000" w:themeColor="text1"/>
          <w:spacing w:val="-3"/>
          <w:sz w:val="16"/>
          <w:szCs w:val="16"/>
        </w:rPr>
        <w:t xml:space="preserve"> oder </w:t>
      </w:r>
      <w:hyperlink r:id="rId12"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 xml:space="preserve">. Der WatchGuard-Blog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Secplicity</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 berichtet darüber hinaus über die neuesten Bedrohungen und zeigt auf, wie man mit ihnen umgeht: </w:t>
      </w:r>
      <w:hyperlink r:id="rId13"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 xml:space="preserve">. Oder Sie abonnieren den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443 - Security Simplified</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Podcast bei </w:t>
      </w:r>
      <w:hyperlink r:id="rId14" w:history="1">
        <w:r w:rsidRPr="00C531C4">
          <w:rPr>
            <w:rStyle w:val="Hyperlink"/>
            <w:rFonts w:ascii="Helvetica" w:hAnsi="Helvetica"/>
            <w:color w:val="000000" w:themeColor="text1"/>
            <w:spacing w:val="-3"/>
            <w:sz w:val="16"/>
            <w:szCs w:val="16"/>
            <w:u w:val="none"/>
          </w:rPr>
          <w:t>Secplicity.org</w:t>
        </w:r>
      </w:hyperlink>
      <w:r w:rsidRPr="00C531C4">
        <w:rPr>
          <w:rFonts w:ascii="Helvetica" w:hAnsi="Helvetica"/>
          <w:color w:val="000000" w:themeColor="text1"/>
          <w:spacing w:val="-3"/>
          <w:sz w:val="16"/>
          <w:szCs w:val="16"/>
        </w:rPr>
        <w:t xml:space="preserve"> bzw. wo immer Sie Ihre Lieblings-Podcasts finden</w:t>
      </w:r>
      <w:r w:rsidR="00D40207">
        <w:rPr>
          <w:rFonts w:ascii="Helvetica" w:hAnsi="Helvetica"/>
          <w:color w:val="000000" w:themeColor="text1"/>
          <w:spacing w:val="-3"/>
          <w:sz w:val="16"/>
          <w:szCs w:val="16"/>
        </w:rPr>
        <w:t>.</w:t>
      </w:r>
    </w:p>
    <w:sectPr w:rsidR="000354FC" w:rsidRPr="00D40207" w:rsidSect="00D40207">
      <w:headerReference w:type="default" r:id="rId15"/>
      <w:footerReference w:type="even" r:id="rId16"/>
      <w:footerReference w:type="default" r:id="rId17"/>
      <w:type w:val="continuous"/>
      <w:pgSz w:w="11900" w:h="16840"/>
      <w:pgMar w:top="1418" w:right="1412" w:bottom="109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E507FA" w14:textId="77777777" w:rsidR="00D808B3" w:rsidRDefault="00D808B3">
      <w:r>
        <w:separator/>
      </w:r>
    </w:p>
  </w:endnote>
  <w:endnote w:type="continuationSeparator" w:id="0">
    <w:p w14:paraId="7E7BBD60" w14:textId="77777777" w:rsidR="00D808B3" w:rsidRDefault="00D80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E12902" w14:textId="77777777" w:rsidR="00D808B3" w:rsidRDefault="00D808B3">
      <w:r>
        <w:separator/>
      </w:r>
    </w:p>
  </w:footnote>
  <w:footnote w:type="continuationSeparator" w:id="0">
    <w:p w14:paraId="333104A0" w14:textId="77777777" w:rsidR="00D808B3" w:rsidRDefault="00D80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8"/>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 w:numId="49">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embedSystemFonts/>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341"/>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73F"/>
    <w:rsid w:val="00123A7B"/>
    <w:rsid w:val="00123CF5"/>
    <w:rsid w:val="00125EF6"/>
    <w:rsid w:val="00125F5A"/>
    <w:rsid w:val="00125FE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1868"/>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6650"/>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2056"/>
    <w:rsid w:val="002227A1"/>
    <w:rsid w:val="00223139"/>
    <w:rsid w:val="002245E8"/>
    <w:rsid w:val="00226A21"/>
    <w:rsid w:val="00226A6F"/>
    <w:rsid w:val="0022775C"/>
    <w:rsid w:val="0023011D"/>
    <w:rsid w:val="002313D0"/>
    <w:rsid w:val="00231578"/>
    <w:rsid w:val="002327DE"/>
    <w:rsid w:val="00232C15"/>
    <w:rsid w:val="002332CE"/>
    <w:rsid w:val="002343CA"/>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FE0"/>
    <w:rsid w:val="00286CDB"/>
    <w:rsid w:val="002900CF"/>
    <w:rsid w:val="002909C5"/>
    <w:rsid w:val="00291426"/>
    <w:rsid w:val="002916D5"/>
    <w:rsid w:val="00292C7D"/>
    <w:rsid w:val="00293465"/>
    <w:rsid w:val="002945AC"/>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094"/>
    <w:rsid w:val="002C267D"/>
    <w:rsid w:val="002C3420"/>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59DA"/>
    <w:rsid w:val="002F61DF"/>
    <w:rsid w:val="002F643B"/>
    <w:rsid w:val="002F647F"/>
    <w:rsid w:val="002F6A1C"/>
    <w:rsid w:val="002F7145"/>
    <w:rsid w:val="002F76EB"/>
    <w:rsid w:val="002F7A55"/>
    <w:rsid w:val="002F7BCB"/>
    <w:rsid w:val="0030018C"/>
    <w:rsid w:val="003009F1"/>
    <w:rsid w:val="003011B2"/>
    <w:rsid w:val="0030165B"/>
    <w:rsid w:val="003019C5"/>
    <w:rsid w:val="00301F9D"/>
    <w:rsid w:val="003021F5"/>
    <w:rsid w:val="0030294D"/>
    <w:rsid w:val="0030296F"/>
    <w:rsid w:val="00302BE3"/>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D86"/>
    <w:rsid w:val="00347507"/>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7820"/>
    <w:rsid w:val="003C0F20"/>
    <w:rsid w:val="003C1AA8"/>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21E"/>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97F"/>
    <w:rsid w:val="004B2C7F"/>
    <w:rsid w:val="004B3014"/>
    <w:rsid w:val="004B308C"/>
    <w:rsid w:val="004B315E"/>
    <w:rsid w:val="004B3241"/>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71C"/>
    <w:rsid w:val="004C72A6"/>
    <w:rsid w:val="004C771D"/>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B66"/>
    <w:rsid w:val="00521D47"/>
    <w:rsid w:val="005226E7"/>
    <w:rsid w:val="00522F68"/>
    <w:rsid w:val="00523915"/>
    <w:rsid w:val="00524F1D"/>
    <w:rsid w:val="00526D64"/>
    <w:rsid w:val="00526E88"/>
    <w:rsid w:val="00527DB7"/>
    <w:rsid w:val="00531CD8"/>
    <w:rsid w:val="00532A01"/>
    <w:rsid w:val="00533B51"/>
    <w:rsid w:val="00535196"/>
    <w:rsid w:val="0053568B"/>
    <w:rsid w:val="00535E24"/>
    <w:rsid w:val="0053611F"/>
    <w:rsid w:val="005362A0"/>
    <w:rsid w:val="005362B0"/>
    <w:rsid w:val="00536734"/>
    <w:rsid w:val="00536A35"/>
    <w:rsid w:val="00537FFB"/>
    <w:rsid w:val="00540070"/>
    <w:rsid w:val="00540C25"/>
    <w:rsid w:val="00540D49"/>
    <w:rsid w:val="0054431D"/>
    <w:rsid w:val="00545F06"/>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DE7"/>
    <w:rsid w:val="00564917"/>
    <w:rsid w:val="00564CAA"/>
    <w:rsid w:val="005664C7"/>
    <w:rsid w:val="00566F6A"/>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F80"/>
    <w:rsid w:val="005C66D3"/>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2C64"/>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DFC"/>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9F8"/>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93F"/>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6224"/>
    <w:rsid w:val="00866D67"/>
    <w:rsid w:val="00867746"/>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AD0"/>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E6032"/>
    <w:rsid w:val="008F0329"/>
    <w:rsid w:val="008F0771"/>
    <w:rsid w:val="008F0B49"/>
    <w:rsid w:val="008F1FC0"/>
    <w:rsid w:val="008F220B"/>
    <w:rsid w:val="008F2634"/>
    <w:rsid w:val="008F27D2"/>
    <w:rsid w:val="008F32FF"/>
    <w:rsid w:val="008F3610"/>
    <w:rsid w:val="008F4128"/>
    <w:rsid w:val="008F4F7A"/>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D0F"/>
    <w:rsid w:val="009A3EB4"/>
    <w:rsid w:val="009A5572"/>
    <w:rsid w:val="009A72B0"/>
    <w:rsid w:val="009A73E3"/>
    <w:rsid w:val="009A7882"/>
    <w:rsid w:val="009B05A5"/>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8DA"/>
    <w:rsid w:val="00A85F4C"/>
    <w:rsid w:val="00A862A4"/>
    <w:rsid w:val="00A86FE5"/>
    <w:rsid w:val="00A9148F"/>
    <w:rsid w:val="00A91926"/>
    <w:rsid w:val="00A919DF"/>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08D"/>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5E54"/>
    <w:rsid w:val="00C771C2"/>
    <w:rsid w:val="00C77AB9"/>
    <w:rsid w:val="00C77C9F"/>
    <w:rsid w:val="00C813B0"/>
    <w:rsid w:val="00C815D3"/>
    <w:rsid w:val="00C8161D"/>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D7D6E"/>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9D"/>
    <w:rsid w:val="00D01807"/>
    <w:rsid w:val="00D01DB9"/>
    <w:rsid w:val="00D0390E"/>
    <w:rsid w:val="00D03D33"/>
    <w:rsid w:val="00D03F94"/>
    <w:rsid w:val="00D05A64"/>
    <w:rsid w:val="00D06973"/>
    <w:rsid w:val="00D076FE"/>
    <w:rsid w:val="00D10380"/>
    <w:rsid w:val="00D10A5B"/>
    <w:rsid w:val="00D10CE0"/>
    <w:rsid w:val="00D12FDD"/>
    <w:rsid w:val="00D13407"/>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0207"/>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C33"/>
    <w:rsid w:val="00D61EB9"/>
    <w:rsid w:val="00D63484"/>
    <w:rsid w:val="00D63C2C"/>
    <w:rsid w:val="00D63DBA"/>
    <w:rsid w:val="00D63EC2"/>
    <w:rsid w:val="00D6607A"/>
    <w:rsid w:val="00D661D0"/>
    <w:rsid w:val="00D6648C"/>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77FBB"/>
    <w:rsid w:val="00D808B3"/>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5C6F"/>
    <w:rsid w:val="00DC6576"/>
    <w:rsid w:val="00DC67A7"/>
    <w:rsid w:val="00DC6F07"/>
    <w:rsid w:val="00DD181D"/>
    <w:rsid w:val="00DD18CF"/>
    <w:rsid w:val="00DD46DD"/>
    <w:rsid w:val="00DD4E40"/>
    <w:rsid w:val="00DD593A"/>
    <w:rsid w:val="00DD5F12"/>
    <w:rsid w:val="00DD631A"/>
    <w:rsid w:val="00DD7B50"/>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0BA"/>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495C"/>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09A7"/>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A76"/>
    <w:rsid w:val="00F356EA"/>
    <w:rsid w:val="00F36093"/>
    <w:rsid w:val="00F3626D"/>
    <w:rsid w:val="00F36D2C"/>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1-2020" TargetMode="External"/><Relationship Id="rId13" Type="http://schemas.openxmlformats.org/officeDocument/2006/relationships/hyperlink" Target="http://www.secplicity.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chguard.com/wgrd-resource-center/security-report"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1227</Words>
  <Characters>7733</Characters>
  <Application>Microsoft Office Word</Application>
  <DocSecurity>0</DocSecurity>
  <Lines>64</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8943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5</cp:revision>
  <cp:lastPrinted>2019-09-25T10:17:00Z</cp:lastPrinted>
  <dcterms:created xsi:type="dcterms:W3CDTF">2020-06-24T06:35:00Z</dcterms:created>
  <dcterms:modified xsi:type="dcterms:W3CDTF">2020-06-24T06:44:00Z</dcterms:modified>
  <cp:category/>
</cp:coreProperties>
</file>