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1F3EFE4E" w:rsidR="00AF2CB9" w:rsidRPr="00E224AF" w:rsidRDefault="002245E8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E224AF">
        <w:rPr>
          <w:rFonts w:ascii="Helvetica" w:hAnsi="Helvetica"/>
          <w:b/>
        </w:rPr>
        <w:t>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2A65D39" w:rsidR="00AF2CB9" w:rsidRPr="00E224AF" w:rsidRDefault="002245E8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322BF2">
        <w:rPr>
          <w:rFonts w:ascii="Helvetica" w:hAnsi="Helvetica"/>
          <w:sz w:val="20"/>
          <w:szCs w:val="20"/>
        </w:rPr>
        <w:t>1. 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4328CFE" w14:textId="546E0F46" w:rsidR="00D043A4" w:rsidRPr="00BF4085" w:rsidRDefault="00D043A4" w:rsidP="00D043A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proofErr w:type="spellStart"/>
      <w:r w:rsidRPr="00BF4085">
        <w:rPr>
          <w:rFonts w:ascii="Helvetica" w:hAnsi="Helvetica"/>
          <w:b/>
        </w:rPr>
        <w:t>DNSWatchGO</w:t>
      </w:r>
      <w:proofErr w:type="spellEnd"/>
      <w:r w:rsidRPr="00BF4085">
        <w:rPr>
          <w:rFonts w:ascii="Helvetica" w:hAnsi="Helvetica"/>
          <w:b/>
        </w:rPr>
        <w:t xml:space="preserve"> holt mobile Mitarbeite</w:t>
      </w:r>
      <w:r w:rsidR="00B27531">
        <w:rPr>
          <w:rFonts w:ascii="Helvetica" w:hAnsi="Helvetica"/>
          <w:b/>
        </w:rPr>
        <w:t>nde</w:t>
      </w:r>
      <w:r w:rsidRPr="00BF4085">
        <w:rPr>
          <w:rFonts w:ascii="Helvetica" w:hAnsi="Helvetica"/>
          <w:b/>
        </w:rPr>
        <w:t xml:space="preserve"> aus dem toten Winkel</w:t>
      </w:r>
    </w:p>
    <w:p w14:paraId="2257AC90" w14:textId="77777777" w:rsidR="00D043A4" w:rsidRPr="008C04DA" w:rsidRDefault="00D043A4" w:rsidP="00D043A4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BF4085">
        <w:rPr>
          <w:rFonts w:ascii="Helvetica" w:hAnsi="Helvetica"/>
          <w:b/>
          <w:sz w:val="20"/>
          <w:szCs w:val="20"/>
        </w:rPr>
        <w:t xml:space="preserve">Neuer Security-Service von </w:t>
      </w:r>
      <w:proofErr w:type="spellStart"/>
      <w:r w:rsidRPr="00BF4085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BF4085">
        <w:rPr>
          <w:rFonts w:ascii="Helvetica" w:hAnsi="Helvetica"/>
          <w:b/>
          <w:sz w:val="20"/>
          <w:szCs w:val="20"/>
        </w:rPr>
        <w:t xml:space="preserve"> garantiert Schutz für Endgeräte jenseits des eigentlichen Unternehmensnetzwerks</w:t>
      </w:r>
    </w:p>
    <w:p w14:paraId="1883E44F" w14:textId="77777777" w:rsidR="00D043A4" w:rsidRPr="008C04DA" w:rsidRDefault="00D043A4" w:rsidP="00D043A4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6DA75EE" w14:textId="31291B34" w:rsidR="00D043A4" w:rsidRPr="00BF70C8" w:rsidRDefault="00D043A4" w:rsidP="00D043A4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Mit einem neuen cloudbasierten Security-Service nimmt der US-amerikanische IT-</w:t>
      </w:r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Sicherheitsspezialist </w:t>
      </w:r>
      <w:hyperlink r:id="rId7" w:history="1">
        <w:proofErr w:type="spellStart"/>
        <w:r w:rsidRPr="00E7333B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proofErr w:type="spellEnd"/>
        <w:r w:rsidRPr="00E7333B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Technologies</w:t>
        </w:r>
      </w:hyperlink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 den Schutz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mobiler Endgeräte jetzt gezielt 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ins Visier: </w:t>
      </w:r>
      <w:hyperlink r:id="rId8" w:history="1">
        <w:proofErr w:type="spellStart"/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DNSWatchGO</w:t>
        </w:r>
        <w:proofErr w:type="spellEnd"/>
      </w:hyperlink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versetzt Unternehmen in die Lage, Phishing-Angriffe, ungewollte Verbindungen zu Command-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and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-Control-Servern sowie Datendiebstahl automatisch zu erkennen und abzuwehren – selbst wenn sich das jeweilige Endgerät 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/>
          <w:color w:val="000000" w:themeColor="text1"/>
          <w:sz w:val="20"/>
          <w:szCs w:val="20"/>
        </w:rPr>
        <w:t>ss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>erhalb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des eigentlichen Firmennetzwerks befindet. Der neue Dienst ist sowohl einzeln als auch im Rahmen von </w:t>
      </w:r>
      <w:hyperlink r:id="rId9" w:history="1">
        <w:proofErr w:type="spellStart"/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</w:t>
        </w:r>
        <w:proofErr w:type="spellEnd"/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Passport</w:t>
        </w:r>
        <w:proofErr w:type="spellEnd"/>
      </w:hyperlink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– dem neuen Komplettpaket für Endgerätesicherheit von 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– erhältlich und setzt auf DNS-Ebene an. Dank spezifischer Content Filter spielt es somit keine Rolle mehr, wo auf der Welt sich der einzelne Mitarbeite</w:t>
      </w:r>
      <w:r w:rsidR="00322BF2">
        <w:rPr>
          <w:rFonts w:ascii="Helvetica" w:hAnsi="Helvetica"/>
          <w:b/>
          <w:color w:val="000000" w:themeColor="text1"/>
          <w:sz w:val="20"/>
          <w:szCs w:val="20"/>
        </w:rPr>
        <w:t>nde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gerade aufhält. Neben der Ad-hoc-Abwehr von Angriffen zeichnet sich 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DNSWatchGO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aber auch durch automatisierte Funktionen zur Sensibilisierung und Schulung der Endbenutzer aus. Durch die Anzeige von Sicherheitswarnungen auf dem jeweiligen Gerät eines Mitarbeite</w:t>
      </w:r>
      <w:r w:rsidR="00322BF2">
        <w:rPr>
          <w:rFonts w:ascii="Helvetica" w:hAnsi="Helvetica"/>
          <w:b/>
          <w:color w:val="000000" w:themeColor="text1"/>
          <w:sz w:val="20"/>
          <w:szCs w:val="20"/>
        </w:rPr>
        <w:t>nden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unmittelbar nach einem Angriff lässt sich die Wahrnehmung deutlich schärfen. Auf diese Weise kann einschlägigen Sicherheitsvorfällen künftig zusätzlich vorgebeugt werden. Zudem besticht die jüngste Portfolioerweiterung von </w:t>
      </w:r>
      <w:proofErr w:type="spellStart"/>
      <w:r w:rsidRPr="00BF70C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durch einfache Implementierung und Administration sowie ein ausgezeichnetes Preis-Leistungs-Verhältnis. </w:t>
      </w:r>
    </w:p>
    <w:p w14:paraId="55EAED06" w14:textId="77777777" w:rsidR="00D043A4" w:rsidRPr="00BF70C8" w:rsidRDefault="00D043A4" w:rsidP="00D043A4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3093D68C" w14:textId="183A91C6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Laut aktueller Studie von </w:t>
      </w:r>
      <w:hyperlink r:id="rId10" w:history="1">
        <w:r w:rsidRPr="00BF70C8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>CITE Research</w:t>
        </w:r>
      </w:hyperlink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 unter IT-Administratoren und Managern spielt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Mobilität im Arbeitsalltag eine immer entscheidendere Rolle. Von den befragten Unternehmen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erlauben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92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Prozent ihren Angestellten das Arbeiten </w:t>
      </w:r>
      <w:proofErr w:type="spellStart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des Büros.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Dieser Trend hat jedoch auch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ma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geblich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Einfluss auf die Sicherheit von Unternehmensdaten und -netzwerken. Obwohl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90 Prozent der Befragten </w:t>
      </w:r>
      <w:r>
        <w:rPr>
          <w:rFonts w:ascii="Helvetica" w:hAnsi="Helvetica"/>
          <w:bCs/>
          <w:color w:val="000000" w:themeColor="text1"/>
          <w:sz w:val="20"/>
          <w:szCs w:val="20"/>
        </w:rPr>
        <w:t>angaben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proofErr w:type="spellStart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-Security-Lösungen im Einsatz zu haben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 sich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85 Prozent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waren, die Aktivitäten von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nden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des Netzwerks überwachen zu können</w:t>
      </w:r>
      <w:r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bestätigten fast zwei Drittel der Teilnehmer, dass ein mobiler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nden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ihres Unternehmens schon einmal Opfer eines Cyberangriffs geworden ist</w:t>
      </w:r>
      <w:r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29A8AC2" w14:textId="77777777" w:rsidR="00D043A4" w:rsidRDefault="00D043A4" w:rsidP="00D043A4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DC9FC68" w14:textId="4743B142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6D764A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>Da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immer mobiler werden, </w:t>
      </w:r>
      <w:r>
        <w:rPr>
          <w:rFonts w:ascii="Helvetica" w:hAnsi="Helvetica"/>
          <w:bCs/>
          <w:color w:val="000000" w:themeColor="text1"/>
          <w:sz w:val="20"/>
          <w:szCs w:val="20"/>
        </w:rPr>
        <w:t>sollten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Unternehmen in der Lage sein, sich vor den zunehmenden Angriffen zu schützen, die </w:t>
      </w:r>
      <w:proofErr w:type="spellStart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ihres Kernnetzes stattfinden. </w:t>
      </w:r>
      <w:r>
        <w:rPr>
          <w:rFonts w:ascii="Helvetica" w:hAnsi="Helvetica"/>
          <w:bCs/>
          <w:color w:val="000000" w:themeColor="text1"/>
          <w:sz w:val="20"/>
          <w:szCs w:val="20"/>
        </w:rPr>
        <w:t>Es gilt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den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>Datenverkehr zu überwachen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Zugriffe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auf bösartige und unerwünschte Inhalte zu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verhindern. Auch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Enduser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>, die kein VPN nutzen, müssen geschützt werden“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so 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Andrew Young, </w:t>
      </w:r>
      <w:r>
        <w:rPr>
          <w:rFonts w:ascii="Helvetica" w:hAnsi="Helvetica"/>
          <w:bCs/>
          <w:color w:val="000000" w:themeColor="text1"/>
          <w:sz w:val="20"/>
          <w:szCs w:val="20"/>
        </w:rPr>
        <w:t>Leiter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des Produktmanagements bei </w:t>
      </w:r>
      <w:proofErr w:type="spellStart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„Genau dafür haben wir </w:t>
      </w:r>
      <w:proofErr w:type="spellStart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entwickelt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Mit dem neuen Service lässt sich unser bewährtes 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>mehrschichtige</w:t>
      </w:r>
      <w:r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Sicherheitskonzept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auch auf Endgeräte jenseits des </w:t>
      </w:r>
      <w:r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Netzwerkperimeters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übertragen. Weiteren Mehrwert bringen integrierte Informations- und </w:t>
      </w:r>
      <w:r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Schulungsfunktionalitäten, mit denen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direkt auf Gefahren und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Gegenma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nahmen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aufmerksam gemacht werden können.“</w:t>
      </w:r>
    </w:p>
    <w:p w14:paraId="78E50A01" w14:textId="77777777" w:rsidR="00D043A4" w:rsidRPr="0012607F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5BDBBAF" w14:textId="77777777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12607F">
        <w:rPr>
          <w:rFonts w:ascii="Helvetica" w:hAnsi="Helvetica"/>
          <w:bCs/>
          <w:color w:val="000000" w:themeColor="text1"/>
          <w:sz w:val="20"/>
          <w:szCs w:val="20"/>
        </w:rPr>
        <w:t>DSNWatchG</w:t>
      </w:r>
      <w:r>
        <w:rPr>
          <w:rFonts w:ascii="Helvetica" w:hAnsi="Helvetica"/>
          <w:bCs/>
          <w:color w:val="000000" w:themeColor="text1"/>
          <w:sz w:val="20"/>
          <w:szCs w:val="20"/>
        </w:rPr>
        <w:t>O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vereinfacht vor allem mittelständischen 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IT-</w:t>
      </w:r>
      <w:r>
        <w:rPr>
          <w:rFonts w:ascii="Helvetica" w:hAnsi="Helvetica"/>
          <w:bCs/>
          <w:color w:val="000000" w:themeColor="text1"/>
          <w:sz w:val="20"/>
          <w:szCs w:val="20"/>
        </w:rPr>
        <w:t>Dienstleistern, die diese im Hinblick auf Endgerätesicherheit unterstützen wollen, den Alltag. Die wichtigsten Vorteile im Überblick: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5AD5CAAA" w14:textId="77777777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CCCE66" w14:textId="2C79A9E8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96C9D">
        <w:rPr>
          <w:rFonts w:ascii="Helvetica" w:hAnsi="Helvetica"/>
          <w:b/>
          <w:color w:val="000000" w:themeColor="text1"/>
          <w:sz w:val="20"/>
          <w:szCs w:val="20"/>
        </w:rPr>
        <w:t>Sicherheit für unterwegs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Die Lösung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sorgt für Schutz auf DNS-Ebene und ergänzt die leistungsstarken Content Filter des bestehenden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-Diensts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>. Die von mobilen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des Unternehmensnetzwerks ausgehenden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DNS-Anfragen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werden überwacht und mit einer konsolidierten Liste bekannter Malware-Domains abgeglichen.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Alle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Verbindungsversuche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mit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potenziell gefährlichen Zielen lassen sich blockieren und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>Benutzer um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leiten. Gleichzeitig werden Übertragungsinhalte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zur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vertiefenden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Untersuchung und Entfernung von Malware an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Pr="00E96C9D">
        <w:rPr>
          <w:rFonts w:ascii="Helvetica" w:hAnsi="Helvetica"/>
          <w:bCs/>
          <w:color w:val="000000" w:themeColor="text1"/>
          <w:sz w:val="20"/>
          <w:szCs w:val="20"/>
        </w:rPr>
        <w:t>DNSWatch</w:t>
      </w:r>
      <w:proofErr w:type="spellEnd"/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-Server weitergeleitet.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sind </w:t>
      </w:r>
      <w:r w:rsidRPr="00BA1243">
        <w:rPr>
          <w:rFonts w:ascii="Helvetica" w:hAnsi="Helvetica"/>
          <w:bCs/>
          <w:color w:val="000000" w:themeColor="text1"/>
          <w:sz w:val="20"/>
          <w:szCs w:val="20"/>
        </w:rPr>
        <w:t>Phishing-Angriffe, ungewollte Verbindungen zu Command-</w:t>
      </w:r>
      <w:proofErr w:type="spellStart"/>
      <w:r w:rsidRPr="00BA1243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Pr="00BA1243">
        <w:rPr>
          <w:rFonts w:ascii="Helvetica" w:hAnsi="Helvetica"/>
          <w:bCs/>
          <w:color w:val="000000" w:themeColor="text1"/>
          <w:sz w:val="20"/>
          <w:szCs w:val="20"/>
        </w:rPr>
        <w:t>-Control-Servern sowie Datendiebstahl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gezielt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verhinderbar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Administratoren können dabei ortsunabhängig weitere unerwünschte Verbindungen auf Basis einfach zu erstellender und anzupassender Regelwerke unterbinden. Dies spielt auch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Providern (MSP) in die Karten, die ihren Kunden auf diese Weise zusätzliche Security-Services im Rahmen der Endgerätesicherheit anbieten können. </w:t>
      </w:r>
    </w:p>
    <w:p w14:paraId="0A16F573" w14:textId="77777777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DD300D0" w14:textId="260C5B28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85F75">
        <w:rPr>
          <w:rFonts w:ascii="Helvetica" w:hAnsi="Helvetica"/>
          <w:b/>
          <w:color w:val="000000" w:themeColor="text1"/>
          <w:sz w:val="20"/>
          <w:szCs w:val="20"/>
        </w:rPr>
        <w:t>Sofortige Information und Aufklärung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385F75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ist der erste Sicherheitsdienst, der Endbenutzern automatisierten Phishing-Schutz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gleichzeitig einschlägige Echtzeit-Informationen zur Gefahr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liefert, was das Sicherheitsverständnis im gesamten Unternehmen erhöhen kann.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Wenn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auf eine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unter Phishing-Verdacht stehende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E-Mail oder einen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Link klicken, werden sie sofort zu </w:t>
      </w:r>
      <w:r>
        <w:rPr>
          <w:rFonts w:ascii="Helvetica" w:hAnsi="Helvetica"/>
          <w:bCs/>
          <w:color w:val="000000" w:themeColor="text1"/>
          <w:sz w:val="20"/>
          <w:szCs w:val="20"/>
        </w:rPr>
        <w:t>Inhalten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weitergeleitet, die sie über Phishing-Angriffe und bewährte Verfahren zur Prävention informieren. Darüber hinaus bietet die Lösung </w:t>
      </w:r>
      <w:r>
        <w:rPr>
          <w:rFonts w:ascii="Helvetica" w:hAnsi="Helvetica"/>
          <w:bCs/>
          <w:color w:val="000000" w:themeColor="text1"/>
          <w:sz w:val="20"/>
          <w:szCs w:val="20"/>
        </w:rPr>
        <w:t>eindeutige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Analysen </w:t>
      </w:r>
      <w:r>
        <w:rPr>
          <w:rFonts w:ascii="Helvetica" w:hAnsi="Helvetica"/>
          <w:bCs/>
          <w:color w:val="000000" w:themeColor="text1"/>
          <w:sz w:val="20"/>
          <w:szCs w:val="20"/>
        </w:rPr>
        <w:t>zu jedem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blockierten Angriff,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IT-Administratoren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sowie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Kontextinformationen und eine Entscheidungsgrundlage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für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eventuelle ergänzende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Ma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nahmen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im Zuge der Sicherheit liefern. </w:t>
      </w:r>
    </w:p>
    <w:p w14:paraId="12D302B5" w14:textId="77777777" w:rsidR="00D043A4" w:rsidRPr="00F37D6C" w:rsidRDefault="00D043A4" w:rsidP="00D043A4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441B96BF" w14:textId="3436EC2C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37D6C">
        <w:rPr>
          <w:rFonts w:ascii="Helvetica" w:hAnsi="Helvetica"/>
          <w:b/>
          <w:color w:val="000000" w:themeColor="text1"/>
          <w:sz w:val="20"/>
          <w:szCs w:val="20"/>
        </w:rPr>
        <w:t>Transparenz jenseits der Unternehmenspforte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F37D6C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holt die Endgeräte mobiler Mitarbeite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nder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vollständig aus dem toten Winkel. Sowohl die Endpunkte innerhalb als auch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des Unternehmensnetzwerks lassen sich darstellen und bestmöglich absichern. Administratoren oder IT-Dienstleister erhalten zahlreiche Informationen, beispielsweise zum genauen Standort der Endgeräte, zur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Art der blockierten Angriffe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sowie deren Endziel – 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ohne dass Protokolldaten untersucht werden müssen. Diese Transparenz ist besonders wertvoll für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MSP. Sie können ihre Leistung gegenüber Kunden nun jederzeit anhand 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>detaillierte</w:t>
      </w:r>
      <w:r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Berichte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>Sicherheitsvorfälle</w:t>
      </w:r>
      <w:r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>, Angreifer</w:t>
      </w:r>
      <w:r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und deren Methoden </w:t>
      </w:r>
      <w:r>
        <w:rPr>
          <w:rFonts w:ascii="Helvetica" w:hAnsi="Helvetica"/>
          <w:bCs/>
          <w:color w:val="000000" w:themeColor="text1"/>
          <w:sz w:val="20"/>
          <w:szCs w:val="20"/>
        </w:rPr>
        <w:t>belegen und aufwerten.</w:t>
      </w:r>
    </w:p>
    <w:p w14:paraId="7172F1AE" w14:textId="77777777" w:rsidR="00D043A4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1AE874F" w14:textId="7816AAE3" w:rsidR="00D043A4" w:rsidRPr="00F37D6C" w:rsidRDefault="00D043A4" w:rsidP="00D043A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02D12">
        <w:rPr>
          <w:rFonts w:ascii="Helvetica" w:hAnsi="Helvetica"/>
          <w:b/>
          <w:color w:val="000000" w:themeColor="text1"/>
          <w:sz w:val="20"/>
          <w:szCs w:val="20"/>
        </w:rPr>
        <w:t>Cloudbasiertes Management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702D12">
        <w:rPr>
          <w:rFonts w:ascii="Helvetica" w:hAnsi="Helvetica"/>
          <w:bCs/>
          <w:color w:val="000000" w:themeColor="text1"/>
          <w:sz w:val="20"/>
          <w:szCs w:val="20"/>
        </w:rPr>
        <w:t>DNSWatchGO</w:t>
      </w:r>
      <w:proofErr w:type="spellEnd"/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ist zu hundert Prozent cloudbasiert, wodurch Unternehmen wie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IT-Lösungsanbieter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hinsichtlich Bereitstellung und Verwaltung Zeit und Geld sparen. Weder Hardware noch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manuelle Software-Updates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sind erforderlich. Für alle Endgeräte – innerhalb und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au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erhalb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des Netzwerks – lassen sich </w:t>
      </w:r>
      <w:r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Sicherheitsregeln über eine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zentrale Schnittstelle verwalte</w:t>
      </w:r>
      <w:r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und anpass</w:t>
      </w:r>
      <w:r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Dies birgt insbesondere für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gro</w:t>
      </w:r>
      <w:r w:rsidR="00322BF2">
        <w:rPr>
          <w:rFonts w:ascii="Helvetica" w:hAnsi="Helvetica"/>
          <w:bCs/>
          <w:color w:val="000000" w:themeColor="text1"/>
          <w:sz w:val="20"/>
          <w:szCs w:val="20"/>
        </w:rPr>
        <w:t>ss</w:t>
      </w:r>
      <w:r>
        <w:rPr>
          <w:rFonts w:ascii="Helvetica" w:hAnsi="Helvetica"/>
          <w:bCs/>
          <w:color w:val="000000" w:themeColor="text1"/>
          <w:sz w:val="20"/>
          <w:szCs w:val="20"/>
        </w:rPr>
        <w:t>e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Umsatzpotenziale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,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da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Neukunden innerhalb kürzester Zeit aufgeschaltet werden können. Die Wertschöpfung ist nicht erst von spezifischer Hardware oder Bereitstellungsaktivitäten vor Ort abhängig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7F89DF80" w14:textId="77777777" w:rsidR="00D043A4" w:rsidRDefault="00D043A4" w:rsidP="00D043A4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75030BA" w14:textId="77777777" w:rsidR="00D043A4" w:rsidRPr="00E224AF" w:rsidRDefault="00D043A4" w:rsidP="00D043A4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22"/>
      </w:tblGrid>
      <w:tr w:rsidR="00D043A4" w14:paraId="1A9B9544" w14:textId="77777777" w:rsidTr="00336D54">
        <w:trPr>
          <w:trHeight w:val="1843"/>
        </w:trPr>
        <w:tc>
          <w:tcPr>
            <w:tcW w:w="8222" w:type="dxa"/>
          </w:tcPr>
          <w:p w14:paraId="0A6A39E6" w14:textId="77777777" w:rsidR="00D043A4" w:rsidRDefault="00D043A4" w:rsidP="00336D54">
            <w:pPr>
              <w:pStyle w:val="Kopfzeile"/>
              <w:ind w:right="-141"/>
            </w:pPr>
            <w:r>
              <w:t xml:space="preserve">            </w:t>
            </w:r>
          </w:p>
          <w:p w14:paraId="283BD65E" w14:textId="77777777" w:rsidR="00D043A4" w:rsidRDefault="00D043A4" w:rsidP="00336D54">
            <w:pPr>
              <w:pStyle w:val="Kopfzeile"/>
              <w:ind w:right="-141"/>
            </w:pPr>
            <w:r>
              <w:rPr>
                <w:noProof/>
                <w:sz w:val="22"/>
              </w:rPr>
              <w:drawing>
                <wp:inline distT="0" distB="0" distL="0" distR="0" wp14:anchorId="1A9DF16D" wp14:editId="38439AA5">
                  <wp:extent cx="1758831" cy="923454"/>
                  <wp:effectExtent l="0" t="0" r="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ssport_Social_Share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37" cy="935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3A4" w:rsidRPr="00AE75AA" w14:paraId="7E4CE6A0" w14:textId="77777777" w:rsidTr="00336D54">
        <w:trPr>
          <w:trHeight w:val="544"/>
        </w:trPr>
        <w:tc>
          <w:tcPr>
            <w:tcW w:w="8222" w:type="dxa"/>
          </w:tcPr>
          <w:p w14:paraId="5DB9FF42" w14:textId="77777777" w:rsidR="00D043A4" w:rsidRPr="00E11222" w:rsidRDefault="00D043A4" w:rsidP="00336D5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Passport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kombiniert ab sofort die Lösungen </w:t>
            </w: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AuthPoint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und </w:t>
            </w:r>
            <w:proofErr w:type="spellStart"/>
            <w:r w:rsidRPr="00E11222">
              <w:rPr>
                <w:rFonts w:ascii="Helvetica" w:hAnsi="Helvetica"/>
                <w:sz w:val="16"/>
                <w:szCs w:val="16"/>
              </w:rPr>
              <w:t>DNSWatchGO</w:t>
            </w:r>
            <w:proofErr w:type="spellEnd"/>
            <w:r w:rsidRPr="00E11222">
              <w:rPr>
                <w:rFonts w:ascii="Helvetica" w:hAnsi="Helvetica"/>
                <w:sz w:val="16"/>
                <w:szCs w:val="16"/>
              </w:rPr>
              <w:t xml:space="preserve"> und ermöglicht so umfassende Endgerätesicherheit bei gleichzeitig einfacher Administration. </w:t>
            </w:r>
          </w:p>
          <w:p w14:paraId="4382719A" w14:textId="77777777" w:rsidR="00D043A4" w:rsidRPr="00996A56" w:rsidRDefault="00D043A4" w:rsidP="00336D5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</w:tr>
    </w:tbl>
    <w:p w14:paraId="6738857A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E65952C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1A18C2DB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2F8076D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4041BF75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355AC3B2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612557C" w14:textId="77777777" w:rsidR="00D043A4" w:rsidRDefault="00D043A4" w:rsidP="00D043A4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38665D60" w14:textId="77777777" w:rsidR="00D043A4" w:rsidRPr="00E033ED" w:rsidRDefault="00D043A4" w:rsidP="00D043A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A18F1EF" w14:textId="77777777" w:rsidR="00D043A4" w:rsidRDefault="00D043A4" w:rsidP="00D043A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55E1531" w14:textId="0D428C30" w:rsidR="00B31CC5" w:rsidRPr="00D043A4" w:rsidRDefault="00D043A4" w:rsidP="00D043A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bookmarkStart w:id="0" w:name="_GoBack"/>
      <w:bookmarkEnd w:id="0"/>
      <w:proofErr w:type="spellStart"/>
      <w:r>
        <w:rPr>
          <w:rFonts w:ascii="Helvetica" w:hAnsi="Helvetica"/>
          <w:color w:val="000000" w:themeColor="text1"/>
          <w:sz w:val="20"/>
          <w:szCs w:val="20"/>
        </w:rPr>
        <w:t>DNSWatchGO</w:t>
      </w:r>
      <w:proofErr w:type="spellEnd"/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1869490E" w14:textId="77777777" w:rsidR="002245E8" w:rsidRPr="00D83844" w:rsidRDefault="002245E8" w:rsidP="002245E8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2245E8" w:rsidRPr="00D83844" w14:paraId="071E0B2E" w14:textId="77777777" w:rsidTr="00E51347">
        <w:trPr>
          <w:trHeight w:val="1436"/>
        </w:trPr>
        <w:tc>
          <w:tcPr>
            <w:tcW w:w="4606" w:type="dxa"/>
          </w:tcPr>
          <w:p w14:paraId="1A2459E2" w14:textId="77777777" w:rsidR="002245E8" w:rsidRPr="00D83844" w:rsidRDefault="002245E8" w:rsidP="00E51347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Kontakt:</w:t>
            </w:r>
          </w:p>
          <w:p w14:paraId="7F98E4A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Technologies GmbH</w:t>
            </w:r>
          </w:p>
          <w:p w14:paraId="2787D0CD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 Moll – Field Marketing Manager Central Europe</w:t>
            </w:r>
          </w:p>
          <w:p w14:paraId="206219EC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 379, 20537 Hamburg</w:t>
            </w:r>
          </w:p>
          <w:p w14:paraId="6E89373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 +49 152 31795040</w:t>
            </w:r>
          </w:p>
          <w:p w14:paraId="211839EF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paul.moll@watchguard.com</w:t>
            </w:r>
          </w:p>
          <w:p w14:paraId="39735087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17E5288E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Cs/>
                <w:color w:val="000000" w:themeColor="text1"/>
                <w:sz w:val="16"/>
                <w:lang w:val="de-CH"/>
              </w:rPr>
              <w:t>Presse- und Öffentlichkeitsarbeit:</w:t>
            </w:r>
          </w:p>
          <w:p w14:paraId="4D519D70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4F11A0F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7258DDF2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56479249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12C3E0A6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7F8E09E1" w14:textId="77777777" w:rsidR="002245E8" w:rsidRPr="00D83844" w:rsidRDefault="002245E8" w:rsidP="00E51347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D83844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69FA2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5328A31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Über </w:t>
      </w:r>
      <w:proofErr w:type="spellStart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0EEC64BA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grosse, dezentral aufgestellte Organisationen vom Einsatz profitieren. Neben der Zentrale in Seattle im US-Bundesstaat Washington verfügt </w:t>
      </w:r>
      <w:proofErr w:type="spellStart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 </w:t>
      </w:r>
    </w:p>
    <w:p w14:paraId="1DE0EEC4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59349BB6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12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3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4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15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6" w:history="1">
        <w:r w:rsidRPr="00D8384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D83844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 </w:t>
      </w:r>
    </w:p>
    <w:p w14:paraId="52466C09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p w14:paraId="72AB63B7" w14:textId="77777777" w:rsidR="002245E8" w:rsidRPr="00D83844" w:rsidRDefault="002245E8" w:rsidP="002245E8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122A07" w14:textId="77777777" w:rsidR="002C77FC" w:rsidRDefault="002C77FC">
      <w:r>
        <w:separator/>
      </w:r>
    </w:p>
  </w:endnote>
  <w:endnote w:type="continuationSeparator" w:id="0">
    <w:p w14:paraId="32747614" w14:textId="77777777" w:rsidR="002C77FC" w:rsidRDefault="002C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5FCD5" w14:textId="77777777" w:rsidR="002C77FC" w:rsidRDefault="002C77FC">
      <w:r>
        <w:separator/>
      </w:r>
    </w:p>
  </w:footnote>
  <w:footnote w:type="continuationSeparator" w:id="0">
    <w:p w14:paraId="74923C5C" w14:textId="77777777" w:rsidR="002C77FC" w:rsidRDefault="002C7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34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45E8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7FC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2BF2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86E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2C64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111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F7A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531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E54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43A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dnswatchgo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de/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wgrd-resource-center/ebook/state-prem-security-en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watchguard-passport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1245</Words>
  <Characters>7847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9074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</cp:revision>
  <cp:lastPrinted>2019-09-25T10:17:00Z</cp:lastPrinted>
  <dcterms:created xsi:type="dcterms:W3CDTF">2019-10-01T07:31:00Z</dcterms:created>
  <dcterms:modified xsi:type="dcterms:W3CDTF">2019-10-01T07:41:00Z</dcterms:modified>
  <cp:category/>
</cp:coreProperties>
</file>