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05C7A30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2932CE">
        <w:rPr>
          <w:rFonts w:ascii="Helvetica" w:hAnsi="Helvetica"/>
          <w:sz w:val="20"/>
          <w:szCs w:val="20"/>
        </w:rPr>
        <w:t>1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2932CE">
        <w:rPr>
          <w:rFonts w:ascii="Helvetica" w:hAnsi="Helvetica"/>
          <w:sz w:val="20"/>
          <w:szCs w:val="20"/>
        </w:rPr>
        <w:t>Oktober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047DEE4E" w:rsidR="00364BA2" w:rsidRPr="00BF4085" w:rsidRDefault="00A475CA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proofErr w:type="spellStart"/>
      <w:r w:rsidRPr="00BF4085">
        <w:rPr>
          <w:rFonts w:ascii="Helvetica" w:hAnsi="Helvetica"/>
          <w:b/>
        </w:rPr>
        <w:t>DNSWatchGO</w:t>
      </w:r>
      <w:proofErr w:type="spellEnd"/>
      <w:r w:rsidRPr="00BF4085">
        <w:rPr>
          <w:rFonts w:ascii="Helvetica" w:hAnsi="Helvetica"/>
          <w:b/>
        </w:rPr>
        <w:t xml:space="preserve"> holt </w:t>
      </w:r>
      <w:r w:rsidR="00E01C60" w:rsidRPr="00BF4085">
        <w:rPr>
          <w:rFonts w:ascii="Helvetica" w:hAnsi="Helvetica"/>
          <w:b/>
        </w:rPr>
        <w:t>mobile</w:t>
      </w:r>
      <w:r w:rsidR="00A95774" w:rsidRPr="00BF4085">
        <w:rPr>
          <w:rFonts w:ascii="Helvetica" w:hAnsi="Helvetica"/>
          <w:b/>
        </w:rPr>
        <w:t xml:space="preserve"> </w:t>
      </w:r>
      <w:r w:rsidR="00E7333B" w:rsidRPr="00BF4085">
        <w:rPr>
          <w:rFonts w:ascii="Helvetica" w:hAnsi="Helvetica"/>
          <w:b/>
        </w:rPr>
        <w:t>Mitarbeiter</w:t>
      </w:r>
      <w:r w:rsidRPr="00BF4085">
        <w:rPr>
          <w:rFonts w:ascii="Helvetica" w:hAnsi="Helvetica"/>
          <w:b/>
        </w:rPr>
        <w:t xml:space="preserve"> aus dem toten Winkel</w:t>
      </w:r>
    </w:p>
    <w:p w14:paraId="16F62DF5" w14:textId="586C286B" w:rsidR="00364BA2" w:rsidRPr="008C04DA" w:rsidRDefault="00A475CA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BF4085">
        <w:rPr>
          <w:rFonts w:ascii="Helvetica" w:hAnsi="Helvetica"/>
          <w:b/>
          <w:sz w:val="20"/>
          <w:szCs w:val="20"/>
        </w:rPr>
        <w:t xml:space="preserve">Neuer Security-Service von </w:t>
      </w:r>
      <w:proofErr w:type="spellStart"/>
      <w:r w:rsidRPr="00BF4085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BF4085">
        <w:rPr>
          <w:rFonts w:ascii="Helvetica" w:hAnsi="Helvetica"/>
          <w:b/>
          <w:sz w:val="20"/>
          <w:szCs w:val="20"/>
        </w:rPr>
        <w:t xml:space="preserve"> garantiert Schutz für </w:t>
      </w:r>
      <w:r w:rsidR="00E7333B" w:rsidRPr="00BF4085">
        <w:rPr>
          <w:rFonts w:ascii="Helvetica" w:hAnsi="Helvetica"/>
          <w:b/>
          <w:sz w:val="20"/>
          <w:szCs w:val="20"/>
        </w:rPr>
        <w:t>Endgeräte</w:t>
      </w:r>
      <w:r w:rsidRPr="00BF4085">
        <w:rPr>
          <w:rFonts w:ascii="Helvetica" w:hAnsi="Helvetica"/>
          <w:b/>
          <w:sz w:val="20"/>
          <w:szCs w:val="20"/>
        </w:rPr>
        <w:t xml:space="preserve"> jenseits des eigentlichen Unternehmensnetzwerks</w:t>
      </w:r>
    </w:p>
    <w:p w14:paraId="7D4DBC82" w14:textId="77777777" w:rsidR="00364BA2" w:rsidRPr="008C04DA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53EADB20" w14:textId="788D9C5B" w:rsidR="00E37C30" w:rsidRPr="00BF70C8" w:rsidRDefault="004E1E67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Mit einem neuen </w:t>
      </w:r>
      <w:r w:rsidR="00E37C30">
        <w:rPr>
          <w:rFonts w:ascii="Helvetica" w:hAnsi="Helvetica"/>
          <w:b/>
          <w:color w:val="000000" w:themeColor="text1"/>
          <w:sz w:val="20"/>
          <w:szCs w:val="20"/>
        </w:rPr>
        <w:t>cloudbasierten Security-Service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nimmt der US-amerikanische IT-</w:t>
      </w:r>
      <w:r w:rsidRPr="00E7333B">
        <w:rPr>
          <w:rFonts w:ascii="Helvetica" w:hAnsi="Helvetica"/>
          <w:b/>
          <w:color w:val="000000" w:themeColor="text1"/>
          <w:sz w:val="20"/>
          <w:szCs w:val="20"/>
        </w:rPr>
        <w:t xml:space="preserve">Sicherheitsspezialist </w:t>
      </w:r>
      <w:hyperlink r:id="rId7" w:history="1">
        <w:proofErr w:type="spellStart"/>
        <w:r w:rsidRPr="00E7333B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WatchGuard</w:t>
        </w:r>
        <w:proofErr w:type="spellEnd"/>
        <w:r w:rsidRPr="00E7333B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 xml:space="preserve"> Technologies</w:t>
        </w:r>
      </w:hyperlink>
      <w:r w:rsidRPr="00E7333B">
        <w:rPr>
          <w:rFonts w:ascii="Helvetica" w:hAnsi="Helvetica"/>
          <w:b/>
          <w:color w:val="000000" w:themeColor="text1"/>
          <w:sz w:val="20"/>
          <w:szCs w:val="20"/>
        </w:rPr>
        <w:t xml:space="preserve"> den Schutz </w:t>
      </w:r>
      <w:r w:rsidR="00E37C30">
        <w:rPr>
          <w:rFonts w:ascii="Helvetica" w:hAnsi="Helvetica"/>
          <w:b/>
          <w:color w:val="000000" w:themeColor="text1"/>
          <w:sz w:val="20"/>
          <w:szCs w:val="20"/>
        </w:rPr>
        <w:t xml:space="preserve">mobiler Endgeräte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jetzt gezielt 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>ins Visier</w:t>
      </w:r>
      <w:r w:rsidR="00B7138A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: </w:t>
      </w:r>
      <w:hyperlink r:id="rId8" w:history="1">
        <w:proofErr w:type="spellStart"/>
        <w:r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D</w:t>
        </w:r>
        <w:r w:rsidR="00E37C30"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NSWatchGO</w:t>
        </w:r>
        <w:proofErr w:type="spellEnd"/>
      </w:hyperlink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7138A" w:rsidRPr="00BF70C8">
        <w:rPr>
          <w:rFonts w:ascii="Helvetica" w:hAnsi="Helvetica"/>
          <w:b/>
          <w:color w:val="000000" w:themeColor="text1"/>
          <w:sz w:val="20"/>
          <w:szCs w:val="20"/>
        </w:rPr>
        <w:t>versetzt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Unternehmen in die Lage, Phishing-Angriffe, ungewollte Verbindungen zu Command-</w:t>
      </w:r>
      <w:proofErr w:type="spellStart"/>
      <w:r w:rsidRPr="00BF70C8">
        <w:rPr>
          <w:rFonts w:ascii="Helvetica" w:hAnsi="Helvetica"/>
          <w:b/>
          <w:color w:val="000000" w:themeColor="text1"/>
          <w:sz w:val="20"/>
          <w:szCs w:val="20"/>
        </w:rPr>
        <w:t>and</w:t>
      </w:r>
      <w:proofErr w:type="spellEnd"/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-Control-Servern sowie Datendiebstahl automatisch zu erkennen und abzuwehren – </w:t>
      </w:r>
      <w:r w:rsidR="0027653C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selbst wenn 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sich das jeweilige Endgerät außerhalb des eigentlichen Firmennetzwerks befindet. </w:t>
      </w:r>
      <w:r w:rsidR="000F75C5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Der neue Dienst ist sowohl einzeln als auch im Rahmen von </w:t>
      </w:r>
      <w:hyperlink r:id="rId9" w:history="1">
        <w:proofErr w:type="spellStart"/>
        <w:r w:rsidR="000F75C5"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WatchGuard</w:t>
        </w:r>
        <w:proofErr w:type="spellEnd"/>
        <w:r w:rsidR="000F75C5"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="000F75C5"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Passport</w:t>
        </w:r>
        <w:proofErr w:type="spellEnd"/>
      </w:hyperlink>
      <w:r w:rsidR="000F75C5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– dem neuen Komplettpaket für Endgerätesicherheit von </w:t>
      </w:r>
      <w:proofErr w:type="spellStart"/>
      <w:r w:rsidR="000F75C5" w:rsidRPr="00BF70C8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0F75C5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– erhältlich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und setzt auf DNS-Ebene an. Dank spezifische</w:t>
      </w:r>
      <w:r w:rsidR="0087099E" w:rsidRPr="00BF70C8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Content Filter spielt es somit keine Rolle mehr, wo auf der Welt sich der einzelne Mitarbeiter gerade </w:t>
      </w:r>
      <w:r w:rsidR="00A82CBB" w:rsidRPr="00BF70C8">
        <w:rPr>
          <w:rFonts w:ascii="Helvetica" w:hAnsi="Helvetica"/>
          <w:b/>
          <w:color w:val="000000" w:themeColor="text1"/>
          <w:sz w:val="20"/>
          <w:szCs w:val="20"/>
        </w:rPr>
        <w:t>aufhält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. Neben der Ad-hoc-Abwehr von Angriffen zeichnet sich </w:t>
      </w:r>
      <w:proofErr w:type="spellStart"/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>DNSWatchGO</w:t>
      </w:r>
      <w:proofErr w:type="spellEnd"/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aber auch durch </w:t>
      </w:r>
      <w:r w:rsidR="00E37C30" w:rsidRPr="00BF70C8">
        <w:rPr>
          <w:rFonts w:ascii="Helvetica" w:hAnsi="Helvetica"/>
          <w:b/>
          <w:color w:val="000000" w:themeColor="text1"/>
          <w:sz w:val="20"/>
          <w:szCs w:val="20"/>
        </w:rPr>
        <w:t>automatisierte Funktionen zur Sensibilisierung und Schulung der Endbenutzer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aus. </w:t>
      </w:r>
      <w:r w:rsidR="005213E8" w:rsidRPr="00BF70C8">
        <w:rPr>
          <w:rFonts w:ascii="Helvetica" w:hAnsi="Helvetica"/>
          <w:b/>
          <w:color w:val="000000" w:themeColor="text1"/>
          <w:sz w:val="20"/>
          <w:szCs w:val="20"/>
        </w:rPr>
        <w:t>Durch die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Anzeige von Sicherheitswarnungen </w:t>
      </w:r>
      <w:r w:rsidR="004C3C2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auf dem jeweiligen Gerät eines Mitarbeiters 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unmittelbar nach </w:t>
      </w:r>
      <w:r w:rsidR="005213E8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einem Angriff </w:t>
      </w:r>
      <w:r w:rsidR="004C3C2F" w:rsidRPr="00BF70C8">
        <w:rPr>
          <w:rFonts w:ascii="Helvetica" w:hAnsi="Helvetica"/>
          <w:b/>
          <w:color w:val="000000" w:themeColor="text1"/>
          <w:sz w:val="20"/>
          <w:szCs w:val="20"/>
        </w:rPr>
        <w:t>lässt sich die Wahrnehmung deutlich schärfen</w:t>
      </w:r>
      <w:r w:rsidR="00B529D4" w:rsidRPr="00BF70C8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650883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Auf diese Weise kann </w:t>
      </w:r>
      <w:r w:rsidR="00174130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einschlägigen </w:t>
      </w:r>
      <w:r w:rsidR="00E37C30" w:rsidRPr="00BF70C8">
        <w:rPr>
          <w:rFonts w:ascii="Helvetica" w:hAnsi="Helvetica"/>
          <w:b/>
          <w:color w:val="000000" w:themeColor="text1"/>
          <w:sz w:val="20"/>
          <w:szCs w:val="20"/>
        </w:rPr>
        <w:t>Sicherheitsvorfälle</w:t>
      </w:r>
      <w:r w:rsidR="00650883" w:rsidRPr="00BF70C8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E37C30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728D8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künftig </w:t>
      </w:r>
      <w:r w:rsidR="00650883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zusätzlich </w:t>
      </w:r>
      <w:r w:rsidR="00D728D8" w:rsidRPr="00BF70C8">
        <w:rPr>
          <w:rFonts w:ascii="Helvetica" w:hAnsi="Helvetica"/>
          <w:b/>
          <w:color w:val="000000" w:themeColor="text1"/>
          <w:sz w:val="20"/>
          <w:szCs w:val="20"/>
        </w:rPr>
        <w:t>vor</w:t>
      </w:r>
      <w:r w:rsidR="00650883" w:rsidRPr="00BF70C8">
        <w:rPr>
          <w:rFonts w:ascii="Helvetica" w:hAnsi="Helvetica"/>
          <w:b/>
          <w:color w:val="000000" w:themeColor="text1"/>
          <w:sz w:val="20"/>
          <w:szCs w:val="20"/>
        </w:rPr>
        <w:t>gebeugt werden</w:t>
      </w:r>
      <w:r w:rsidR="0050123A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. Zudem besticht die jüngste Portfolioerweiterung von </w:t>
      </w:r>
      <w:proofErr w:type="spellStart"/>
      <w:r w:rsidR="0050123A" w:rsidRPr="00BF70C8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BF741E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durch einfache Implementierung und Administration sowie ein ausgezeichnetes Preis-Leistungs-Verhältnis. </w:t>
      </w:r>
    </w:p>
    <w:p w14:paraId="5FC5E46A" w14:textId="0F2EA4BB" w:rsidR="00E37C30" w:rsidRPr="00BF70C8" w:rsidRDefault="00E37C30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2193295C" w14:textId="43A2F460" w:rsidR="00283266" w:rsidRDefault="00833B8E" w:rsidP="00833B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BF70C8">
        <w:rPr>
          <w:rFonts w:ascii="Helvetica" w:hAnsi="Helvetica"/>
          <w:bCs/>
          <w:color w:val="000000" w:themeColor="text1"/>
          <w:sz w:val="20"/>
          <w:szCs w:val="20"/>
        </w:rPr>
        <w:t xml:space="preserve">Laut aktueller Studie von </w:t>
      </w:r>
      <w:hyperlink r:id="rId10" w:history="1">
        <w:r w:rsidRPr="00BF70C8">
          <w:rPr>
            <w:rStyle w:val="Hyperlink"/>
            <w:rFonts w:ascii="Helvetica" w:hAnsi="Helvetica"/>
            <w:bCs/>
            <w:color w:val="000000" w:themeColor="text1"/>
            <w:sz w:val="20"/>
            <w:szCs w:val="20"/>
            <w:u w:val="none"/>
          </w:rPr>
          <w:t>CITE Research</w:t>
        </w:r>
      </w:hyperlink>
      <w:r w:rsidRPr="00BF70C8">
        <w:rPr>
          <w:rFonts w:ascii="Helvetica" w:hAnsi="Helvetica"/>
          <w:bCs/>
          <w:color w:val="000000" w:themeColor="text1"/>
          <w:sz w:val="20"/>
          <w:szCs w:val="20"/>
        </w:rPr>
        <w:t xml:space="preserve"> unter IT-Administratoren und Managern spielt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Mobilität im Arbeitsalltag eine immer entscheidendere Rolle. 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 xml:space="preserve">Von den befragten Unternehmen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erlauben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92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Prozent ihren Angestellten das Arbeiten außerhalb des Büros. 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>Dieser Trend hat jedoch auch maßgeblich Einfluss auf die Sicherheit von Unternehmensdaten und -netzwerken. O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bwohl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90 Prozent der Befragten </w:t>
      </w:r>
      <w:r>
        <w:rPr>
          <w:rFonts w:ascii="Helvetica" w:hAnsi="Helvetica"/>
          <w:bCs/>
          <w:color w:val="000000" w:themeColor="text1"/>
          <w:sz w:val="20"/>
          <w:szCs w:val="20"/>
        </w:rPr>
        <w:t>an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>gaben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proofErr w:type="spellStart"/>
      <w:r w:rsidRPr="00833B8E"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 w:rsidRPr="00833B8E">
        <w:rPr>
          <w:rFonts w:ascii="Helvetica" w:hAnsi="Helvetica"/>
          <w:bCs/>
          <w:color w:val="000000" w:themeColor="text1"/>
          <w:sz w:val="20"/>
          <w:szCs w:val="20"/>
        </w:rPr>
        <w:t>-Security-Lösungen im Einsatz zu haben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und sich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85 Prozent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sicher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>waren, die Aktivitäten von Mitarbeitern außerhalb des Netzwerks überwachen zu können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bestätigten fast zwei Drittel der Teilnehmer, dass ein mobiler Mitarbeiter ihres Unternehmens schon einmal Opfer eines Cyberangriffs geworden ist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13A43C5F" w14:textId="1EACC56E" w:rsidR="00B93703" w:rsidRDefault="00B93703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51EDA49" w14:textId="6B9D5848" w:rsidR="00B93703" w:rsidRDefault="00662D7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6D764A"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Da Mitarbeiter immer mobiler werden,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sollten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Unternehmen in der Lage sein, sich vor den zunehmenden Angriffen zu schützen, die außerhalb ihres Kernnetzes stattfinden. </w:t>
      </w:r>
      <w:r w:rsidR="00750C33">
        <w:rPr>
          <w:rFonts w:ascii="Helvetica" w:hAnsi="Helvetica"/>
          <w:bCs/>
          <w:color w:val="000000" w:themeColor="text1"/>
          <w:sz w:val="20"/>
          <w:szCs w:val="20"/>
        </w:rPr>
        <w:t>Es gilt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, den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entsprechenden 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>Datenverkehr zu überwachen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Zugriffe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auf bösartige und unerwünschte Inhalte zu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verhindern. Auch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End</w:t>
      </w:r>
      <w:r w:rsidR="00A030C1">
        <w:rPr>
          <w:rFonts w:ascii="Helvetica" w:hAnsi="Helvetica"/>
          <w:bCs/>
          <w:color w:val="000000" w:themeColor="text1"/>
          <w:sz w:val="20"/>
          <w:szCs w:val="20"/>
        </w:rPr>
        <w:t>-U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ser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>, die kein VPN nutzen, müssen geschützt werden</w:t>
      </w:r>
      <w:r w:rsidR="006D764A">
        <w:rPr>
          <w:rFonts w:ascii="Helvetica" w:hAnsi="Helvetica"/>
          <w:bCs/>
          <w:color w:val="000000" w:themeColor="text1"/>
          <w:sz w:val="20"/>
          <w:szCs w:val="20"/>
        </w:rPr>
        <w:t>“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so 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Andrew Young,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>Leiter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des Produktmanagements bei </w:t>
      </w:r>
      <w:proofErr w:type="spellStart"/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„Genau dafür haben wir </w:t>
      </w:r>
      <w:proofErr w:type="spellStart"/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>DNSWatchGO</w:t>
      </w:r>
      <w:proofErr w:type="spellEnd"/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entwickelt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>. Mit dem neuen Service l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ässt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 sich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 xml:space="preserve">unser bewährtes 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>mehrschichtige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Sicherheitskonzept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auch auf Endgeräte jenseits de</w:t>
      </w:r>
      <w:r w:rsidR="00EC73F4">
        <w:rPr>
          <w:rFonts w:ascii="Helvetica" w:hAnsi="Helvetica"/>
          <w:bCs/>
          <w:color w:val="000000" w:themeColor="text1"/>
          <w:sz w:val="20"/>
          <w:szCs w:val="20"/>
        </w:rPr>
        <w:t xml:space="preserve">s 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Netzwerkperimeters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 xml:space="preserve">übertragen. </w:t>
      </w:r>
      <w:r w:rsidR="009E5D09">
        <w:rPr>
          <w:rFonts w:ascii="Helvetica" w:hAnsi="Helvetica"/>
          <w:bCs/>
          <w:color w:val="000000" w:themeColor="text1"/>
          <w:sz w:val="20"/>
          <w:szCs w:val="20"/>
        </w:rPr>
        <w:t>Weiteren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 xml:space="preserve"> Mehrwert bringen integrierte Informations- und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Schulung</w:t>
      </w:r>
      <w:r w:rsidR="00EC73F4">
        <w:rPr>
          <w:rFonts w:ascii="Helvetica" w:hAnsi="Helvetica"/>
          <w:bCs/>
          <w:color w:val="000000" w:themeColor="text1"/>
          <w:sz w:val="20"/>
          <w:szCs w:val="20"/>
        </w:rPr>
        <w:t>sfunktionalitäten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, mit denen Mitarbeiter direkt auf Gefahren und Gegenmaßnahmen aufmerksam gemacht werden</w:t>
      </w:r>
      <w:r w:rsidR="00EC73F4">
        <w:rPr>
          <w:rFonts w:ascii="Helvetica" w:hAnsi="Helvetica"/>
          <w:bCs/>
          <w:color w:val="000000" w:themeColor="text1"/>
          <w:sz w:val="20"/>
          <w:szCs w:val="20"/>
        </w:rPr>
        <w:t xml:space="preserve"> können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.“</w:t>
      </w:r>
    </w:p>
    <w:p w14:paraId="54E62554" w14:textId="77777777" w:rsidR="0012607F" w:rsidRPr="0012607F" w:rsidRDefault="0012607F" w:rsidP="0012607F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A88B7C9" w14:textId="5A993556" w:rsidR="0012607F" w:rsidRDefault="0012607F" w:rsidP="0012607F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proofErr w:type="spellStart"/>
      <w:r w:rsidRPr="0012607F">
        <w:rPr>
          <w:rFonts w:ascii="Helvetica" w:hAnsi="Helvetica"/>
          <w:bCs/>
          <w:color w:val="000000" w:themeColor="text1"/>
          <w:sz w:val="20"/>
          <w:szCs w:val="20"/>
        </w:rPr>
        <w:t>DSNWatchG</w:t>
      </w:r>
      <w:r>
        <w:rPr>
          <w:rFonts w:ascii="Helvetica" w:hAnsi="Helvetica"/>
          <w:bCs/>
          <w:color w:val="000000" w:themeColor="text1"/>
          <w:sz w:val="20"/>
          <w:szCs w:val="20"/>
        </w:rPr>
        <w:t>O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vereinfacht vor allem mittelständischen 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>Unternehmen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 xml:space="preserve"> d</w:t>
      </w:r>
      <w:r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 xml:space="preserve"> IT-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Dienstleistern, die diese im Hinblick auf Endgerätesicherheit unterstützen wollen, den Alltag. Die </w:t>
      </w:r>
      <w:r w:rsidR="0063631F">
        <w:rPr>
          <w:rFonts w:ascii="Helvetica" w:hAnsi="Helvetica"/>
          <w:bCs/>
          <w:color w:val="000000" w:themeColor="text1"/>
          <w:sz w:val="20"/>
          <w:szCs w:val="20"/>
        </w:rPr>
        <w:t xml:space="preserve">wichtigsten </w:t>
      </w:r>
      <w:r>
        <w:rPr>
          <w:rFonts w:ascii="Helvetica" w:hAnsi="Helvetica"/>
          <w:bCs/>
          <w:color w:val="000000" w:themeColor="text1"/>
          <w:sz w:val="20"/>
          <w:szCs w:val="20"/>
        </w:rPr>
        <w:t>Vorteile im Überblick: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753CE9A5" w14:textId="3CDC4BD0" w:rsidR="00EC73F4" w:rsidRDefault="00EC73F4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867864C" w14:textId="40D4722E" w:rsidR="008D00CE" w:rsidRDefault="00E96C9D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96C9D">
        <w:rPr>
          <w:rFonts w:ascii="Helvetica" w:hAnsi="Helvetica"/>
          <w:b/>
          <w:color w:val="000000" w:themeColor="text1"/>
          <w:sz w:val="20"/>
          <w:szCs w:val="20"/>
        </w:rPr>
        <w:t>Sicherheit für unterwegs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 Die Lösung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sorgt für Schutz auf DNS-Ebene und ergänzt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die leistungsstarken Content Filter des bestehenden </w:t>
      </w:r>
      <w:proofErr w:type="spellStart"/>
      <w:r w:rsidR="00BA1243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-Diensts </w:t>
      </w:r>
      <w:proofErr w:type="spellStart"/>
      <w:r w:rsidR="00BA1243">
        <w:rPr>
          <w:rFonts w:ascii="Helvetica" w:hAnsi="Helvetica"/>
          <w:bCs/>
          <w:color w:val="000000" w:themeColor="text1"/>
          <w:sz w:val="20"/>
          <w:szCs w:val="20"/>
        </w:rPr>
        <w:t>DNSWatch</w:t>
      </w:r>
      <w:proofErr w:type="spellEnd"/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. Die von mobilen Mitarbeitern außerhalb des Unternehmensnetzwerks ausgehenden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DNS-Anfragen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werden überwacht und mit einer konsolidierten Liste bekannter Malware-Domains abgeglichen.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Alle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Verbindungsversuche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mit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potenziell gefährlichen Zielen 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>lassen sich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 blockier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>Benutzer um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>leiten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. Gleichzeitig werden Übertragungsinhalte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zur </w:t>
      </w:r>
      <w:r w:rsidR="009E5D09">
        <w:rPr>
          <w:rFonts w:ascii="Helvetica" w:hAnsi="Helvetica"/>
          <w:bCs/>
          <w:color w:val="000000" w:themeColor="text1"/>
          <w:sz w:val="20"/>
          <w:szCs w:val="20"/>
        </w:rPr>
        <w:t xml:space="preserve">vertiefenden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Untersuchung und Entfernung von Malware an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proofErr w:type="spellStart"/>
      <w:r w:rsidRPr="00E96C9D">
        <w:rPr>
          <w:rFonts w:ascii="Helvetica" w:hAnsi="Helvetica"/>
          <w:bCs/>
          <w:color w:val="000000" w:themeColor="text1"/>
          <w:sz w:val="20"/>
          <w:szCs w:val="20"/>
        </w:rPr>
        <w:t>DNSWatch</w:t>
      </w:r>
      <w:proofErr w:type="spellEnd"/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-Server weitergeleitet.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Auf diese Weise 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 xml:space="preserve">sind </w:t>
      </w:r>
      <w:r w:rsidR="00BA1243" w:rsidRPr="00BA1243">
        <w:rPr>
          <w:rFonts w:ascii="Helvetica" w:hAnsi="Helvetica"/>
          <w:bCs/>
          <w:color w:val="000000" w:themeColor="text1"/>
          <w:sz w:val="20"/>
          <w:szCs w:val="20"/>
        </w:rPr>
        <w:t>Phishing-Angriffe, ungewollte Verbindungen zu Command-</w:t>
      </w:r>
      <w:proofErr w:type="spellStart"/>
      <w:r w:rsidR="00BA1243" w:rsidRPr="00BA1243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="00BA1243" w:rsidRPr="00BA1243">
        <w:rPr>
          <w:rFonts w:ascii="Helvetica" w:hAnsi="Helvetica"/>
          <w:bCs/>
          <w:color w:val="000000" w:themeColor="text1"/>
          <w:sz w:val="20"/>
          <w:szCs w:val="20"/>
        </w:rPr>
        <w:t>-Control-Servern sowie Datendiebstahl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 xml:space="preserve"> gezielt </w:t>
      </w:r>
      <w:r w:rsidR="00A030C1">
        <w:rPr>
          <w:rFonts w:ascii="Helvetica" w:hAnsi="Helvetica"/>
          <w:bCs/>
          <w:color w:val="000000" w:themeColor="text1"/>
          <w:sz w:val="20"/>
          <w:szCs w:val="20"/>
        </w:rPr>
        <w:t>zu ver</w:t>
      </w:r>
      <w:r w:rsidR="005553E7">
        <w:rPr>
          <w:rFonts w:ascii="Helvetica" w:hAnsi="Helvetica"/>
          <w:bCs/>
          <w:color w:val="000000" w:themeColor="text1"/>
          <w:sz w:val="20"/>
          <w:szCs w:val="20"/>
        </w:rPr>
        <w:t>hinder</w:t>
      </w:r>
      <w:r w:rsidR="00A030C1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642E73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5872C4">
        <w:rPr>
          <w:rFonts w:ascii="Helvetica" w:hAnsi="Helvetica"/>
          <w:bCs/>
          <w:color w:val="000000" w:themeColor="text1"/>
          <w:sz w:val="20"/>
          <w:szCs w:val="20"/>
        </w:rPr>
        <w:t xml:space="preserve"> Administratoren können dabei ort</w:t>
      </w:r>
      <w:r w:rsidR="009E5D09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5872C4">
        <w:rPr>
          <w:rFonts w:ascii="Helvetica" w:hAnsi="Helvetica"/>
          <w:bCs/>
          <w:color w:val="000000" w:themeColor="text1"/>
          <w:sz w:val="20"/>
          <w:szCs w:val="20"/>
        </w:rPr>
        <w:t>unabhängig</w:t>
      </w:r>
      <w:r w:rsidR="008D00CE">
        <w:rPr>
          <w:rFonts w:ascii="Helvetica" w:hAnsi="Helvetica"/>
          <w:bCs/>
          <w:color w:val="000000" w:themeColor="text1"/>
          <w:sz w:val="20"/>
          <w:szCs w:val="20"/>
        </w:rPr>
        <w:t xml:space="preserve"> weitere unerwünschte Verbindungen auf Basis einfach zu erstellender und anzupassender Regelwerke unterb</w:t>
      </w:r>
      <w:r w:rsidR="005872C4">
        <w:rPr>
          <w:rFonts w:ascii="Helvetica" w:hAnsi="Helvetica"/>
          <w:bCs/>
          <w:color w:val="000000" w:themeColor="text1"/>
          <w:sz w:val="20"/>
          <w:szCs w:val="20"/>
        </w:rPr>
        <w:t xml:space="preserve">inden. Dies spielt auch </w:t>
      </w:r>
      <w:proofErr w:type="spellStart"/>
      <w:r w:rsidR="00EA166F"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 w:rsidR="00EA166F">
        <w:rPr>
          <w:rFonts w:ascii="Helvetica" w:hAnsi="Helvetica"/>
          <w:bCs/>
          <w:color w:val="000000" w:themeColor="text1"/>
          <w:sz w:val="20"/>
          <w:szCs w:val="20"/>
        </w:rPr>
        <w:t xml:space="preserve"> Service Providern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 xml:space="preserve"> (MSP)</w:t>
      </w:r>
      <w:r w:rsidR="00EA166F">
        <w:rPr>
          <w:rFonts w:ascii="Helvetica" w:hAnsi="Helvetica"/>
          <w:bCs/>
          <w:color w:val="000000" w:themeColor="text1"/>
          <w:sz w:val="20"/>
          <w:szCs w:val="20"/>
        </w:rPr>
        <w:t xml:space="preserve"> in die Karten, die ihren Kunden auf diese Weise zusätzliche Security</w:t>
      </w:r>
      <w:r w:rsidR="005249C3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EA166F">
        <w:rPr>
          <w:rFonts w:ascii="Helvetica" w:hAnsi="Helvetica"/>
          <w:bCs/>
          <w:color w:val="000000" w:themeColor="text1"/>
          <w:sz w:val="20"/>
          <w:szCs w:val="20"/>
        </w:rPr>
        <w:t xml:space="preserve">Services im Rahmen der Endgerätesicherheit anbieten können. </w:t>
      </w:r>
    </w:p>
    <w:p w14:paraId="30916D8B" w14:textId="56244922" w:rsidR="00DC4E5D" w:rsidRDefault="00DC4E5D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9167CCF" w14:textId="3FA28C03" w:rsidR="00DC4E5D" w:rsidRDefault="00385F75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85F75">
        <w:rPr>
          <w:rFonts w:ascii="Helvetica" w:hAnsi="Helvetica"/>
          <w:b/>
          <w:color w:val="000000" w:themeColor="text1"/>
          <w:sz w:val="20"/>
          <w:szCs w:val="20"/>
        </w:rPr>
        <w:t>Sofortige Information und Aufklärung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–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385F75">
        <w:rPr>
          <w:rFonts w:ascii="Helvetica" w:hAnsi="Helvetica"/>
          <w:bCs/>
          <w:color w:val="000000" w:themeColor="text1"/>
          <w:sz w:val="20"/>
          <w:szCs w:val="20"/>
        </w:rPr>
        <w:t>DNSWatchGO</w:t>
      </w:r>
      <w:proofErr w:type="spellEnd"/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ist der erste Sicherheitsdienst, der Endbenutzern automatisierten Phishing-Schutz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gleichzeitig einschlägige </w:t>
      </w:r>
      <w:r w:rsidR="0021258B">
        <w:rPr>
          <w:rFonts w:ascii="Helvetica" w:hAnsi="Helvetica"/>
          <w:bCs/>
          <w:color w:val="000000" w:themeColor="text1"/>
          <w:sz w:val="20"/>
          <w:szCs w:val="20"/>
        </w:rPr>
        <w:t>Echtzeit-</w:t>
      </w:r>
      <w:r w:rsidR="00291074">
        <w:rPr>
          <w:rFonts w:ascii="Helvetica" w:hAnsi="Helvetica"/>
          <w:bCs/>
          <w:color w:val="000000" w:themeColor="text1"/>
          <w:sz w:val="20"/>
          <w:szCs w:val="20"/>
        </w:rPr>
        <w:t>Informationen zur Gefahr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423FF">
        <w:rPr>
          <w:rFonts w:ascii="Helvetica" w:hAnsi="Helvetica"/>
          <w:bCs/>
          <w:color w:val="000000" w:themeColor="text1"/>
          <w:sz w:val="20"/>
          <w:szCs w:val="20"/>
        </w:rPr>
        <w:t>liefert</w:t>
      </w:r>
      <w:r w:rsidR="00291074">
        <w:rPr>
          <w:rFonts w:ascii="Helvetica" w:hAnsi="Helvetica"/>
          <w:bCs/>
          <w:color w:val="000000" w:themeColor="text1"/>
          <w:sz w:val="20"/>
          <w:szCs w:val="20"/>
        </w:rPr>
        <w:t>, was das Sicherheitsverständnis im gesamten Unternehmen erhöhen kann.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Wenn Mitarbeiter auf eine </w:t>
      </w:r>
      <w:r w:rsidR="00267A0A">
        <w:rPr>
          <w:rFonts w:ascii="Helvetica" w:hAnsi="Helvetica"/>
          <w:bCs/>
          <w:color w:val="000000" w:themeColor="text1"/>
          <w:sz w:val="20"/>
          <w:szCs w:val="20"/>
        </w:rPr>
        <w:t xml:space="preserve">unter Phishing-Verdacht stehende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E-Mail oder einen </w:t>
      </w:r>
      <w:r w:rsidR="00267A0A">
        <w:rPr>
          <w:rFonts w:ascii="Helvetica" w:hAnsi="Helvetica"/>
          <w:bCs/>
          <w:color w:val="000000" w:themeColor="text1"/>
          <w:sz w:val="20"/>
          <w:szCs w:val="20"/>
        </w:rPr>
        <w:t xml:space="preserve">entsprechenden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Link klicken, werden sie sofort zu </w:t>
      </w:r>
      <w:r w:rsidR="00041DA7">
        <w:rPr>
          <w:rFonts w:ascii="Helvetica" w:hAnsi="Helvetica"/>
          <w:bCs/>
          <w:color w:val="000000" w:themeColor="text1"/>
          <w:sz w:val="20"/>
          <w:szCs w:val="20"/>
        </w:rPr>
        <w:t>Inhalten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weitergeleitet, die sie über Phishing-Angriffe und bewährte Verfahren zur Prävention informieren. Darüber hinaus bietet die Lösung 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>eindeutige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Analysen 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>zu jedem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blockierten Angriff, 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IT-Administratoren </w:t>
      </w:r>
      <w:r w:rsidR="006D764A">
        <w:rPr>
          <w:rFonts w:ascii="Helvetica" w:hAnsi="Helvetica"/>
          <w:bCs/>
          <w:color w:val="000000" w:themeColor="text1"/>
          <w:sz w:val="20"/>
          <w:szCs w:val="20"/>
        </w:rPr>
        <w:t>sowie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>MSP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 xml:space="preserve"> Kontextinformationen und eine Entscheidungsgrundlage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für </w:t>
      </w:r>
      <w:r w:rsidR="00654A6A">
        <w:rPr>
          <w:rFonts w:ascii="Helvetica" w:hAnsi="Helvetica"/>
          <w:bCs/>
          <w:color w:val="000000" w:themeColor="text1"/>
          <w:sz w:val="20"/>
          <w:szCs w:val="20"/>
        </w:rPr>
        <w:t xml:space="preserve">eventuelle </w:t>
      </w:r>
      <w:r w:rsidR="009E5D09">
        <w:rPr>
          <w:rFonts w:ascii="Helvetica" w:hAnsi="Helvetica"/>
          <w:bCs/>
          <w:color w:val="000000" w:themeColor="text1"/>
          <w:sz w:val="20"/>
          <w:szCs w:val="20"/>
        </w:rPr>
        <w:t>ergänzende</w:t>
      </w:r>
      <w:r w:rsidR="00654A6A">
        <w:rPr>
          <w:rFonts w:ascii="Helvetica" w:hAnsi="Helvetica"/>
          <w:bCs/>
          <w:color w:val="000000" w:themeColor="text1"/>
          <w:sz w:val="20"/>
          <w:szCs w:val="20"/>
        </w:rPr>
        <w:t xml:space="preserve"> Maßnahmen im Zuge der Sicherheit liefern. </w:t>
      </w:r>
    </w:p>
    <w:p w14:paraId="2182485C" w14:textId="776F082B" w:rsidR="00E37C30" w:rsidRPr="00F37D6C" w:rsidRDefault="00E37C30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79995806" w14:textId="59E23597" w:rsidR="00F37D6C" w:rsidRDefault="00F37D6C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37D6C">
        <w:rPr>
          <w:rFonts w:ascii="Helvetica" w:hAnsi="Helvetica"/>
          <w:b/>
          <w:color w:val="000000" w:themeColor="text1"/>
          <w:sz w:val="20"/>
          <w:szCs w:val="20"/>
        </w:rPr>
        <w:t>Transparenz jenseits der Unternehmenspforte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F37D6C">
        <w:rPr>
          <w:rFonts w:ascii="Helvetica" w:hAnsi="Helvetica"/>
          <w:bCs/>
          <w:color w:val="000000" w:themeColor="text1"/>
          <w:sz w:val="20"/>
          <w:szCs w:val="20"/>
        </w:rPr>
        <w:t>DNSWatchGO</w:t>
      </w:r>
      <w:proofErr w:type="spellEnd"/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holt die Endgeräte mobiler Mitarbeiter vollständig aus dem toten Winkel. Sowohl die Endpunkte innerhalb als auch außerhalb des Unternehmensnetzwerk</w:t>
      </w:r>
      <w:r w:rsidR="006D764A">
        <w:rPr>
          <w:rFonts w:ascii="Helvetica" w:hAnsi="Helvetica"/>
          <w:bCs/>
          <w:color w:val="000000" w:themeColor="text1"/>
          <w:sz w:val="20"/>
          <w:szCs w:val="20"/>
        </w:rPr>
        <w:t>s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lassen sich darstellen und bestmöglich absichern. </w:t>
      </w:r>
      <w:r w:rsidR="00727326">
        <w:rPr>
          <w:rFonts w:ascii="Helvetica" w:hAnsi="Helvetica"/>
          <w:bCs/>
          <w:color w:val="000000" w:themeColor="text1"/>
          <w:sz w:val="20"/>
          <w:szCs w:val="20"/>
        </w:rPr>
        <w:t>Administratoren oder IT-Dienstleister erhalten zahlreiche Informationen, beispielsweise zum genauen Standort der Endgeräte, zur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Art der blockierten Angriffe</w:t>
      </w:r>
      <w:r w:rsidR="00727326">
        <w:rPr>
          <w:rFonts w:ascii="Helvetica" w:hAnsi="Helvetica"/>
          <w:bCs/>
          <w:color w:val="000000" w:themeColor="text1"/>
          <w:sz w:val="20"/>
          <w:szCs w:val="20"/>
        </w:rPr>
        <w:t xml:space="preserve"> sowie deren Endziel – 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ohne dass Protokolldaten untersucht werden müssen. Diese Transparenz ist besonders wertvoll für </w:t>
      </w:r>
      <w:r w:rsidR="006B7C98">
        <w:rPr>
          <w:rFonts w:ascii="Helvetica" w:hAnsi="Helvetica"/>
          <w:bCs/>
          <w:color w:val="000000" w:themeColor="text1"/>
          <w:sz w:val="20"/>
          <w:szCs w:val="20"/>
        </w:rPr>
        <w:t xml:space="preserve">MSP. Sie können ihre Leistung </w:t>
      </w:r>
      <w:r w:rsidR="00E94078">
        <w:rPr>
          <w:rFonts w:ascii="Helvetica" w:hAnsi="Helvetica"/>
          <w:bCs/>
          <w:color w:val="000000" w:themeColor="text1"/>
          <w:sz w:val="20"/>
          <w:szCs w:val="20"/>
        </w:rPr>
        <w:t xml:space="preserve">gegenüber Kunden nun jederzeit </w:t>
      </w:r>
      <w:r w:rsidR="006B7C98">
        <w:rPr>
          <w:rFonts w:ascii="Helvetica" w:hAnsi="Helvetica"/>
          <w:bCs/>
          <w:color w:val="000000" w:themeColor="text1"/>
          <w:sz w:val="20"/>
          <w:szCs w:val="20"/>
        </w:rPr>
        <w:t xml:space="preserve">anhand 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>detaillierte</w:t>
      </w:r>
      <w:r w:rsidR="006B7C98">
        <w:rPr>
          <w:rFonts w:ascii="Helvetica" w:hAnsi="Helvetica"/>
          <w:bCs/>
          <w:color w:val="000000" w:themeColor="text1"/>
          <w:sz w:val="20"/>
          <w:szCs w:val="20"/>
        </w:rPr>
        <w:t>r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Berichte </w:t>
      </w:r>
      <w:r w:rsidR="006B7C98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>Sicherheitsvorfälle</w:t>
      </w:r>
      <w:r w:rsidR="00DB14C1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>, Angreifer</w:t>
      </w:r>
      <w:r w:rsidR="00DB14C1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und deren Methoden </w:t>
      </w:r>
      <w:r w:rsidR="00DB14C1">
        <w:rPr>
          <w:rFonts w:ascii="Helvetica" w:hAnsi="Helvetica"/>
          <w:bCs/>
          <w:color w:val="000000" w:themeColor="text1"/>
          <w:sz w:val="20"/>
          <w:szCs w:val="20"/>
        </w:rPr>
        <w:t xml:space="preserve">belegen und </w:t>
      </w:r>
      <w:r w:rsidR="00E94078">
        <w:rPr>
          <w:rFonts w:ascii="Helvetica" w:hAnsi="Helvetica"/>
          <w:bCs/>
          <w:color w:val="000000" w:themeColor="text1"/>
          <w:sz w:val="20"/>
          <w:szCs w:val="20"/>
        </w:rPr>
        <w:t>aufwerten.</w:t>
      </w:r>
    </w:p>
    <w:p w14:paraId="5C92308B" w14:textId="3ACBFA17" w:rsidR="00E94078" w:rsidRDefault="00E94078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289D91A" w14:textId="448FEBCA" w:rsidR="00E94078" w:rsidRPr="00F37D6C" w:rsidRDefault="00702D1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702D12">
        <w:rPr>
          <w:rFonts w:ascii="Helvetica" w:hAnsi="Helvetica"/>
          <w:b/>
          <w:color w:val="000000" w:themeColor="text1"/>
          <w:sz w:val="20"/>
          <w:szCs w:val="20"/>
        </w:rPr>
        <w:t>Cloudbasiertes Management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702D12">
        <w:rPr>
          <w:rFonts w:ascii="Helvetica" w:hAnsi="Helvetica"/>
          <w:bCs/>
          <w:color w:val="000000" w:themeColor="text1"/>
          <w:sz w:val="20"/>
          <w:szCs w:val="20"/>
        </w:rPr>
        <w:t>DNSWatchGO</w:t>
      </w:r>
      <w:proofErr w:type="spellEnd"/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ist zu hundert Prozent cloudbasiert, wodurch Unternehmen wie 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IT-Lösungsanbieter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 hinsichtlich Bereitstellung und Verwaltung Zeit und Geld sparen. Weder Hardware noch 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manuelle Software-Updates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sind erforderlich. Für alle Endgeräte – innerhalb und außerhalb des Netzwerks – lassen sich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Sicherheitsregeln über eine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zentrale Schnittstelle verwalte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und anpass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Dies birgt insbesondere für 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MSP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 große Umsatzpotenziale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 da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>Neukunden innerhalb kürzester Zeit aufgeschaltet werden können. Die Wertschöpfung ist nicht erst von spezifischer Hardware oder Bereitstellungsaktivitäten vor Ort abhängig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08E7DC21" w14:textId="77777777" w:rsidR="00F5054A" w:rsidRDefault="00F5054A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822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222"/>
      </w:tblGrid>
      <w:tr w:rsidR="007769C0" w14:paraId="24D8EB4C" w14:textId="77777777" w:rsidTr="00D17158">
        <w:trPr>
          <w:trHeight w:val="1843"/>
        </w:trPr>
        <w:tc>
          <w:tcPr>
            <w:tcW w:w="8222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0F59BDE" w:rsidR="007769C0" w:rsidRDefault="00D17158" w:rsidP="00D55681">
            <w:pPr>
              <w:pStyle w:val="Kopfzeile"/>
              <w:ind w:right="-141"/>
            </w:pPr>
            <w:r>
              <w:rPr>
                <w:noProof/>
                <w:sz w:val="22"/>
              </w:rPr>
              <w:drawing>
                <wp:inline distT="0" distB="0" distL="0" distR="0" wp14:anchorId="19698937" wp14:editId="7ACF706E">
                  <wp:extent cx="1758831" cy="923454"/>
                  <wp:effectExtent l="0" t="0" r="0" b="381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ssport_Social_Share.jp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837" cy="935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AE75AA" w14:paraId="725715A4" w14:textId="77777777" w:rsidTr="00D17158">
        <w:trPr>
          <w:trHeight w:val="544"/>
        </w:trPr>
        <w:tc>
          <w:tcPr>
            <w:tcW w:w="8222" w:type="dxa"/>
          </w:tcPr>
          <w:p w14:paraId="46F642A7" w14:textId="60557FF2" w:rsidR="00D17158" w:rsidRPr="00E11222" w:rsidRDefault="00D17158" w:rsidP="00D1715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proofErr w:type="spellStart"/>
            <w:r w:rsidRPr="00E11222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 w:rsidRPr="00E11222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11222">
              <w:rPr>
                <w:rFonts w:ascii="Helvetica" w:hAnsi="Helvetica"/>
                <w:sz w:val="16"/>
                <w:szCs w:val="16"/>
              </w:rPr>
              <w:t>Passport</w:t>
            </w:r>
            <w:proofErr w:type="spellEnd"/>
            <w:r w:rsidRPr="00E11222">
              <w:rPr>
                <w:rFonts w:ascii="Helvetica" w:hAnsi="Helvetica"/>
                <w:sz w:val="16"/>
                <w:szCs w:val="16"/>
              </w:rPr>
              <w:t xml:space="preserve"> </w:t>
            </w:r>
            <w:r w:rsidR="00ED4B9D" w:rsidRPr="00E11222">
              <w:rPr>
                <w:rFonts w:ascii="Helvetica" w:hAnsi="Helvetica"/>
                <w:sz w:val="16"/>
                <w:szCs w:val="16"/>
              </w:rPr>
              <w:t xml:space="preserve">kombiniert </w:t>
            </w:r>
            <w:r w:rsidR="009273D6" w:rsidRPr="00E11222">
              <w:rPr>
                <w:rFonts w:ascii="Helvetica" w:hAnsi="Helvetica"/>
                <w:sz w:val="16"/>
                <w:szCs w:val="16"/>
              </w:rPr>
              <w:t xml:space="preserve">ab sofort </w:t>
            </w:r>
            <w:r w:rsidR="00ED4B9D" w:rsidRPr="00E11222">
              <w:rPr>
                <w:rFonts w:ascii="Helvetica" w:hAnsi="Helvetica"/>
                <w:sz w:val="16"/>
                <w:szCs w:val="16"/>
              </w:rPr>
              <w:t xml:space="preserve">die Lösungen </w:t>
            </w:r>
            <w:proofErr w:type="spellStart"/>
            <w:r w:rsidR="00ED4B9D" w:rsidRPr="00E11222">
              <w:rPr>
                <w:rFonts w:ascii="Helvetica" w:hAnsi="Helvetica"/>
                <w:sz w:val="16"/>
                <w:szCs w:val="16"/>
              </w:rPr>
              <w:t>AuthPoint</w:t>
            </w:r>
            <w:proofErr w:type="spellEnd"/>
            <w:r w:rsidR="00ED4B9D" w:rsidRPr="00E11222">
              <w:rPr>
                <w:rFonts w:ascii="Helvetica" w:hAnsi="Helvetica"/>
                <w:sz w:val="16"/>
                <w:szCs w:val="16"/>
              </w:rPr>
              <w:t xml:space="preserve"> und </w:t>
            </w:r>
            <w:proofErr w:type="spellStart"/>
            <w:r w:rsidR="00ED4B9D" w:rsidRPr="00E11222">
              <w:rPr>
                <w:rFonts w:ascii="Helvetica" w:hAnsi="Helvetica"/>
                <w:sz w:val="16"/>
                <w:szCs w:val="16"/>
              </w:rPr>
              <w:t>DNSWatchGO</w:t>
            </w:r>
            <w:proofErr w:type="spellEnd"/>
            <w:r w:rsidR="00ED4B9D" w:rsidRPr="00E11222">
              <w:rPr>
                <w:rFonts w:ascii="Helvetica" w:hAnsi="Helvetica"/>
                <w:sz w:val="16"/>
                <w:szCs w:val="16"/>
              </w:rPr>
              <w:t xml:space="preserve"> und </w:t>
            </w:r>
            <w:r w:rsidRPr="00E11222">
              <w:rPr>
                <w:rFonts w:ascii="Helvetica" w:hAnsi="Helvetica"/>
                <w:sz w:val="16"/>
                <w:szCs w:val="16"/>
              </w:rPr>
              <w:t xml:space="preserve">ermöglicht </w:t>
            </w:r>
            <w:r w:rsidR="00ED4B9D" w:rsidRPr="00E11222">
              <w:rPr>
                <w:rFonts w:ascii="Helvetica" w:hAnsi="Helvetica"/>
                <w:sz w:val="16"/>
                <w:szCs w:val="16"/>
              </w:rPr>
              <w:t xml:space="preserve">so </w:t>
            </w:r>
            <w:r w:rsidRPr="00E11222">
              <w:rPr>
                <w:rFonts w:ascii="Helvetica" w:hAnsi="Helvetica"/>
                <w:sz w:val="16"/>
                <w:szCs w:val="16"/>
              </w:rPr>
              <w:t>umfassende Endgerätesicherheit bei gleichzeitig einfacher Administration</w:t>
            </w:r>
            <w:r w:rsidR="00E11222" w:rsidRPr="00E11222">
              <w:rPr>
                <w:rFonts w:ascii="Helvetica" w:hAnsi="Helvetica"/>
                <w:sz w:val="16"/>
                <w:szCs w:val="16"/>
              </w:rPr>
              <w:t>.</w:t>
            </w:r>
            <w:r w:rsidRPr="00E11222">
              <w:rPr>
                <w:rFonts w:ascii="Helvetica" w:hAnsi="Helvetica"/>
                <w:sz w:val="16"/>
                <w:szCs w:val="16"/>
              </w:rPr>
              <w:t xml:space="preserve"> </w:t>
            </w:r>
          </w:p>
          <w:p w14:paraId="30C78C1E" w14:textId="3D1AB1BB" w:rsidR="00D17158" w:rsidRPr="00996A56" w:rsidRDefault="00D17158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</w:p>
        </w:tc>
      </w:tr>
    </w:tbl>
    <w:p w14:paraId="23B10041" w14:textId="30578DE9" w:rsidR="00603C4E" w:rsidRDefault="00603C4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9EBF731" w14:textId="5C76DA95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56AC606B" w14:textId="2DFBBDFE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DB479F0" w14:textId="7FB6BCA8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0707C62" w14:textId="16607F1D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0EF94844" w14:textId="0C560C2F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5C1E1262" w14:textId="08B412FF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7F49687F" w14:textId="77777777" w:rsidR="001A158E" w:rsidRPr="00E033ED" w:rsidRDefault="001A158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501B56F" w14:textId="77777777" w:rsidR="00D17158" w:rsidRDefault="00D17158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07DBBDE4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proofErr w:type="spellStart"/>
      <w:r w:rsidR="00E11222">
        <w:rPr>
          <w:rFonts w:ascii="Helvetica" w:hAnsi="Helvetica"/>
          <w:color w:val="000000" w:themeColor="text1"/>
          <w:sz w:val="20"/>
          <w:szCs w:val="20"/>
        </w:rPr>
        <w:t>DNSWatchGO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r w:rsidR="00A030C1">
        <w:rPr>
          <w:rFonts w:ascii="Helvetica" w:hAnsi="Helvetica"/>
          <w:color w:val="000000" w:themeColor="text1"/>
          <w:sz w:val="20"/>
          <w:szCs w:val="20"/>
        </w:rPr>
        <w:t>gd</w:t>
      </w:r>
      <w:r w:rsidRPr="00E224AF">
        <w:rPr>
          <w:rFonts w:ascii="Helvetica" w:hAnsi="Helvetica"/>
          <w:color w:val="000000" w:themeColor="text1"/>
          <w:sz w:val="20"/>
          <w:szCs w:val="20"/>
        </w:rPr>
        <w:t>@press-n-relations.</w:t>
      </w:r>
      <w:r w:rsidR="00A030C1">
        <w:rPr>
          <w:rFonts w:ascii="Helvetica" w:hAnsi="Helvetica"/>
          <w:color w:val="000000" w:themeColor="text1"/>
          <w:sz w:val="20"/>
          <w:szCs w:val="20"/>
        </w:rPr>
        <w:t>at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19D295D1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30C1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199463FC" w:rsidR="006F3C2D" w:rsidRPr="00E224AF" w:rsidRDefault="00A030C1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2845E3CB" w:rsidR="006F3C2D" w:rsidRPr="00E224AF" w:rsidRDefault="00A030C1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1A5C598B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A030C1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 61 48-10</w:t>
            </w:r>
          </w:p>
          <w:p w14:paraId="78729CF0" w14:textId="7D76C923" w:rsidR="006F3C2D" w:rsidRPr="00E224AF" w:rsidRDefault="00A030C1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04FA603B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A030C1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48781F12" w14:textId="144A5868" w:rsidR="000354FC" w:rsidRPr="00A030C1" w:rsidRDefault="00AC463A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4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5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6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  <w:bookmarkStart w:id="0" w:name="_GoBack"/>
      <w:bookmarkEnd w:id="0"/>
    </w:p>
    <w:sectPr w:rsidR="000354FC" w:rsidRPr="00A030C1" w:rsidSect="0015629E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842C0D" w14:textId="77777777" w:rsidR="00E9526C" w:rsidRDefault="00E9526C">
      <w:r>
        <w:separator/>
      </w:r>
    </w:p>
  </w:endnote>
  <w:endnote w:type="continuationSeparator" w:id="0">
    <w:p w14:paraId="31A1D938" w14:textId="77777777" w:rsidR="00E9526C" w:rsidRDefault="00E95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D2FC3" w14:textId="77777777" w:rsidR="00E9526C" w:rsidRDefault="00E9526C">
      <w:r>
        <w:separator/>
      </w:r>
    </w:p>
  </w:footnote>
  <w:footnote w:type="continuationSeparator" w:id="0">
    <w:p w14:paraId="2741D34C" w14:textId="77777777" w:rsidR="00E9526C" w:rsidRDefault="00E952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25"/>
  </w:num>
  <w:num w:numId="4">
    <w:abstractNumId w:val="45"/>
  </w:num>
  <w:num w:numId="5">
    <w:abstractNumId w:val="18"/>
  </w:num>
  <w:num w:numId="6">
    <w:abstractNumId w:val="36"/>
  </w:num>
  <w:num w:numId="7">
    <w:abstractNumId w:val="14"/>
  </w:num>
  <w:num w:numId="8">
    <w:abstractNumId w:val="33"/>
  </w:num>
  <w:num w:numId="9">
    <w:abstractNumId w:val="17"/>
  </w:num>
  <w:num w:numId="10">
    <w:abstractNumId w:val="31"/>
  </w:num>
  <w:num w:numId="11">
    <w:abstractNumId w:val="47"/>
  </w:num>
  <w:num w:numId="12">
    <w:abstractNumId w:val="41"/>
  </w:num>
  <w:num w:numId="13">
    <w:abstractNumId w:val="42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4"/>
  </w:num>
  <w:num w:numId="19">
    <w:abstractNumId w:val="37"/>
  </w:num>
  <w:num w:numId="20">
    <w:abstractNumId w:val="21"/>
  </w:num>
  <w:num w:numId="21">
    <w:abstractNumId w:val="40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8"/>
  </w:num>
  <w:num w:numId="33">
    <w:abstractNumId w:val="32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5"/>
  </w:num>
  <w:num w:numId="41">
    <w:abstractNumId w:val="13"/>
  </w:num>
  <w:num w:numId="42">
    <w:abstractNumId w:val="34"/>
  </w:num>
  <w:num w:numId="43">
    <w:abstractNumId w:val="26"/>
  </w:num>
  <w:num w:numId="44">
    <w:abstractNumId w:val="20"/>
  </w:num>
  <w:num w:numId="45">
    <w:abstractNumId w:val="39"/>
  </w:num>
  <w:num w:numId="46">
    <w:abstractNumId w:val="29"/>
  </w:num>
  <w:num w:numId="47">
    <w:abstractNumId w:val="16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1DA7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5C5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4E3F"/>
    <w:rsid w:val="00125EF6"/>
    <w:rsid w:val="00125F5A"/>
    <w:rsid w:val="00125FEF"/>
    <w:rsid w:val="0012607F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48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CD5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4EF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130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58E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409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823"/>
    <w:rsid w:val="00211BAD"/>
    <w:rsid w:val="0021258B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67A0A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53C"/>
    <w:rsid w:val="00276E6C"/>
    <w:rsid w:val="00276F1F"/>
    <w:rsid w:val="00277163"/>
    <w:rsid w:val="0028020C"/>
    <w:rsid w:val="00280A2E"/>
    <w:rsid w:val="00281E80"/>
    <w:rsid w:val="0028319F"/>
    <w:rsid w:val="00283266"/>
    <w:rsid w:val="00283688"/>
    <w:rsid w:val="00284103"/>
    <w:rsid w:val="00285FE0"/>
    <w:rsid w:val="00286CDB"/>
    <w:rsid w:val="002900CF"/>
    <w:rsid w:val="002909C5"/>
    <w:rsid w:val="00291074"/>
    <w:rsid w:val="00291426"/>
    <w:rsid w:val="002916D5"/>
    <w:rsid w:val="00292C7D"/>
    <w:rsid w:val="002932CE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7C6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800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5F75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C8A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717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2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1E6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23A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3E8"/>
    <w:rsid w:val="00521537"/>
    <w:rsid w:val="00521B66"/>
    <w:rsid w:val="00521D47"/>
    <w:rsid w:val="005226E7"/>
    <w:rsid w:val="00522F68"/>
    <w:rsid w:val="00523915"/>
    <w:rsid w:val="005249C3"/>
    <w:rsid w:val="00524F1D"/>
    <w:rsid w:val="00526D64"/>
    <w:rsid w:val="00526E88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3E7"/>
    <w:rsid w:val="00555D67"/>
    <w:rsid w:val="005573B8"/>
    <w:rsid w:val="00560507"/>
    <w:rsid w:val="0056058F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5D76"/>
    <w:rsid w:val="0058600B"/>
    <w:rsid w:val="00586273"/>
    <w:rsid w:val="005872C4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344A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31F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E73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0883"/>
    <w:rsid w:val="00651EDE"/>
    <w:rsid w:val="00652626"/>
    <w:rsid w:val="006539F6"/>
    <w:rsid w:val="00654A6A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2D72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B15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B7C9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64A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D12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74B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326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1CD2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0C33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0EA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594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B8E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099E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E30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00CE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6CCA"/>
    <w:rsid w:val="00917213"/>
    <w:rsid w:val="009206E8"/>
    <w:rsid w:val="0092126F"/>
    <w:rsid w:val="00921392"/>
    <w:rsid w:val="00922D9E"/>
    <w:rsid w:val="00924670"/>
    <w:rsid w:val="00925EB2"/>
    <w:rsid w:val="00926A8C"/>
    <w:rsid w:val="009273D6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2BA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5D09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0C1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475CA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CBB"/>
    <w:rsid w:val="00A82EBA"/>
    <w:rsid w:val="00A84B31"/>
    <w:rsid w:val="00A84EDE"/>
    <w:rsid w:val="00A850F5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5774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2F29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9D4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38A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703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1243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5FB1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085"/>
    <w:rsid w:val="00BF42F2"/>
    <w:rsid w:val="00BF49C8"/>
    <w:rsid w:val="00BF4A60"/>
    <w:rsid w:val="00BF52DA"/>
    <w:rsid w:val="00BF6473"/>
    <w:rsid w:val="00BF70C8"/>
    <w:rsid w:val="00BF741E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73F"/>
    <w:rsid w:val="00C228C7"/>
    <w:rsid w:val="00C22D1E"/>
    <w:rsid w:val="00C23F5C"/>
    <w:rsid w:val="00C2473A"/>
    <w:rsid w:val="00C30B89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77E86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2C4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84"/>
    <w:rsid w:val="00D15FE3"/>
    <w:rsid w:val="00D165A3"/>
    <w:rsid w:val="00D17040"/>
    <w:rsid w:val="00D17158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8E1"/>
    <w:rsid w:val="00D37A74"/>
    <w:rsid w:val="00D37EDB"/>
    <w:rsid w:val="00D41927"/>
    <w:rsid w:val="00D41F8E"/>
    <w:rsid w:val="00D423FF"/>
    <w:rsid w:val="00D43A4F"/>
    <w:rsid w:val="00D43E97"/>
    <w:rsid w:val="00D44C89"/>
    <w:rsid w:val="00D44D9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57C"/>
    <w:rsid w:val="00D67EE0"/>
    <w:rsid w:val="00D70A83"/>
    <w:rsid w:val="00D70CE6"/>
    <w:rsid w:val="00D713B5"/>
    <w:rsid w:val="00D728D8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4C1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4E5D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49F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C60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832"/>
    <w:rsid w:val="00E05C09"/>
    <w:rsid w:val="00E066EC"/>
    <w:rsid w:val="00E06893"/>
    <w:rsid w:val="00E069F2"/>
    <w:rsid w:val="00E06BE5"/>
    <w:rsid w:val="00E07348"/>
    <w:rsid w:val="00E07EF7"/>
    <w:rsid w:val="00E1005B"/>
    <w:rsid w:val="00E11222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C30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8CE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3B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4078"/>
    <w:rsid w:val="00E951FB"/>
    <w:rsid w:val="00E9526C"/>
    <w:rsid w:val="00E96068"/>
    <w:rsid w:val="00E96C9D"/>
    <w:rsid w:val="00E974E4"/>
    <w:rsid w:val="00EA0D58"/>
    <w:rsid w:val="00EA166F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3F4"/>
    <w:rsid w:val="00ED2220"/>
    <w:rsid w:val="00ED22AC"/>
    <w:rsid w:val="00ED2450"/>
    <w:rsid w:val="00ED2F3C"/>
    <w:rsid w:val="00ED3640"/>
    <w:rsid w:val="00ED3A34"/>
    <w:rsid w:val="00ED3FE9"/>
    <w:rsid w:val="00ED4B9D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2911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2D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37D6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35C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dnswatchgo" TargetMode="Externa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watchguard.com/de/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www.watchguard.com/wgrd-resource-center/ebook/state-prem-security-en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watchguard-passport" TargetMode="External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1239</Words>
  <Characters>7808</Characters>
  <Application>Microsoft Office Word</Application>
  <DocSecurity>0</DocSecurity>
  <Lines>65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9029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18</cp:revision>
  <cp:lastPrinted>2019-09-30T06:56:00Z</cp:lastPrinted>
  <dcterms:created xsi:type="dcterms:W3CDTF">2019-10-01T07:03:00Z</dcterms:created>
  <dcterms:modified xsi:type="dcterms:W3CDTF">2019-10-01T08:17:00Z</dcterms:modified>
  <cp:category/>
</cp:coreProperties>
</file>