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4450C9A" w:rsidR="00AF2CB9" w:rsidRPr="00990C68" w:rsidRDefault="00CF411E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990C68">
        <w:rPr>
          <w:rFonts w:ascii="Helvetica" w:hAnsi="Helvetica"/>
          <w:b/>
        </w:rPr>
        <w:t>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8CB3B26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9B181D">
        <w:rPr>
          <w:rFonts w:ascii="Helvetica" w:hAnsi="Helvetica"/>
          <w:sz w:val="20"/>
          <w:szCs w:val="20"/>
        </w:rPr>
        <w:t>8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9B181D">
        <w:rPr>
          <w:rFonts w:ascii="Helvetica" w:hAnsi="Helvetica"/>
          <w:sz w:val="20"/>
          <w:szCs w:val="20"/>
        </w:rPr>
        <w:t>April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0710FA58" w14:textId="19C2A849" w:rsidR="00101794" w:rsidRDefault="00101794" w:rsidP="006B5688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 w:rsidRPr="00101794">
        <w:rPr>
          <w:rFonts w:ascii="Helvetica" w:eastAsia="SimSun" w:hAnsi="Helvetica"/>
          <w:b/>
          <w:sz w:val="28"/>
          <w:szCs w:val="28"/>
          <w:lang w:eastAsia="en-US"/>
        </w:rPr>
        <w:t xml:space="preserve">WatchGuard </w:t>
      </w:r>
      <w:r w:rsidR="002E1C13">
        <w:rPr>
          <w:rFonts w:ascii="Helvetica" w:eastAsia="SimSun" w:hAnsi="Helvetica"/>
          <w:b/>
          <w:sz w:val="28"/>
          <w:szCs w:val="28"/>
          <w:lang w:eastAsia="en-US"/>
        </w:rPr>
        <w:t xml:space="preserve">revolutioniert die Preisgestaltung für </w:t>
      </w:r>
      <w:proofErr w:type="spellStart"/>
      <w:r w:rsidR="002E1C13">
        <w:rPr>
          <w:rFonts w:ascii="Helvetica" w:eastAsia="SimSun" w:hAnsi="Helvetica"/>
          <w:b/>
          <w:sz w:val="28"/>
          <w:szCs w:val="28"/>
          <w:lang w:eastAsia="en-US"/>
        </w:rPr>
        <w:t>Endpoint</w:t>
      </w:r>
      <w:proofErr w:type="spellEnd"/>
      <w:r w:rsidR="002E1C13">
        <w:rPr>
          <w:rFonts w:ascii="Helvetica" w:eastAsia="SimSun" w:hAnsi="Helvetica"/>
          <w:b/>
          <w:sz w:val="28"/>
          <w:szCs w:val="28"/>
          <w:lang w:eastAsia="en-US"/>
        </w:rPr>
        <w:t>-Lösungen</w:t>
      </w:r>
    </w:p>
    <w:p w14:paraId="30C8E5A5" w14:textId="0C4CEFF9" w:rsidR="00101794" w:rsidRDefault="007B151D" w:rsidP="006B568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proofErr w:type="spellStart"/>
      <w:r>
        <w:rPr>
          <w:rFonts w:ascii="Helvetica" w:hAnsi="Helvetica"/>
          <w:sz w:val="20"/>
          <w:szCs w:val="20"/>
        </w:rPr>
        <w:t>Managed</w:t>
      </w:r>
      <w:proofErr w:type="spellEnd"/>
      <w:r>
        <w:rPr>
          <w:rFonts w:ascii="Helvetica" w:hAnsi="Helvetica"/>
          <w:sz w:val="20"/>
          <w:szCs w:val="20"/>
        </w:rPr>
        <w:t xml:space="preserve"> Service Provider </w:t>
      </w:r>
      <w:r w:rsidR="00E6302F">
        <w:rPr>
          <w:rFonts w:ascii="Helvetica" w:hAnsi="Helvetica"/>
          <w:sz w:val="20"/>
          <w:szCs w:val="20"/>
        </w:rPr>
        <w:t xml:space="preserve">und deren Kunden </w:t>
      </w:r>
      <w:r>
        <w:rPr>
          <w:rFonts w:ascii="Helvetica" w:hAnsi="Helvetica"/>
          <w:sz w:val="20"/>
          <w:szCs w:val="20"/>
        </w:rPr>
        <w:t xml:space="preserve">profitieren von </w:t>
      </w:r>
      <w:r w:rsidR="00E6302F">
        <w:rPr>
          <w:rFonts w:ascii="Helvetica" w:hAnsi="Helvetica"/>
          <w:sz w:val="20"/>
          <w:szCs w:val="20"/>
        </w:rPr>
        <w:t xml:space="preserve">hochklassiger </w:t>
      </w:r>
      <w:r>
        <w:rPr>
          <w:rFonts w:ascii="Helvetica" w:hAnsi="Helvetica"/>
          <w:sz w:val="20"/>
          <w:szCs w:val="20"/>
        </w:rPr>
        <w:t xml:space="preserve">EDR-Funktionalität </w:t>
      </w:r>
      <w:r w:rsidR="00DC7992" w:rsidRPr="00DC7992">
        <w:rPr>
          <w:rFonts w:ascii="Helvetica" w:hAnsi="Helvetica"/>
          <w:sz w:val="20"/>
          <w:szCs w:val="20"/>
        </w:rPr>
        <w:t xml:space="preserve">in Kombination mit einem flexiblen Lizenzmodell </w:t>
      </w:r>
    </w:p>
    <w:p w14:paraId="1EA15CF2" w14:textId="77777777" w:rsidR="00DC7992" w:rsidRDefault="00DC7992" w:rsidP="006B5688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506819E5" w14:textId="421B3992" w:rsidR="00101794" w:rsidRDefault="007B151D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dem heute vorgestellten, </w:t>
      </w:r>
      <w:r w:rsidR="00101794" w:rsidRPr="00101794">
        <w:rPr>
          <w:rFonts w:ascii="Helvetica" w:hAnsi="Helvetica"/>
          <w:b/>
          <w:bCs/>
          <w:sz w:val="20"/>
          <w:szCs w:val="20"/>
        </w:rPr>
        <w:t>neue</w:t>
      </w:r>
      <w:r>
        <w:rPr>
          <w:rFonts w:ascii="Helvetica" w:hAnsi="Helvetica"/>
          <w:b/>
          <w:bCs/>
          <w:sz w:val="20"/>
          <w:szCs w:val="20"/>
        </w:rPr>
        <w:t>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Endpoint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-Security-Portfolio </w:t>
      </w:r>
      <w:r>
        <w:rPr>
          <w:rFonts w:ascii="Helvetica" w:hAnsi="Helvetica"/>
          <w:b/>
          <w:bCs/>
          <w:sz w:val="20"/>
          <w:szCs w:val="20"/>
        </w:rPr>
        <w:t xml:space="preserve">bricht </w:t>
      </w:r>
      <w:hyperlink r:id="rId7" w:history="1">
        <w:r w:rsidRPr="000773CA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</w:t>
      </w:r>
      <w:r w:rsidR="002E1C13">
        <w:rPr>
          <w:rFonts w:ascii="Helvetica" w:hAnsi="Helvetica"/>
          <w:b/>
          <w:bCs/>
          <w:sz w:val="20"/>
          <w:szCs w:val="20"/>
        </w:rPr>
        <w:t>traditionelle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Lizenzmodell</w:t>
      </w:r>
      <w:r w:rsidR="00860F3C">
        <w:rPr>
          <w:rFonts w:ascii="Helvetica" w:hAnsi="Helvetica"/>
          <w:b/>
          <w:bCs/>
          <w:sz w:val="20"/>
          <w:szCs w:val="20"/>
        </w:rPr>
        <w:t>e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für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Endpoint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Detection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and Response (EDR) </w:t>
      </w:r>
      <w:r>
        <w:rPr>
          <w:rFonts w:ascii="Helvetica" w:hAnsi="Helvetica"/>
          <w:b/>
          <w:bCs/>
          <w:sz w:val="20"/>
          <w:szCs w:val="20"/>
        </w:rPr>
        <w:t xml:space="preserve">konsequent </w:t>
      </w:r>
      <w:r w:rsidR="00603F36">
        <w:rPr>
          <w:rFonts w:ascii="Helvetica" w:hAnsi="Helvetica"/>
          <w:b/>
          <w:bCs/>
          <w:sz w:val="20"/>
          <w:szCs w:val="20"/>
        </w:rPr>
        <w:t>auf.</w:t>
      </w:r>
      <w:r w:rsid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Das neue, </w:t>
      </w:r>
      <w:r w:rsidR="00E92250">
        <w:rPr>
          <w:rFonts w:ascii="Helvetica" w:hAnsi="Helvetica"/>
          <w:b/>
          <w:bCs/>
          <w:sz w:val="20"/>
          <w:szCs w:val="20"/>
        </w:rPr>
        <w:t>mehrstufige</w:t>
      </w:r>
      <w:r w:rsidR="00E92250" w:rsidRP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Angebot umfasst Funktionen auf Enterprise-Niveau, die bei vielen anderen Anbietern nur als kostenpflichtige Zusatzmodule verfügbar sind – darunter KI-gestützte Sicherheit, proaktives Schwachstellenmanagement und URL-Filterung. Gleichzeitig entfallen die </w:t>
      </w:r>
      <w:r w:rsidR="00E92250">
        <w:rPr>
          <w:rFonts w:ascii="Helvetica" w:hAnsi="Helvetica"/>
          <w:b/>
          <w:bCs/>
          <w:sz w:val="20"/>
          <w:szCs w:val="20"/>
        </w:rPr>
        <w:t>Mehrausgaben</w:t>
      </w:r>
      <w:r w:rsidR="00101794" w:rsidRPr="00101794">
        <w:rPr>
          <w:rFonts w:ascii="Helvetica" w:hAnsi="Helvetica"/>
          <w:b/>
          <w:bCs/>
          <w:sz w:val="20"/>
          <w:szCs w:val="20"/>
        </w:rPr>
        <w:t>, die Komplexität und</w:t>
      </w:r>
      <w:r w:rsidR="009A428A">
        <w:rPr>
          <w:rFonts w:ascii="Helvetica" w:hAnsi="Helvetica"/>
          <w:b/>
          <w:bCs/>
          <w:sz w:val="20"/>
          <w:szCs w:val="20"/>
        </w:rPr>
        <w:t xml:space="preserve"> operative Aufwände</w:t>
      </w:r>
      <w:r w:rsidR="00101794" w:rsidRPr="00101794">
        <w:rPr>
          <w:rFonts w:ascii="Helvetica" w:hAnsi="Helvetica"/>
          <w:b/>
          <w:bCs/>
          <w:sz w:val="20"/>
          <w:szCs w:val="20"/>
        </w:rPr>
        <w:t>, die üblicherweise mit de</w:t>
      </w:r>
      <w:r w:rsidR="00507B81">
        <w:rPr>
          <w:rFonts w:ascii="Helvetica" w:hAnsi="Helvetica"/>
          <w:b/>
          <w:bCs/>
          <w:sz w:val="20"/>
          <w:szCs w:val="20"/>
        </w:rPr>
        <w:t xml:space="preserve">m Einsatz </w:t>
      </w:r>
      <w:r w:rsidR="00101794" w:rsidRPr="00101794">
        <w:rPr>
          <w:rFonts w:ascii="Helvetica" w:hAnsi="Helvetica"/>
          <w:b/>
          <w:bCs/>
          <w:sz w:val="20"/>
          <w:szCs w:val="20"/>
        </w:rPr>
        <w:t>dieser Funktionen verbunden sind.</w:t>
      </w:r>
      <w:r w:rsid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>D</w:t>
      </w:r>
      <w:r w:rsidR="00307854">
        <w:rPr>
          <w:rFonts w:ascii="Helvetica" w:hAnsi="Helvetica"/>
          <w:b/>
          <w:bCs/>
          <w:sz w:val="20"/>
          <w:szCs w:val="20"/>
        </w:rPr>
        <w:t xml:space="preserve">as neue Modell </w:t>
      </w:r>
      <w:r w:rsidR="00101794" w:rsidRPr="00101794">
        <w:rPr>
          <w:rFonts w:ascii="Helvetica" w:hAnsi="Helvetica"/>
          <w:b/>
          <w:bCs/>
          <w:sz w:val="20"/>
          <w:szCs w:val="20"/>
        </w:rPr>
        <w:t>kombiniert erweiterte Bedrohungserkennung</w:t>
      </w:r>
      <w:r w:rsidR="00507B81">
        <w:rPr>
          <w:rFonts w:ascii="Helvetica" w:hAnsi="Helvetica"/>
          <w:b/>
          <w:bCs/>
          <w:sz w:val="20"/>
          <w:szCs w:val="20"/>
        </w:rPr>
        <w:t xml:space="preserve"> mit </w:t>
      </w:r>
      <w:r w:rsidR="00101794" w:rsidRPr="00101794">
        <w:rPr>
          <w:rFonts w:ascii="Helvetica" w:hAnsi="Helvetica"/>
          <w:b/>
          <w:bCs/>
          <w:sz w:val="20"/>
          <w:szCs w:val="20"/>
        </w:rPr>
        <w:t>automatisierte</w:t>
      </w:r>
      <w:r w:rsidR="00507B81">
        <w:rPr>
          <w:rFonts w:ascii="Helvetica" w:hAnsi="Helvetica"/>
          <w:b/>
          <w:bCs/>
          <w:sz w:val="20"/>
          <w:szCs w:val="20"/>
        </w:rPr>
        <w:t>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Reaktionsmechanismen und </w:t>
      </w:r>
      <w:r w:rsidR="00507B81">
        <w:rPr>
          <w:rFonts w:ascii="Helvetica" w:hAnsi="Helvetica"/>
          <w:b/>
          <w:bCs/>
          <w:sz w:val="20"/>
          <w:szCs w:val="20"/>
        </w:rPr>
        <w:t>lässt sich flexibel erweitern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, </w:t>
      </w:r>
      <w:r w:rsidR="00507B81">
        <w:rPr>
          <w:rFonts w:ascii="Helvetica" w:hAnsi="Helvetica"/>
          <w:b/>
          <w:bCs/>
          <w:sz w:val="20"/>
          <w:szCs w:val="20"/>
        </w:rPr>
        <w:t>um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Sicherheitsumgebungen effizient </w:t>
      </w:r>
      <w:proofErr w:type="gramStart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an </w:t>
      </w:r>
      <w:r w:rsidR="00E92250">
        <w:rPr>
          <w:rFonts w:ascii="Helvetica" w:hAnsi="Helvetica"/>
          <w:b/>
          <w:bCs/>
          <w:sz w:val="20"/>
          <w:szCs w:val="20"/>
        </w:rPr>
        <w:t>steigende</w:t>
      </w:r>
      <w:proofErr w:type="gramEnd"/>
      <w:r w:rsidR="00E92250" w:rsidRP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>Anforderungen an</w:t>
      </w:r>
      <w:r w:rsidR="00507B81">
        <w:rPr>
          <w:rFonts w:ascii="Helvetica" w:hAnsi="Helvetica"/>
          <w:b/>
          <w:bCs/>
          <w:sz w:val="20"/>
          <w:szCs w:val="20"/>
        </w:rPr>
        <w:t>zu</w:t>
      </w:r>
      <w:r w:rsidR="00101794" w:rsidRPr="00101794">
        <w:rPr>
          <w:rFonts w:ascii="Helvetica" w:hAnsi="Helvetica"/>
          <w:b/>
          <w:bCs/>
          <w:sz w:val="20"/>
          <w:szCs w:val="20"/>
        </w:rPr>
        <w:t>pass</w:t>
      </w:r>
      <w:r w:rsidR="00507B81">
        <w:rPr>
          <w:rFonts w:ascii="Helvetica" w:hAnsi="Helvetica"/>
          <w:b/>
          <w:bCs/>
          <w:sz w:val="20"/>
          <w:szCs w:val="20"/>
        </w:rPr>
        <w:t>en.</w:t>
      </w:r>
    </w:p>
    <w:p w14:paraId="00C4C1D3" w14:textId="77777777" w:rsidR="00507B81" w:rsidRDefault="00507B81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3E3AE233" w14:textId="1A925B71" w:rsidR="00844FC6" w:rsidRDefault="00101794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B744D8">
        <w:rPr>
          <w:b w:val="0"/>
          <w:color w:val="000000" w:themeColor="text1"/>
          <w:sz w:val="20"/>
          <w:szCs w:val="20"/>
        </w:rPr>
        <w:t xml:space="preserve">Vor etwa einem Jahrzehnt rückten </w:t>
      </w:r>
      <w:r w:rsidRPr="00101794">
        <w:rPr>
          <w:b w:val="0"/>
          <w:color w:val="000000" w:themeColor="text1"/>
          <w:sz w:val="20"/>
          <w:szCs w:val="20"/>
        </w:rPr>
        <w:t>EDR-Lösungen</w:t>
      </w:r>
      <w:r w:rsidR="00B744D8">
        <w:rPr>
          <w:b w:val="0"/>
          <w:color w:val="000000" w:themeColor="text1"/>
          <w:sz w:val="20"/>
          <w:szCs w:val="20"/>
        </w:rPr>
        <w:t>,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B744D8">
        <w:rPr>
          <w:b w:val="0"/>
          <w:color w:val="000000" w:themeColor="text1"/>
          <w:sz w:val="20"/>
          <w:szCs w:val="20"/>
        </w:rPr>
        <w:t xml:space="preserve">die mehr 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Transparenz </w:t>
      </w:r>
      <w:r w:rsidR="00B744D8">
        <w:rPr>
          <w:b w:val="0"/>
          <w:color w:val="000000" w:themeColor="text1"/>
          <w:sz w:val="20"/>
          <w:szCs w:val="20"/>
        </w:rPr>
        <w:t>versprachen und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 </w:t>
      </w:r>
      <w:r w:rsidR="00B744D8">
        <w:rPr>
          <w:b w:val="0"/>
          <w:color w:val="000000" w:themeColor="text1"/>
          <w:sz w:val="20"/>
          <w:szCs w:val="20"/>
        </w:rPr>
        <w:t xml:space="preserve">mit </w:t>
      </w:r>
      <w:r w:rsidR="00B744D8" w:rsidRPr="00B744D8">
        <w:rPr>
          <w:b w:val="0"/>
          <w:color w:val="000000" w:themeColor="text1"/>
          <w:sz w:val="20"/>
          <w:szCs w:val="20"/>
        </w:rPr>
        <w:t>neue</w:t>
      </w:r>
      <w:r w:rsidR="00B744D8">
        <w:rPr>
          <w:b w:val="0"/>
          <w:color w:val="000000" w:themeColor="text1"/>
          <w:sz w:val="20"/>
          <w:szCs w:val="20"/>
        </w:rPr>
        <w:t>n</w:t>
      </w:r>
      <w:r w:rsidR="00B744D8" w:rsidRPr="00B744D8">
        <w:rPr>
          <w:b w:val="0"/>
          <w:color w:val="000000" w:themeColor="text1"/>
          <w:sz w:val="20"/>
          <w:szCs w:val="20"/>
        </w:rPr>
        <w:t>, KI-gestützte</w:t>
      </w:r>
      <w:r w:rsidR="00B744D8">
        <w:rPr>
          <w:b w:val="0"/>
          <w:color w:val="000000" w:themeColor="text1"/>
          <w:sz w:val="20"/>
          <w:szCs w:val="20"/>
        </w:rPr>
        <w:t>n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 Erkennungstechniken </w:t>
      </w:r>
      <w:r w:rsidR="00B744D8">
        <w:rPr>
          <w:b w:val="0"/>
          <w:color w:val="000000" w:themeColor="text1"/>
          <w:sz w:val="20"/>
          <w:szCs w:val="20"/>
        </w:rPr>
        <w:t xml:space="preserve">aufwarteten, erstmals auf die Bildfläche. </w:t>
      </w:r>
      <w:r w:rsidRPr="00101794">
        <w:rPr>
          <w:b w:val="0"/>
          <w:color w:val="000000" w:themeColor="text1"/>
          <w:sz w:val="20"/>
          <w:szCs w:val="20"/>
        </w:rPr>
        <w:t xml:space="preserve">Viele Anbieter haben ihre Produkte seither kaum weiterentwickelt, verlangen aber weiterhin hohe Preise – etwa für </w:t>
      </w:r>
      <w:r w:rsidR="00CF4C17">
        <w:rPr>
          <w:b w:val="0"/>
          <w:color w:val="000000" w:themeColor="text1"/>
          <w:sz w:val="20"/>
          <w:szCs w:val="20"/>
        </w:rPr>
        <w:t>überdimensionierte</w:t>
      </w:r>
      <w:r w:rsidR="00AC1E95">
        <w:rPr>
          <w:b w:val="0"/>
          <w:color w:val="000000" w:themeColor="text1"/>
          <w:sz w:val="20"/>
          <w:szCs w:val="20"/>
        </w:rPr>
        <w:t>n</w:t>
      </w:r>
      <w:r w:rsidR="00CF4C17">
        <w:rPr>
          <w:b w:val="0"/>
          <w:color w:val="000000" w:themeColor="text1"/>
          <w:sz w:val="20"/>
          <w:szCs w:val="20"/>
        </w:rPr>
        <w:t xml:space="preserve">, unflexiblen </w:t>
      </w:r>
      <w:r w:rsidRPr="00101794">
        <w:rPr>
          <w:b w:val="0"/>
          <w:color w:val="000000" w:themeColor="text1"/>
          <w:sz w:val="20"/>
          <w:szCs w:val="20"/>
        </w:rPr>
        <w:t xml:space="preserve">Cloud-Speicher oder </w:t>
      </w:r>
      <w:r w:rsidR="008B00EA">
        <w:rPr>
          <w:b w:val="0"/>
          <w:color w:val="000000" w:themeColor="text1"/>
          <w:sz w:val="20"/>
          <w:szCs w:val="20"/>
        </w:rPr>
        <w:t>Standard-</w:t>
      </w:r>
      <w:r w:rsidRPr="00101794">
        <w:rPr>
          <w:b w:val="0"/>
          <w:color w:val="000000" w:themeColor="text1"/>
          <w:sz w:val="20"/>
          <w:szCs w:val="20"/>
        </w:rPr>
        <w:t xml:space="preserve">Funktionen wie Schwachstellenscans, URL-Filterung, USB-Kontrolle oder Host-Firewalls, die wenig Mehrwert bieten“, sagt Adam Winston, VP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of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Security und MDR bei WatchGuard. „Genau hier </w:t>
      </w:r>
      <w:r w:rsidR="004A0CCA">
        <w:rPr>
          <w:b w:val="0"/>
          <w:color w:val="000000" w:themeColor="text1"/>
          <w:sz w:val="20"/>
          <w:szCs w:val="20"/>
        </w:rPr>
        <w:t xml:space="preserve">bringen wir jetzt </w:t>
      </w:r>
      <w:r w:rsidR="00606A29">
        <w:rPr>
          <w:b w:val="0"/>
          <w:color w:val="000000" w:themeColor="text1"/>
          <w:sz w:val="20"/>
          <w:szCs w:val="20"/>
        </w:rPr>
        <w:t>frischen</w:t>
      </w:r>
      <w:r w:rsidR="004A0CCA">
        <w:rPr>
          <w:b w:val="0"/>
          <w:color w:val="000000" w:themeColor="text1"/>
          <w:sz w:val="20"/>
          <w:szCs w:val="20"/>
        </w:rPr>
        <w:t xml:space="preserve"> Wind ins Spiel</w:t>
      </w:r>
      <w:r w:rsidRPr="00101794">
        <w:rPr>
          <w:b w:val="0"/>
          <w:color w:val="000000" w:themeColor="text1"/>
          <w:sz w:val="20"/>
          <w:szCs w:val="20"/>
        </w:rPr>
        <w:t>.“</w:t>
      </w:r>
    </w:p>
    <w:p w14:paraId="18408735" w14:textId="77777777" w:rsidR="00101794" w:rsidRPr="00424240" w:rsidRDefault="00101794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18FC408" w14:textId="7973C376" w:rsidR="006B77BB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Die Plattform </w:t>
      </w:r>
      <w:r w:rsidR="00874F92">
        <w:rPr>
          <w:b w:val="0"/>
          <w:color w:val="000000" w:themeColor="text1"/>
          <w:sz w:val="20"/>
          <w:szCs w:val="20"/>
        </w:rPr>
        <w:t xml:space="preserve">von WatchGuard </w:t>
      </w:r>
      <w:r w:rsidRPr="00101794">
        <w:rPr>
          <w:b w:val="0"/>
          <w:color w:val="000000" w:themeColor="text1"/>
          <w:sz w:val="20"/>
          <w:szCs w:val="20"/>
        </w:rPr>
        <w:t xml:space="preserve">richtet sich an </w:t>
      </w:r>
      <w:proofErr w:type="spellStart"/>
      <w:r w:rsidR="00507B81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507B81">
        <w:rPr>
          <w:b w:val="0"/>
          <w:color w:val="000000" w:themeColor="text1"/>
          <w:sz w:val="20"/>
          <w:szCs w:val="20"/>
        </w:rPr>
        <w:t xml:space="preserve"> Service Provider </w:t>
      </w:r>
      <w:r w:rsidR="00F0007B">
        <w:rPr>
          <w:b w:val="0"/>
          <w:color w:val="000000" w:themeColor="text1"/>
          <w:sz w:val="20"/>
          <w:szCs w:val="20"/>
        </w:rPr>
        <w:t xml:space="preserve">(MSP) </w:t>
      </w:r>
      <w:r w:rsidR="00507B81">
        <w:rPr>
          <w:b w:val="0"/>
          <w:color w:val="000000" w:themeColor="text1"/>
          <w:sz w:val="20"/>
          <w:szCs w:val="20"/>
        </w:rPr>
        <w:t xml:space="preserve">und </w:t>
      </w:r>
      <w:r w:rsidRPr="00101794">
        <w:rPr>
          <w:b w:val="0"/>
          <w:color w:val="000000" w:themeColor="text1"/>
          <w:sz w:val="20"/>
          <w:szCs w:val="20"/>
        </w:rPr>
        <w:t xml:space="preserve">IT-Teams, die steigende Sicherheitsanforderungen mit begrenzten Ressourcen bewältigen müssen. Ein einheitlicher Agent und eine zentrale Management-Konsole vereinfachen die Implementierung, reduzieren den Verwaltungsaufwand und machen erweiterte Sicherheitsfunktionen für </w:t>
      </w:r>
      <w:r w:rsidR="00507B81">
        <w:rPr>
          <w:b w:val="0"/>
          <w:color w:val="000000" w:themeColor="text1"/>
          <w:sz w:val="20"/>
          <w:szCs w:val="20"/>
        </w:rPr>
        <w:t>Unternehmen</w:t>
      </w:r>
      <w:r w:rsidRPr="00101794">
        <w:rPr>
          <w:b w:val="0"/>
          <w:color w:val="000000" w:themeColor="text1"/>
          <w:sz w:val="20"/>
          <w:szCs w:val="20"/>
        </w:rPr>
        <w:t xml:space="preserve"> jeder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Grö</w:t>
      </w:r>
      <w:r w:rsidR="00CF411E">
        <w:rPr>
          <w:b w:val="0"/>
          <w:color w:val="000000" w:themeColor="text1"/>
          <w:sz w:val="20"/>
          <w:szCs w:val="20"/>
        </w:rPr>
        <w:t>sse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zugänglich.</w:t>
      </w:r>
      <w:r w:rsidR="00507B81">
        <w:rPr>
          <w:b w:val="0"/>
          <w:color w:val="000000" w:themeColor="text1"/>
          <w:sz w:val="20"/>
          <w:szCs w:val="20"/>
        </w:rPr>
        <w:t xml:space="preserve"> </w:t>
      </w:r>
      <w:r w:rsidRPr="00101794">
        <w:rPr>
          <w:b w:val="0"/>
          <w:color w:val="000000" w:themeColor="text1"/>
          <w:sz w:val="20"/>
          <w:szCs w:val="20"/>
        </w:rPr>
        <w:t xml:space="preserve">Dank flexibler, nutzungsbasierter Lizenzmodelle und umfassender Automatisierung </w:t>
      </w:r>
      <w:r w:rsidR="006B77BB">
        <w:rPr>
          <w:b w:val="0"/>
          <w:color w:val="000000" w:themeColor="text1"/>
          <w:sz w:val="20"/>
          <w:szCs w:val="20"/>
        </w:rPr>
        <w:t xml:space="preserve">haben </w:t>
      </w:r>
      <w:r w:rsidR="00CB043F">
        <w:rPr>
          <w:b w:val="0"/>
          <w:color w:val="000000" w:themeColor="text1"/>
          <w:sz w:val="20"/>
          <w:szCs w:val="20"/>
        </w:rPr>
        <w:t xml:space="preserve">MSP </w:t>
      </w:r>
      <w:r w:rsidR="006B77BB">
        <w:rPr>
          <w:b w:val="0"/>
          <w:color w:val="000000" w:themeColor="text1"/>
          <w:sz w:val="20"/>
          <w:szCs w:val="20"/>
        </w:rPr>
        <w:t xml:space="preserve">jederzeit die Wahl,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entweder selbst einen wettbewerbsfähigen </w:t>
      </w:r>
      <w:proofErr w:type="spellStart"/>
      <w:r w:rsidR="006B77BB" w:rsidRPr="006B77BB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6B77BB" w:rsidRPr="006B77BB">
        <w:rPr>
          <w:b w:val="0"/>
          <w:color w:val="000000" w:themeColor="text1"/>
          <w:sz w:val="20"/>
          <w:szCs w:val="20"/>
        </w:rPr>
        <w:t xml:space="preserve"> Service an</w:t>
      </w:r>
      <w:r w:rsidR="006B77BB">
        <w:rPr>
          <w:b w:val="0"/>
          <w:color w:val="000000" w:themeColor="text1"/>
          <w:sz w:val="20"/>
          <w:szCs w:val="20"/>
        </w:rPr>
        <w:t>zu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bieten oder ihr Angebot durch die 24/7-Erkennung und -Reaktion von WatchGuard Core MDR </w:t>
      </w:r>
      <w:r w:rsidR="006B77BB">
        <w:rPr>
          <w:b w:val="0"/>
          <w:color w:val="000000" w:themeColor="text1"/>
          <w:sz w:val="20"/>
          <w:szCs w:val="20"/>
        </w:rPr>
        <w:t xml:space="preserve">zu </w:t>
      </w:r>
      <w:r w:rsidR="006B77BB" w:rsidRPr="006B77BB">
        <w:rPr>
          <w:b w:val="0"/>
          <w:color w:val="000000" w:themeColor="text1"/>
          <w:sz w:val="20"/>
          <w:szCs w:val="20"/>
        </w:rPr>
        <w:t>erweitern.</w:t>
      </w:r>
    </w:p>
    <w:p w14:paraId="08470BA9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77DCE84" w14:textId="41B0AA52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Zentrale Funktionen im Überblick:</w:t>
      </w:r>
    </w:p>
    <w:p w14:paraId="1C134AEE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D33CBF7" w14:textId="43276865" w:rsidR="006B77BB" w:rsidRPr="006B77BB" w:rsidRDefault="00101794" w:rsidP="00F7671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 xml:space="preserve">Proaktive Sicherheitsfunktionen über alle Lizenzstufen hinweg: </w:t>
      </w:r>
      <w:r w:rsidRPr="00101794">
        <w:rPr>
          <w:b w:val="0"/>
          <w:color w:val="000000" w:themeColor="text1"/>
          <w:sz w:val="20"/>
          <w:szCs w:val="20"/>
        </w:rPr>
        <w:t xml:space="preserve">Bereits </w:t>
      </w:r>
      <w:r w:rsidR="006B77BB">
        <w:rPr>
          <w:b w:val="0"/>
          <w:color w:val="000000" w:themeColor="text1"/>
          <w:sz w:val="20"/>
          <w:szCs w:val="20"/>
        </w:rPr>
        <w:t>im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Basismodell </w:t>
      </w:r>
      <w:r w:rsidRPr="006B77BB">
        <w:rPr>
          <w:b w:val="0"/>
          <w:color w:val="000000" w:themeColor="text1"/>
          <w:sz w:val="20"/>
          <w:szCs w:val="20"/>
        </w:rPr>
        <w:t xml:space="preserve">sind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dedizierte Einblicke in die Bedrohungslage </w:t>
      </w:r>
      <w:r w:rsidR="00FA1202">
        <w:rPr>
          <w:b w:val="0"/>
          <w:color w:val="000000" w:themeColor="text1"/>
          <w:sz w:val="20"/>
          <w:szCs w:val="20"/>
        </w:rPr>
        <w:t>sowie Transparenz im Hinblick auf URLs und Gerätesteuerung inklusive.</w:t>
      </w:r>
    </w:p>
    <w:p w14:paraId="79A68D6E" w14:textId="1CAB4BC9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lastRenderedPageBreak/>
        <w:t>Schutz auf Enterprise-Niveau ab Werk:</w:t>
      </w:r>
      <w:r w:rsidRPr="00101794">
        <w:rPr>
          <w:b w:val="0"/>
          <w:color w:val="000000" w:themeColor="text1"/>
          <w:sz w:val="20"/>
          <w:szCs w:val="20"/>
        </w:rPr>
        <w:t xml:space="preserve"> Zentrale Sicherheitsfunktionen wie Ransomware-Schutz, Angriffsflächenreduktion und Gerätekontrolle </w:t>
      </w:r>
      <w:r w:rsidR="00FA1202">
        <w:rPr>
          <w:b w:val="0"/>
          <w:color w:val="000000" w:themeColor="text1"/>
          <w:sz w:val="20"/>
          <w:szCs w:val="20"/>
        </w:rPr>
        <w:t>gehören in allen Lizenzstufen zum Standard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FA1202">
        <w:rPr>
          <w:b w:val="0"/>
          <w:color w:val="000000" w:themeColor="text1"/>
          <w:sz w:val="20"/>
          <w:szCs w:val="20"/>
        </w:rPr>
        <w:t>und erfordern keinerlei</w:t>
      </w:r>
      <w:r w:rsidR="00FA1202" w:rsidRPr="00101794">
        <w:rPr>
          <w:b w:val="0"/>
          <w:color w:val="000000" w:themeColor="text1"/>
          <w:sz w:val="20"/>
          <w:szCs w:val="20"/>
        </w:rPr>
        <w:t xml:space="preserve"> </w:t>
      </w:r>
      <w:r w:rsidRPr="00101794">
        <w:rPr>
          <w:b w:val="0"/>
          <w:color w:val="000000" w:themeColor="text1"/>
          <w:sz w:val="20"/>
          <w:szCs w:val="20"/>
        </w:rPr>
        <w:t xml:space="preserve">zusätzliche </w:t>
      </w:r>
      <w:r w:rsidR="00FA1202">
        <w:rPr>
          <w:b w:val="0"/>
          <w:color w:val="000000" w:themeColor="text1"/>
          <w:sz w:val="20"/>
          <w:szCs w:val="20"/>
        </w:rPr>
        <w:t>Werkzeuge.</w:t>
      </w:r>
    </w:p>
    <w:p w14:paraId="44AB6445" w14:textId="0AB090EE" w:rsidR="00101794" w:rsidRDefault="0069251D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>Mit einem Klick erweiterbar</w:t>
      </w:r>
      <w:r w:rsidR="00101794" w:rsidRPr="00101794">
        <w:rPr>
          <w:bCs/>
          <w:color w:val="000000" w:themeColor="text1"/>
          <w:sz w:val="20"/>
          <w:szCs w:val="20"/>
        </w:rPr>
        <w:t>: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Zusatzfunktionen wie 24/7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M</w:t>
      </w:r>
      <w:r w:rsidR="00AB5291">
        <w:rPr>
          <w:b w:val="0"/>
          <w:color w:val="000000" w:themeColor="text1"/>
          <w:sz w:val="20"/>
          <w:szCs w:val="20"/>
        </w:rPr>
        <w:t>anaged</w:t>
      </w:r>
      <w:proofErr w:type="spellEnd"/>
      <w:r w:rsidR="00AB5291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D</w:t>
      </w:r>
      <w:r w:rsidR="00AB5291">
        <w:rPr>
          <w:b w:val="0"/>
          <w:color w:val="000000" w:themeColor="text1"/>
          <w:sz w:val="20"/>
          <w:szCs w:val="20"/>
        </w:rPr>
        <w:t>etection</w:t>
      </w:r>
      <w:proofErr w:type="spellEnd"/>
      <w:r w:rsidR="00AB5291">
        <w:rPr>
          <w:b w:val="0"/>
          <w:color w:val="000000" w:themeColor="text1"/>
          <w:sz w:val="20"/>
          <w:szCs w:val="20"/>
        </w:rPr>
        <w:t xml:space="preserve"> </w:t>
      </w:r>
      <w:r w:rsidR="00860F3C">
        <w:rPr>
          <w:b w:val="0"/>
          <w:color w:val="000000" w:themeColor="text1"/>
          <w:sz w:val="20"/>
          <w:szCs w:val="20"/>
        </w:rPr>
        <w:t>and</w:t>
      </w:r>
      <w:r w:rsidR="00AB5291">
        <w:rPr>
          <w:b w:val="0"/>
          <w:color w:val="000000" w:themeColor="text1"/>
          <w:sz w:val="20"/>
          <w:szCs w:val="20"/>
        </w:rPr>
        <w:t xml:space="preserve"> </w:t>
      </w:r>
      <w:r w:rsidR="00101794" w:rsidRPr="00101794">
        <w:rPr>
          <w:b w:val="0"/>
          <w:color w:val="000000" w:themeColor="text1"/>
          <w:sz w:val="20"/>
          <w:szCs w:val="20"/>
        </w:rPr>
        <w:t>R</w:t>
      </w:r>
      <w:r w:rsidR="00AB5291">
        <w:rPr>
          <w:b w:val="0"/>
          <w:color w:val="000000" w:themeColor="text1"/>
          <w:sz w:val="20"/>
          <w:szCs w:val="20"/>
        </w:rPr>
        <w:t>esponse (MDR)</w:t>
      </w:r>
      <w:r w:rsidR="00101794" w:rsidRPr="00101794">
        <w:rPr>
          <w:b w:val="0"/>
          <w:color w:val="000000" w:themeColor="text1"/>
          <w:sz w:val="20"/>
          <w:szCs w:val="20"/>
        </w:rPr>
        <w:t>, Patch-Management, S</w:t>
      </w:r>
      <w:r w:rsidR="00AB5291">
        <w:rPr>
          <w:b w:val="0"/>
          <w:color w:val="000000" w:themeColor="text1"/>
          <w:sz w:val="20"/>
          <w:szCs w:val="20"/>
        </w:rPr>
        <w:t xml:space="preserve">ecure </w:t>
      </w:r>
      <w:r w:rsidR="00101794" w:rsidRPr="00101794">
        <w:rPr>
          <w:b w:val="0"/>
          <w:color w:val="000000" w:themeColor="text1"/>
          <w:sz w:val="20"/>
          <w:szCs w:val="20"/>
        </w:rPr>
        <w:t>A</w:t>
      </w:r>
      <w:r w:rsidR="00AB5291">
        <w:rPr>
          <w:b w:val="0"/>
          <w:color w:val="000000" w:themeColor="text1"/>
          <w:sz w:val="20"/>
          <w:szCs w:val="20"/>
        </w:rPr>
        <w:t xml:space="preserve">ccess </w:t>
      </w:r>
      <w:r w:rsidR="00101794" w:rsidRPr="00101794">
        <w:rPr>
          <w:b w:val="0"/>
          <w:color w:val="000000" w:themeColor="text1"/>
          <w:sz w:val="20"/>
          <w:szCs w:val="20"/>
        </w:rPr>
        <w:t>S</w:t>
      </w:r>
      <w:r w:rsidR="00AB5291">
        <w:rPr>
          <w:b w:val="0"/>
          <w:color w:val="000000" w:themeColor="text1"/>
          <w:sz w:val="20"/>
          <w:szCs w:val="20"/>
        </w:rPr>
        <w:t xml:space="preserve">ervice </w:t>
      </w:r>
      <w:r w:rsidR="00101794" w:rsidRPr="00101794">
        <w:rPr>
          <w:b w:val="0"/>
          <w:color w:val="000000" w:themeColor="text1"/>
          <w:sz w:val="20"/>
          <w:szCs w:val="20"/>
        </w:rPr>
        <w:t>E</w:t>
      </w:r>
      <w:r w:rsidR="00AB5291">
        <w:rPr>
          <w:b w:val="0"/>
          <w:color w:val="000000" w:themeColor="text1"/>
          <w:sz w:val="20"/>
          <w:szCs w:val="20"/>
        </w:rPr>
        <w:t>dge (SASE)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oder M</w:t>
      </w:r>
      <w:r w:rsidR="00AB5291">
        <w:rPr>
          <w:b w:val="0"/>
          <w:color w:val="000000" w:themeColor="text1"/>
          <w:sz w:val="20"/>
          <w:szCs w:val="20"/>
        </w:rPr>
        <w:t>ultifaktor-Authentifizierung (MFA)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lassen sich </w:t>
      </w:r>
      <w:r w:rsidR="00DD0700">
        <w:rPr>
          <w:b w:val="0"/>
          <w:color w:val="000000" w:themeColor="text1"/>
          <w:sz w:val="20"/>
          <w:szCs w:val="20"/>
        </w:rPr>
        <w:t xml:space="preserve">jederzeit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direkt über die WatchGuard Cloud </w:t>
      </w:r>
      <w:r w:rsidR="00966605">
        <w:rPr>
          <w:b w:val="0"/>
          <w:color w:val="000000" w:themeColor="text1"/>
          <w:sz w:val="20"/>
          <w:szCs w:val="20"/>
        </w:rPr>
        <w:t xml:space="preserve">ausprobieren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und </w:t>
      </w:r>
      <w:proofErr w:type="spellStart"/>
      <w:r w:rsidR="003E7F96">
        <w:rPr>
          <w:b w:val="0"/>
          <w:color w:val="000000" w:themeColor="text1"/>
          <w:sz w:val="20"/>
          <w:szCs w:val="20"/>
        </w:rPr>
        <w:t>anschlie</w:t>
      </w:r>
      <w:r w:rsidR="00B42729">
        <w:rPr>
          <w:b w:val="0"/>
          <w:color w:val="000000" w:themeColor="text1"/>
          <w:sz w:val="20"/>
          <w:szCs w:val="20"/>
        </w:rPr>
        <w:t>ss</w:t>
      </w:r>
      <w:r w:rsidR="003E7F96">
        <w:rPr>
          <w:b w:val="0"/>
          <w:color w:val="000000" w:themeColor="text1"/>
          <w:sz w:val="20"/>
          <w:szCs w:val="20"/>
        </w:rPr>
        <w:t>end</w:t>
      </w:r>
      <w:proofErr w:type="spellEnd"/>
      <w:r w:rsidR="003E7F96">
        <w:rPr>
          <w:b w:val="0"/>
          <w:color w:val="000000" w:themeColor="text1"/>
          <w:sz w:val="20"/>
          <w:szCs w:val="20"/>
        </w:rPr>
        <w:t xml:space="preserve"> </w:t>
      </w:r>
      <w:r w:rsidR="00101794" w:rsidRPr="00101794">
        <w:rPr>
          <w:b w:val="0"/>
          <w:color w:val="000000" w:themeColor="text1"/>
          <w:sz w:val="20"/>
          <w:szCs w:val="20"/>
        </w:rPr>
        <w:t>aktivieren.</w:t>
      </w:r>
    </w:p>
    <w:p w14:paraId="255AD731" w14:textId="08C4FE95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Vereinfachte Bereitstellung und Verwaltung:</w:t>
      </w:r>
      <w:r w:rsidRPr="00101794">
        <w:rPr>
          <w:b w:val="0"/>
          <w:color w:val="000000" w:themeColor="text1"/>
          <w:sz w:val="20"/>
          <w:szCs w:val="20"/>
        </w:rPr>
        <w:t xml:space="preserve"> Ein schlanker Agent und eine einheitliche Konsole ermöglichen schnelle Rollouts, zentrale Richtliniensteuerung und automatisierte Updates</w:t>
      </w:r>
      <w:r w:rsidR="00966605">
        <w:rPr>
          <w:b w:val="0"/>
          <w:color w:val="000000" w:themeColor="text1"/>
          <w:sz w:val="20"/>
          <w:szCs w:val="20"/>
        </w:rPr>
        <w:t xml:space="preserve"> über die gesamte IT-Umgebung hinweg.</w:t>
      </w:r>
    </w:p>
    <w:p w14:paraId="423135C9" w14:textId="2C31855E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Skalierbarkeit für wachsende Anforderungen: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AB5291">
        <w:rPr>
          <w:b w:val="0"/>
          <w:color w:val="000000" w:themeColor="text1"/>
          <w:sz w:val="20"/>
          <w:szCs w:val="20"/>
        </w:rPr>
        <w:t>Mehrmandantenfähige Verwaltung</w:t>
      </w:r>
      <w:r w:rsidRPr="00101794">
        <w:rPr>
          <w:b w:val="0"/>
          <w:color w:val="000000" w:themeColor="text1"/>
          <w:sz w:val="20"/>
          <w:szCs w:val="20"/>
        </w:rPr>
        <w:t xml:space="preserve">, Richtlinienvererbung und flexible Lizenzstufen erleichtern </w:t>
      </w:r>
      <w:r w:rsidR="00AB5291">
        <w:rPr>
          <w:b w:val="0"/>
          <w:color w:val="000000" w:themeColor="text1"/>
          <w:sz w:val="20"/>
          <w:szCs w:val="20"/>
        </w:rPr>
        <w:t xml:space="preserve">den </w:t>
      </w:r>
      <w:r w:rsidRPr="00101794">
        <w:rPr>
          <w:b w:val="0"/>
          <w:color w:val="000000" w:themeColor="text1"/>
          <w:sz w:val="20"/>
          <w:szCs w:val="20"/>
        </w:rPr>
        <w:t>standardisierte</w:t>
      </w:r>
      <w:r w:rsidR="00AB5291">
        <w:rPr>
          <w:b w:val="0"/>
          <w:color w:val="000000" w:themeColor="text1"/>
          <w:sz w:val="20"/>
          <w:szCs w:val="20"/>
        </w:rPr>
        <w:t>n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AB5291">
        <w:rPr>
          <w:b w:val="0"/>
          <w:color w:val="000000" w:themeColor="text1"/>
          <w:sz w:val="20"/>
          <w:szCs w:val="20"/>
        </w:rPr>
        <w:t>Einsatz</w:t>
      </w:r>
      <w:r w:rsidRPr="00101794">
        <w:rPr>
          <w:b w:val="0"/>
          <w:color w:val="000000" w:themeColor="text1"/>
          <w:sz w:val="20"/>
          <w:szCs w:val="20"/>
        </w:rPr>
        <w:t xml:space="preserve"> und die Weiterentwicklung von Sicherheitskonzepten.</w:t>
      </w:r>
    </w:p>
    <w:p w14:paraId="3D2695CC" w14:textId="68DC291D" w:rsidR="00101794" w:rsidRP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Erweiterter Schutz bei Bedarf: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3E7F96">
        <w:rPr>
          <w:b w:val="0"/>
          <w:color w:val="000000" w:themeColor="text1"/>
          <w:sz w:val="20"/>
          <w:szCs w:val="20"/>
        </w:rPr>
        <w:t>Durch das</w:t>
      </w:r>
      <w:r w:rsidR="00B62F89">
        <w:rPr>
          <w:b w:val="0"/>
          <w:color w:val="000000" w:themeColor="text1"/>
          <w:sz w:val="20"/>
          <w:szCs w:val="20"/>
        </w:rPr>
        <w:t xml:space="preserve"> gestaffelte Preismodell </w:t>
      </w:r>
      <w:r w:rsidR="003E7F96">
        <w:rPr>
          <w:b w:val="0"/>
          <w:color w:val="000000" w:themeColor="text1"/>
          <w:sz w:val="20"/>
          <w:szCs w:val="20"/>
        </w:rPr>
        <w:t>können</w:t>
      </w:r>
      <w:r w:rsidR="00B62F89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B62F89">
        <w:rPr>
          <w:b w:val="0"/>
          <w:color w:val="000000" w:themeColor="text1"/>
          <w:sz w:val="20"/>
          <w:szCs w:val="20"/>
        </w:rPr>
        <w:t>Sicherheitsma</w:t>
      </w:r>
      <w:r w:rsidR="00B42729">
        <w:rPr>
          <w:b w:val="0"/>
          <w:color w:val="000000" w:themeColor="text1"/>
          <w:sz w:val="20"/>
          <w:szCs w:val="20"/>
        </w:rPr>
        <w:t>ss</w:t>
      </w:r>
      <w:r w:rsidR="00B62F89">
        <w:rPr>
          <w:b w:val="0"/>
          <w:color w:val="000000" w:themeColor="text1"/>
          <w:sz w:val="20"/>
          <w:szCs w:val="20"/>
        </w:rPr>
        <w:t>nahmen</w:t>
      </w:r>
      <w:proofErr w:type="spellEnd"/>
      <w:r w:rsidR="00B62F89">
        <w:rPr>
          <w:b w:val="0"/>
          <w:color w:val="000000" w:themeColor="text1"/>
          <w:sz w:val="20"/>
          <w:szCs w:val="20"/>
        </w:rPr>
        <w:t xml:space="preserve"> bed</w:t>
      </w:r>
      <w:r w:rsidR="006624DF">
        <w:rPr>
          <w:b w:val="0"/>
          <w:color w:val="000000" w:themeColor="text1"/>
          <w:sz w:val="20"/>
          <w:szCs w:val="20"/>
        </w:rPr>
        <w:t>arfs</w:t>
      </w:r>
      <w:r w:rsidR="00B62F89">
        <w:rPr>
          <w:b w:val="0"/>
          <w:color w:val="000000" w:themeColor="text1"/>
          <w:sz w:val="20"/>
          <w:szCs w:val="20"/>
        </w:rPr>
        <w:t xml:space="preserve">orientiert </w:t>
      </w:r>
      <w:r w:rsidR="003E7F96">
        <w:rPr>
          <w:b w:val="0"/>
          <w:color w:val="000000" w:themeColor="text1"/>
          <w:sz w:val="20"/>
          <w:szCs w:val="20"/>
        </w:rPr>
        <w:t>angepasst werden</w:t>
      </w:r>
      <w:r w:rsidR="00B62F89">
        <w:rPr>
          <w:b w:val="0"/>
          <w:color w:val="000000" w:themeColor="text1"/>
          <w:sz w:val="20"/>
          <w:szCs w:val="20"/>
        </w:rPr>
        <w:t xml:space="preserve">. </w:t>
      </w:r>
      <w:r w:rsidRPr="00101794">
        <w:rPr>
          <w:b w:val="0"/>
          <w:color w:val="000000" w:themeColor="text1"/>
          <w:sz w:val="20"/>
          <w:szCs w:val="20"/>
        </w:rPr>
        <w:t>Höhere Lizenzstufen bieten Zero-Trust-Anwendungskontrollen und erweiterte Analyse</w:t>
      </w:r>
      <w:r w:rsidR="00B62F89">
        <w:rPr>
          <w:b w:val="0"/>
          <w:color w:val="000000" w:themeColor="text1"/>
          <w:sz w:val="20"/>
          <w:szCs w:val="20"/>
        </w:rPr>
        <w:t xml:space="preserve">funktionen, um unbekannte Bedrohungen zu stoppen und die laterale Ausbreitung von Angreifern im Netzwerk zu begrenzen. </w:t>
      </w:r>
    </w:p>
    <w:p w14:paraId="17950766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603FEE4C" w14:textId="3996563D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AB5291">
        <w:rPr>
          <w:b w:val="0"/>
          <w:color w:val="000000" w:themeColor="text1"/>
          <w:sz w:val="20"/>
          <w:szCs w:val="20"/>
        </w:rPr>
        <w:t xml:space="preserve">Die Wirksamkeit von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 sollte nicht von </w:t>
      </w:r>
      <w:r w:rsidR="00B62F89">
        <w:rPr>
          <w:b w:val="0"/>
          <w:color w:val="000000" w:themeColor="text1"/>
          <w:sz w:val="20"/>
          <w:szCs w:val="20"/>
        </w:rPr>
        <w:t xml:space="preserve">der </w:t>
      </w:r>
      <w:proofErr w:type="spellStart"/>
      <w:r w:rsidR="00B62F89">
        <w:rPr>
          <w:b w:val="0"/>
          <w:color w:val="000000" w:themeColor="text1"/>
          <w:sz w:val="20"/>
          <w:szCs w:val="20"/>
        </w:rPr>
        <w:t>Grö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="00B62F89">
        <w:rPr>
          <w:b w:val="0"/>
          <w:color w:val="000000" w:themeColor="text1"/>
          <w:sz w:val="20"/>
          <w:szCs w:val="20"/>
        </w:rPr>
        <w:t>e</w:t>
      </w:r>
      <w:proofErr w:type="spellEnd"/>
      <w:r w:rsidR="00B62F89">
        <w:rPr>
          <w:b w:val="0"/>
          <w:color w:val="000000" w:themeColor="text1"/>
          <w:sz w:val="20"/>
          <w:szCs w:val="20"/>
        </w:rPr>
        <w:t xml:space="preserve"> eines</w:t>
      </w:r>
      <w:r w:rsidRPr="00101794">
        <w:rPr>
          <w:b w:val="0"/>
          <w:color w:val="000000" w:themeColor="text1"/>
          <w:sz w:val="20"/>
          <w:szCs w:val="20"/>
        </w:rPr>
        <w:t xml:space="preserve"> Teams oder Budgets abhängen“, ergänzt Andrew Young, Chief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Product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Officer bei WatchGuard Technologies. „</w:t>
      </w:r>
      <w:r w:rsidR="00AB5291">
        <w:rPr>
          <w:b w:val="0"/>
          <w:color w:val="000000" w:themeColor="text1"/>
          <w:sz w:val="20"/>
          <w:szCs w:val="20"/>
        </w:rPr>
        <w:t>MSP und IT-Teams</w:t>
      </w:r>
      <w:r w:rsidRPr="00101794">
        <w:rPr>
          <w:b w:val="0"/>
          <w:color w:val="000000" w:themeColor="text1"/>
          <w:sz w:val="20"/>
          <w:szCs w:val="20"/>
        </w:rPr>
        <w:t xml:space="preserve"> stehen</w:t>
      </w:r>
      <w:r w:rsidR="00AB5291">
        <w:rPr>
          <w:b w:val="0"/>
          <w:color w:val="000000" w:themeColor="text1"/>
          <w:sz w:val="20"/>
          <w:szCs w:val="20"/>
        </w:rPr>
        <w:t xml:space="preserve"> vor der Herausforderung</w:t>
      </w:r>
      <w:r w:rsidRPr="00101794">
        <w:rPr>
          <w:b w:val="0"/>
          <w:color w:val="000000" w:themeColor="text1"/>
          <w:sz w:val="20"/>
          <w:szCs w:val="20"/>
        </w:rPr>
        <w:t xml:space="preserve">, </w:t>
      </w:r>
      <w:r w:rsidR="00B62F89">
        <w:rPr>
          <w:b w:val="0"/>
          <w:color w:val="000000" w:themeColor="text1"/>
          <w:sz w:val="20"/>
          <w:szCs w:val="20"/>
        </w:rPr>
        <w:t xml:space="preserve">mit weniger Ressourcen einen stärkeren Schutz </w:t>
      </w:r>
      <w:r w:rsidRPr="00101794">
        <w:rPr>
          <w:b w:val="0"/>
          <w:color w:val="000000" w:themeColor="text1"/>
          <w:sz w:val="20"/>
          <w:szCs w:val="20"/>
        </w:rPr>
        <w:t xml:space="preserve">zu </w:t>
      </w:r>
      <w:r w:rsidR="00B62F89">
        <w:rPr>
          <w:b w:val="0"/>
          <w:color w:val="000000" w:themeColor="text1"/>
          <w:sz w:val="20"/>
          <w:szCs w:val="20"/>
        </w:rPr>
        <w:t>gewährleisten</w:t>
      </w:r>
      <w:r w:rsidRPr="00101794">
        <w:rPr>
          <w:b w:val="0"/>
          <w:color w:val="000000" w:themeColor="text1"/>
          <w:sz w:val="20"/>
          <w:szCs w:val="20"/>
        </w:rPr>
        <w:t xml:space="preserve">. </w:t>
      </w:r>
      <w:r w:rsidR="00B62F89">
        <w:rPr>
          <w:b w:val="0"/>
          <w:color w:val="000000" w:themeColor="text1"/>
          <w:sz w:val="20"/>
          <w:szCs w:val="20"/>
        </w:rPr>
        <w:t>Unser neues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B62F89">
        <w:rPr>
          <w:b w:val="0"/>
          <w:color w:val="000000" w:themeColor="text1"/>
          <w:sz w:val="20"/>
          <w:szCs w:val="20"/>
        </w:rPr>
        <w:t>Endpoint</w:t>
      </w:r>
      <w:proofErr w:type="spellEnd"/>
      <w:r w:rsidR="00B62F89">
        <w:rPr>
          <w:b w:val="0"/>
          <w:color w:val="000000" w:themeColor="text1"/>
          <w:sz w:val="20"/>
          <w:szCs w:val="20"/>
        </w:rPr>
        <w:t>-Security-</w:t>
      </w:r>
      <w:r w:rsidRPr="00101794">
        <w:rPr>
          <w:b w:val="0"/>
          <w:color w:val="000000" w:themeColor="text1"/>
          <w:sz w:val="20"/>
          <w:szCs w:val="20"/>
        </w:rPr>
        <w:t xml:space="preserve">Portfolio hilft dabei, </w:t>
      </w:r>
      <w:proofErr w:type="spellStart"/>
      <w:r w:rsidR="002F7A44">
        <w:rPr>
          <w:b w:val="0"/>
          <w:color w:val="000000" w:themeColor="text1"/>
          <w:sz w:val="20"/>
          <w:szCs w:val="20"/>
        </w:rPr>
        <w:t>Ma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="002F7A44">
        <w:rPr>
          <w:b w:val="0"/>
          <w:color w:val="000000" w:themeColor="text1"/>
          <w:sz w:val="20"/>
          <w:szCs w:val="20"/>
        </w:rPr>
        <w:t>nahmen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gezielt auszubauen, ohne zusätzliche Komplexität zu schaffen.“</w:t>
      </w:r>
    </w:p>
    <w:p w14:paraId="67F559FE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2FFB645B" w14:textId="49DA368E" w:rsidR="00B003E5" w:rsidRPr="00F5405E" w:rsidRDefault="00B003E5" w:rsidP="00101794">
      <w:pPr>
        <w:pStyle w:val="Textkrper"/>
        <w:spacing w:line="288" w:lineRule="auto"/>
        <w:ind w:right="850"/>
        <w:rPr>
          <w:bCs/>
          <w:color w:val="000000" w:themeColor="text1"/>
          <w:sz w:val="20"/>
          <w:szCs w:val="20"/>
        </w:rPr>
      </w:pPr>
      <w:r w:rsidRPr="00F5405E">
        <w:rPr>
          <w:bCs/>
          <w:color w:val="000000" w:themeColor="text1"/>
          <w:sz w:val="20"/>
          <w:szCs w:val="20"/>
        </w:rPr>
        <w:t>Versch</w:t>
      </w:r>
      <w:r w:rsidR="00191FE1">
        <w:rPr>
          <w:bCs/>
          <w:color w:val="000000" w:themeColor="text1"/>
          <w:sz w:val="20"/>
          <w:szCs w:val="20"/>
        </w:rPr>
        <w:t>är</w:t>
      </w:r>
      <w:r w:rsidRPr="00F5405E">
        <w:rPr>
          <w:bCs/>
          <w:color w:val="000000" w:themeColor="text1"/>
          <w:sz w:val="20"/>
          <w:szCs w:val="20"/>
        </w:rPr>
        <w:t>fte Bedrohungslage</w:t>
      </w:r>
      <w:r>
        <w:rPr>
          <w:bCs/>
          <w:color w:val="000000" w:themeColor="text1"/>
          <w:sz w:val="20"/>
          <w:szCs w:val="20"/>
        </w:rPr>
        <w:t xml:space="preserve"> erhöht Handlungsdruck</w:t>
      </w:r>
    </w:p>
    <w:p w14:paraId="3978747E" w14:textId="560FD88C" w:rsidR="00101794" w:rsidRPr="00101794" w:rsidRDefault="00AB5291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hyperlink r:id="rId8" w:history="1">
        <w:r>
          <w:rPr>
            <w:rStyle w:val="Hyperlink"/>
            <w:b w:val="0"/>
            <w:sz w:val="20"/>
            <w:szCs w:val="20"/>
          </w:rPr>
          <w:t>Untersuchungen</w:t>
        </w:r>
        <w:r w:rsidR="00101794" w:rsidRPr="00AB5291">
          <w:rPr>
            <w:rStyle w:val="Hyperlink"/>
            <w:b w:val="0"/>
            <w:sz w:val="20"/>
            <w:szCs w:val="20"/>
          </w:rPr>
          <w:t xml:space="preserve"> des WatchGuard </w:t>
        </w:r>
        <w:proofErr w:type="spellStart"/>
        <w:r w:rsidR="00101794" w:rsidRPr="00AB5291">
          <w:rPr>
            <w:rStyle w:val="Hyperlink"/>
            <w:b w:val="0"/>
            <w:sz w:val="20"/>
            <w:szCs w:val="20"/>
          </w:rPr>
          <w:t>Threat</w:t>
        </w:r>
        <w:proofErr w:type="spellEnd"/>
        <w:r w:rsidR="00101794" w:rsidRPr="00AB5291">
          <w:rPr>
            <w:rStyle w:val="Hyperlink"/>
            <w:b w:val="0"/>
            <w:sz w:val="20"/>
            <w:szCs w:val="20"/>
          </w:rPr>
          <w:t xml:space="preserve"> Labs</w:t>
        </w:r>
      </w:hyperlink>
      <w:r w:rsidR="00101794" w:rsidRPr="00101794">
        <w:rPr>
          <w:b w:val="0"/>
          <w:color w:val="000000" w:themeColor="text1"/>
          <w:sz w:val="20"/>
          <w:szCs w:val="20"/>
        </w:rPr>
        <w:t xml:space="preserve"> zeigen einen Anstieg neuer </w:t>
      </w:r>
      <w:r w:rsidR="00C82E98">
        <w:rPr>
          <w:b w:val="0"/>
          <w:color w:val="000000" w:themeColor="text1"/>
          <w:sz w:val="20"/>
          <w:szCs w:val="20"/>
        </w:rPr>
        <w:t>Endpoint</w:t>
      </w:r>
      <w:r w:rsidR="00486817">
        <w:rPr>
          <w:b w:val="0"/>
          <w:color w:val="000000" w:themeColor="text1"/>
          <w:sz w:val="20"/>
          <w:szCs w:val="20"/>
        </w:rPr>
        <w:t>-</w:t>
      </w:r>
      <w:r w:rsidR="00101794" w:rsidRPr="00101794">
        <w:rPr>
          <w:b w:val="0"/>
          <w:color w:val="000000" w:themeColor="text1"/>
          <w:sz w:val="20"/>
          <w:szCs w:val="20"/>
        </w:rPr>
        <w:t>Malware-Varianten um</w:t>
      </w:r>
      <w:r w:rsidR="00C90373">
        <w:rPr>
          <w:b w:val="0"/>
          <w:color w:val="000000" w:themeColor="text1"/>
          <w:sz w:val="20"/>
          <w:szCs w:val="20"/>
        </w:rPr>
        <w:t xml:space="preserve"> mehr als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1.500 Prozent – ein deutliches Signal für den Bedarf </w:t>
      </w:r>
      <w:r w:rsidR="00AC4379">
        <w:rPr>
          <w:b w:val="0"/>
          <w:color w:val="000000" w:themeColor="text1"/>
          <w:sz w:val="20"/>
          <w:szCs w:val="20"/>
        </w:rPr>
        <w:t>an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automatisierten, daten</w:t>
      </w:r>
      <w:r w:rsidR="00860F3C">
        <w:rPr>
          <w:b w:val="0"/>
          <w:color w:val="000000" w:themeColor="text1"/>
          <w:sz w:val="20"/>
          <w:szCs w:val="20"/>
        </w:rPr>
        <w:t>getriebenen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Schutzmechanismen. Gleichzeitig sind viele fortschrittliche Lösungen nach wie vor zu teuer oder zu komplex</w:t>
      </w:r>
      <w:r w:rsidR="00860F3C">
        <w:rPr>
          <w:b w:val="0"/>
          <w:color w:val="000000" w:themeColor="text1"/>
          <w:sz w:val="20"/>
          <w:szCs w:val="20"/>
        </w:rPr>
        <w:t xml:space="preserve">, um sie in </w:t>
      </w:r>
      <w:proofErr w:type="spellStart"/>
      <w:r w:rsidR="00860F3C">
        <w:rPr>
          <w:b w:val="0"/>
          <w:color w:val="000000" w:themeColor="text1"/>
          <w:sz w:val="20"/>
          <w:szCs w:val="20"/>
        </w:rPr>
        <w:t>gro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="00860F3C">
        <w:rPr>
          <w:b w:val="0"/>
          <w:color w:val="000000" w:themeColor="text1"/>
          <w:sz w:val="20"/>
          <w:szCs w:val="20"/>
        </w:rPr>
        <w:t>em</w:t>
      </w:r>
      <w:proofErr w:type="spellEnd"/>
      <w:r w:rsidR="00860F3C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860F3C">
        <w:rPr>
          <w:b w:val="0"/>
          <w:color w:val="000000" w:themeColor="text1"/>
          <w:sz w:val="20"/>
          <w:szCs w:val="20"/>
        </w:rPr>
        <w:t>Ma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="00860F3C">
        <w:rPr>
          <w:b w:val="0"/>
          <w:color w:val="000000" w:themeColor="text1"/>
          <w:sz w:val="20"/>
          <w:szCs w:val="20"/>
        </w:rPr>
        <w:t>stab</w:t>
      </w:r>
      <w:proofErr w:type="spellEnd"/>
      <w:r w:rsidR="00860F3C">
        <w:rPr>
          <w:b w:val="0"/>
          <w:color w:val="000000" w:themeColor="text1"/>
          <w:sz w:val="20"/>
          <w:szCs w:val="20"/>
        </w:rPr>
        <w:t xml:space="preserve"> zu betreiben</w:t>
      </w:r>
      <w:r w:rsidR="00101794" w:rsidRPr="00101794">
        <w:rPr>
          <w:b w:val="0"/>
          <w:color w:val="000000" w:themeColor="text1"/>
          <w:sz w:val="20"/>
          <w:szCs w:val="20"/>
        </w:rPr>
        <w:t>.</w:t>
      </w:r>
      <w:r w:rsidR="00860F3C">
        <w:rPr>
          <w:b w:val="0"/>
          <w:color w:val="000000" w:themeColor="text1"/>
          <w:sz w:val="20"/>
          <w:szCs w:val="20"/>
        </w:rPr>
        <w:t xml:space="preserve">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Das neue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="00101794" w:rsidRPr="00101794">
        <w:rPr>
          <w:b w:val="0"/>
          <w:color w:val="000000" w:themeColor="text1"/>
          <w:sz w:val="20"/>
          <w:szCs w:val="20"/>
        </w:rPr>
        <w:t xml:space="preserve">-Security-Portfolio </w:t>
      </w:r>
      <w:r w:rsidR="00B003E5">
        <w:rPr>
          <w:b w:val="0"/>
          <w:color w:val="000000" w:themeColor="text1"/>
          <w:sz w:val="20"/>
          <w:szCs w:val="20"/>
        </w:rPr>
        <w:t>von WatchGuard schlägt hier die Brücke</w:t>
      </w:r>
      <w:r w:rsidR="00101794" w:rsidRPr="00101794">
        <w:rPr>
          <w:b w:val="0"/>
          <w:color w:val="000000" w:themeColor="text1"/>
          <w:sz w:val="20"/>
          <w:szCs w:val="20"/>
        </w:rPr>
        <w:t>, indem es Prävention, Erkennung und Reaktion in einer zentralen Plattform vereint, die sich einfach verwalten lässt.</w:t>
      </w:r>
    </w:p>
    <w:p w14:paraId="5D19D56C" w14:textId="77777777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31D6D4C" w14:textId="41229911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860F3C">
        <w:rPr>
          <w:b w:val="0"/>
          <w:color w:val="000000" w:themeColor="text1"/>
          <w:sz w:val="20"/>
          <w:szCs w:val="20"/>
        </w:rPr>
        <w:t>Mittelständische Unternehmen</w:t>
      </w:r>
      <w:r w:rsidRPr="00101794">
        <w:rPr>
          <w:b w:val="0"/>
          <w:color w:val="000000" w:themeColor="text1"/>
          <w:sz w:val="20"/>
          <w:szCs w:val="20"/>
        </w:rPr>
        <w:t xml:space="preserve"> sind heute mit Bedrohungen konfrontiert, die bislang vor allem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gro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Pr="00101794">
        <w:rPr>
          <w:b w:val="0"/>
          <w:color w:val="000000" w:themeColor="text1"/>
          <w:sz w:val="20"/>
          <w:szCs w:val="20"/>
        </w:rPr>
        <w:t>e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Organisationen betrafen – verfügen jedoch oft nicht über vergleichbare Ressourcen“, sagt Jay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McBain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, Chief Analyst bei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Omdia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. „Plattformen, die Prävention, Erkennung und Reaktion zusammenführen und gleichzeitig die Verwaltung vereinfachen, sind entscheidend, um diese Lücke zu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schlie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Pr="00101794">
        <w:rPr>
          <w:b w:val="0"/>
          <w:color w:val="000000" w:themeColor="text1"/>
          <w:sz w:val="20"/>
          <w:szCs w:val="20"/>
        </w:rPr>
        <w:t>en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>.“</w:t>
      </w:r>
    </w:p>
    <w:p w14:paraId="5AF6C703" w14:textId="77777777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5F885CC6" w14:textId="36501E11" w:rsidR="00860F3C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Mit dem neuen Portfolio setzt WatchGuard einen klaren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Ma</w:t>
      </w:r>
      <w:r w:rsidR="00A31494">
        <w:rPr>
          <w:b w:val="0"/>
          <w:color w:val="000000" w:themeColor="text1"/>
          <w:sz w:val="20"/>
          <w:szCs w:val="20"/>
        </w:rPr>
        <w:t>ss</w:t>
      </w:r>
      <w:r w:rsidRPr="00101794">
        <w:rPr>
          <w:b w:val="0"/>
          <w:color w:val="000000" w:themeColor="text1"/>
          <w:sz w:val="20"/>
          <w:szCs w:val="20"/>
        </w:rPr>
        <w:t>stab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für moderne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-Sicherheit: zugänglich, skalierbar und auf die Anforderungen heutiger IT-Umgebungen ausgelegt. </w:t>
      </w:r>
    </w:p>
    <w:p w14:paraId="1BE0DE08" w14:textId="77777777" w:rsidR="00860F3C" w:rsidRDefault="00860F3C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387D8470" w14:textId="6D1DC497" w:rsidR="0071660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Weitere Informationen dazu, wie WatchGuard Unternehmen dabei unterstützt,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 zu vereinfachen und zu skalieren, </w:t>
      </w:r>
      <w:r w:rsidR="00860F3C">
        <w:rPr>
          <w:b w:val="0"/>
          <w:color w:val="000000" w:themeColor="text1"/>
          <w:sz w:val="20"/>
          <w:szCs w:val="20"/>
        </w:rPr>
        <w:t xml:space="preserve">stehen online zur Verfügung: </w:t>
      </w:r>
      <w:hyperlink r:id="rId9" w:history="1">
        <w:r w:rsidR="00860F3C" w:rsidRPr="00127E00">
          <w:rPr>
            <w:rStyle w:val="Hyperlink"/>
            <w:b w:val="0"/>
            <w:sz w:val="20"/>
            <w:szCs w:val="20"/>
          </w:rPr>
          <w:t xml:space="preserve">WatchGuard </w:t>
        </w:r>
        <w:proofErr w:type="spellStart"/>
        <w:r w:rsidR="00860F3C" w:rsidRPr="00127E00">
          <w:rPr>
            <w:rStyle w:val="Hyperlink"/>
            <w:b w:val="0"/>
            <w:sz w:val="20"/>
            <w:szCs w:val="20"/>
          </w:rPr>
          <w:t>Endpoint</w:t>
        </w:r>
        <w:proofErr w:type="spellEnd"/>
        <w:r w:rsidR="00860F3C" w:rsidRPr="00127E00">
          <w:rPr>
            <w:rStyle w:val="Hyperlink"/>
            <w:b w:val="0"/>
            <w:sz w:val="20"/>
            <w:szCs w:val="20"/>
          </w:rPr>
          <w:t xml:space="preserve"> Security</w:t>
        </w:r>
      </w:hyperlink>
      <w:r w:rsidR="00860F3C">
        <w:rPr>
          <w:b w:val="0"/>
          <w:color w:val="000000" w:themeColor="text1"/>
          <w:sz w:val="20"/>
          <w:szCs w:val="20"/>
        </w:rPr>
        <w:t>.</w:t>
      </w:r>
    </w:p>
    <w:p w14:paraId="0722CB0A" w14:textId="77777777" w:rsidR="00AB5291" w:rsidRDefault="00AB5291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5912142B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259CA0EC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2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</w:tblGrid>
      <w:tr w:rsidR="00716604" w:rsidRPr="00990C68" w14:paraId="1501ED03" w14:textId="77777777" w:rsidTr="00716604">
        <w:trPr>
          <w:trHeight w:val="1957"/>
        </w:trPr>
        <w:tc>
          <w:tcPr>
            <w:tcW w:w="2405" w:type="dxa"/>
          </w:tcPr>
          <w:p w14:paraId="04D63569" w14:textId="77777777" w:rsidR="00716604" w:rsidRPr="00990C68" w:rsidRDefault="00716604" w:rsidP="00C00FE9">
            <w:pPr>
              <w:pStyle w:val="Kopfzeile"/>
              <w:ind w:right="-141"/>
            </w:pPr>
          </w:p>
          <w:p w14:paraId="28CBAF0C" w14:textId="77777777" w:rsidR="00716604" w:rsidRPr="00990C68" w:rsidRDefault="00716604" w:rsidP="00C00FE9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81D433B" wp14:editId="15A9392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</w:tr>
      <w:tr w:rsidR="00716604" w:rsidRPr="00990C68" w14:paraId="3251BF2B" w14:textId="77777777" w:rsidTr="00716604">
        <w:trPr>
          <w:trHeight w:val="536"/>
        </w:trPr>
        <w:tc>
          <w:tcPr>
            <w:tcW w:w="2405" w:type="dxa"/>
          </w:tcPr>
          <w:p w14:paraId="05EE5274" w14:textId="77777777" w:rsidR="00716604" w:rsidRPr="00990C68" w:rsidRDefault="00716604" w:rsidP="00C00F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</w:tr>
    </w:tbl>
    <w:p w14:paraId="051FB489" w14:textId="77777777" w:rsidR="00716604" w:rsidRPr="00990C68" w:rsidRDefault="00716604" w:rsidP="00716604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2C5D8C11" w14:textId="77777777" w:rsidR="00716604" w:rsidRPr="00990C68" w:rsidRDefault="00716604" w:rsidP="00716604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1BD326AB" w14:textId="77777777" w:rsidR="00716604" w:rsidRPr="00990C68" w:rsidRDefault="00716604" w:rsidP="00716604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0E7F3455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075BEC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25E4BA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689BE49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559DD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895C243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8B04BB" w14:textId="77777777" w:rsidR="00716604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6149CA" w14:textId="3C253753" w:rsidR="00844FC6" w:rsidRPr="00990C68" w:rsidRDefault="00716604" w:rsidP="00F5405E">
      <w:pPr>
        <w:spacing w:line="288" w:lineRule="auto"/>
      </w:pP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1" w:history="1">
        <w:r w:rsidRPr="00853609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proofErr w:type="spellStart"/>
      <w:r w:rsidR="009B181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9B181D"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12" w:history="1">
        <w:r w:rsidR="009B181D" w:rsidRPr="008A2238">
          <w:rPr>
            <w:rStyle w:val="Hyperlink"/>
            <w:rFonts w:ascii="Helvetica" w:hAnsi="Helvetica"/>
            <w:sz w:val="20"/>
            <w:szCs w:val="20"/>
          </w:rPr>
          <w:t>nis@press-n-relations.de</w:t>
        </w:r>
      </w:hyperlink>
    </w:p>
    <w:p w14:paraId="073AB0A5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387F0E48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A31494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C609E" w14:textId="77777777" w:rsidR="00D332F2" w:rsidRDefault="00D332F2">
      <w:r>
        <w:separator/>
      </w:r>
    </w:p>
  </w:endnote>
  <w:endnote w:type="continuationSeparator" w:id="0">
    <w:p w14:paraId="7EAEB9EB" w14:textId="77777777" w:rsidR="00D332F2" w:rsidRDefault="00D3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FAC97" w14:textId="77777777" w:rsidR="00D332F2" w:rsidRDefault="00D332F2">
      <w:r>
        <w:separator/>
      </w:r>
    </w:p>
  </w:footnote>
  <w:footnote w:type="continuationSeparator" w:id="0">
    <w:p w14:paraId="4297AFCB" w14:textId="77777777" w:rsidR="00D332F2" w:rsidRDefault="00D33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1EB"/>
    <w:rsid w:val="002044D9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784"/>
    <w:rsid w:val="0081080F"/>
    <w:rsid w:val="008114A1"/>
    <w:rsid w:val="00811AB7"/>
    <w:rsid w:val="00814BC5"/>
    <w:rsid w:val="00814BD0"/>
    <w:rsid w:val="0081544B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494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729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11E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2F2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1B9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B99"/>
    <w:rsid w:val="00F71F03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ecurity-hub/internet-security-report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hyperlink" Target="mailto:nis@press-n-relations.de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de/instance/ko/Willkommen.xhtml?oid=1904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endpoint-detection-and-response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1205</Words>
  <Characters>7595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8783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32</cp:revision>
  <cp:lastPrinted>2025-10-14T10:06:00Z</cp:lastPrinted>
  <dcterms:created xsi:type="dcterms:W3CDTF">2026-03-31T10:15:00Z</dcterms:created>
  <dcterms:modified xsi:type="dcterms:W3CDTF">2026-04-08T07:30:00Z</dcterms:modified>
  <cp:category/>
</cp:coreProperties>
</file>