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77777777" w:rsidR="005D3D1E" w:rsidRPr="000655B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Berlin/Backnang</w:t>
      </w:r>
      <w:r w:rsidRPr="000655B7">
        <w:rPr>
          <w:rFonts w:ascii="Arial" w:hAnsi="Arial" w:cs="Arial"/>
          <w:color w:val="000000"/>
        </w:rPr>
        <w:t xml:space="preserve">, </w:t>
      </w:r>
      <w:r>
        <w:rPr>
          <w:rFonts w:ascii="Arial" w:hAnsi="Arial" w:cs="Arial"/>
          <w:color w:val="000000"/>
        </w:rPr>
        <w:t>11</w:t>
      </w:r>
      <w:r w:rsidRPr="000655B7">
        <w:rPr>
          <w:rFonts w:ascii="Arial" w:hAnsi="Arial" w:cs="Arial"/>
          <w:color w:val="000000"/>
        </w:rPr>
        <w:t xml:space="preserve">. </w:t>
      </w:r>
      <w:r>
        <w:rPr>
          <w:rFonts w:ascii="Arial" w:hAnsi="Arial" w:cs="Arial"/>
          <w:color w:val="000000"/>
        </w:rPr>
        <w:t>Dezember</w:t>
      </w:r>
      <w:r w:rsidRPr="000655B7">
        <w:rPr>
          <w:rFonts w:ascii="Arial" w:hAnsi="Arial" w:cs="Arial"/>
          <w:color w:val="000000"/>
        </w:rPr>
        <w:t xml:space="preserve"> 201</w:t>
      </w:r>
      <w:r>
        <w:rPr>
          <w:rFonts w:ascii="Arial" w:hAnsi="Arial" w:cs="Arial"/>
          <w:color w:val="000000"/>
        </w:rPr>
        <w:t>8</w:t>
      </w:r>
    </w:p>
    <w:p w14:paraId="3A8B5942" w14:textId="77777777" w:rsidR="005D3D1E" w:rsidRPr="000655B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0655B7" w:rsidRDefault="005D3D1E" w:rsidP="005D3D1E">
      <w:pPr>
        <w:autoSpaceDE w:val="0"/>
        <w:autoSpaceDN w:val="0"/>
        <w:adjustRightInd w:val="0"/>
        <w:spacing w:after="0" w:line="360" w:lineRule="auto"/>
        <w:rPr>
          <w:rFonts w:ascii="Arial" w:hAnsi="Arial" w:cs="Arial"/>
          <w:color w:val="000000"/>
          <w:sz w:val="20"/>
          <w:szCs w:val="20"/>
        </w:rPr>
      </w:pPr>
    </w:p>
    <w:p w14:paraId="105E7BD4" w14:textId="23D448C1" w:rsidR="005D3D1E" w:rsidRDefault="005D3D1E" w:rsidP="005D3D1E">
      <w:pPr>
        <w:autoSpaceDE w:val="0"/>
        <w:autoSpaceDN w:val="0"/>
        <w:adjustRightInd w:val="0"/>
        <w:spacing w:after="0" w:line="360" w:lineRule="auto"/>
        <w:ind w:right="-1984"/>
        <w:rPr>
          <w:rFonts w:ascii="Arial" w:hAnsi="Arial" w:cs="Arial"/>
          <w:b/>
          <w:color w:val="000000"/>
          <w:sz w:val="28"/>
          <w:szCs w:val="28"/>
        </w:rPr>
      </w:pPr>
      <w:proofErr w:type="spellStart"/>
      <w:r>
        <w:rPr>
          <w:rFonts w:ascii="Arial" w:hAnsi="Arial" w:cs="Arial"/>
          <w:b/>
          <w:color w:val="000000"/>
          <w:sz w:val="28"/>
          <w:szCs w:val="28"/>
        </w:rPr>
        <w:t>tktVivax</w:t>
      </w:r>
      <w:proofErr w:type="spellEnd"/>
      <w:r>
        <w:rPr>
          <w:rFonts w:ascii="Arial" w:hAnsi="Arial" w:cs="Arial"/>
          <w:b/>
          <w:color w:val="000000"/>
          <w:sz w:val="28"/>
          <w:szCs w:val="28"/>
        </w:rPr>
        <w:t xml:space="preserve">: Digitalisierung von der Fördermittelberatung </w:t>
      </w:r>
      <w:r w:rsidR="00427AD2">
        <w:rPr>
          <w:rFonts w:ascii="Arial" w:hAnsi="Arial" w:cs="Arial"/>
          <w:b/>
          <w:color w:val="000000"/>
          <w:sz w:val="28"/>
          <w:szCs w:val="28"/>
        </w:rPr>
        <w:br/>
      </w:r>
      <w:r>
        <w:rPr>
          <w:rFonts w:ascii="Arial" w:hAnsi="Arial" w:cs="Arial"/>
          <w:b/>
          <w:color w:val="000000"/>
          <w:sz w:val="28"/>
          <w:szCs w:val="28"/>
        </w:rPr>
        <w:t>bis zur Projektumsetzung</w:t>
      </w:r>
    </w:p>
    <w:p w14:paraId="13C12000" w14:textId="77777777" w:rsidR="005D3D1E" w:rsidRPr="0098474D" w:rsidRDefault="005D3D1E" w:rsidP="005D3D1E">
      <w:pPr>
        <w:autoSpaceDE w:val="0"/>
        <w:autoSpaceDN w:val="0"/>
        <w:adjustRightInd w:val="0"/>
        <w:spacing w:after="0" w:line="360" w:lineRule="auto"/>
        <w:ind w:right="-1984"/>
        <w:rPr>
          <w:rFonts w:ascii="Arial" w:hAnsi="Arial" w:cs="Arial"/>
          <w:b/>
          <w:color w:val="000000"/>
          <w:sz w:val="28"/>
          <w:szCs w:val="28"/>
        </w:rPr>
      </w:pPr>
      <w:r>
        <w:rPr>
          <w:rFonts w:ascii="Arial" w:hAnsi="Arial" w:cs="Tahoma"/>
          <w:sz w:val="20"/>
          <w:szCs w:val="20"/>
        </w:rPr>
        <w:t xml:space="preserve">Fusion von </w:t>
      </w:r>
      <w:proofErr w:type="spellStart"/>
      <w:r w:rsidRPr="0098474D">
        <w:rPr>
          <w:rFonts w:ascii="Arial" w:hAnsi="Arial" w:cs="Tahoma"/>
          <w:sz w:val="20"/>
          <w:szCs w:val="20"/>
        </w:rPr>
        <w:t>tkt</w:t>
      </w:r>
      <w:proofErr w:type="spellEnd"/>
      <w:r w:rsidRPr="0098474D">
        <w:rPr>
          <w:rFonts w:ascii="Arial" w:hAnsi="Arial" w:cs="Tahoma"/>
          <w:sz w:val="20"/>
          <w:szCs w:val="20"/>
        </w:rPr>
        <w:t xml:space="preserve"> </w:t>
      </w:r>
      <w:proofErr w:type="spellStart"/>
      <w:r w:rsidRPr="0098474D">
        <w:rPr>
          <w:rFonts w:ascii="Arial" w:hAnsi="Arial" w:cs="Tahoma"/>
          <w:sz w:val="20"/>
          <w:szCs w:val="20"/>
        </w:rPr>
        <w:t>teleconsult</w:t>
      </w:r>
      <w:proofErr w:type="spellEnd"/>
      <w:r>
        <w:rPr>
          <w:rFonts w:ascii="Arial" w:hAnsi="Arial" w:cs="Tahoma"/>
          <w:sz w:val="20"/>
          <w:szCs w:val="20"/>
        </w:rPr>
        <w:t xml:space="preserve"> </w:t>
      </w:r>
      <w:r w:rsidRPr="0098474D">
        <w:rPr>
          <w:rFonts w:ascii="Arial" w:hAnsi="Arial" w:cs="Tahoma"/>
          <w:sz w:val="20"/>
          <w:szCs w:val="20"/>
        </w:rPr>
        <w:t>Kommunikationstechnik</w:t>
      </w:r>
      <w:r>
        <w:rPr>
          <w:rFonts w:ascii="Arial" w:hAnsi="Arial" w:cs="Tahoma"/>
          <w:sz w:val="20"/>
          <w:szCs w:val="20"/>
        </w:rPr>
        <w:t xml:space="preserve"> GmbH, Backnang, und </w:t>
      </w:r>
      <w:proofErr w:type="spellStart"/>
      <w:r>
        <w:rPr>
          <w:rFonts w:ascii="Arial" w:hAnsi="Arial" w:cs="Tahoma"/>
          <w:sz w:val="20"/>
          <w:szCs w:val="20"/>
        </w:rPr>
        <w:t>Vivax</w:t>
      </w:r>
      <w:proofErr w:type="spellEnd"/>
      <w:r>
        <w:rPr>
          <w:rFonts w:ascii="Arial" w:hAnsi="Arial" w:cs="Tahoma"/>
          <w:sz w:val="20"/>
          <w:szCs w:val="20"/>
        </w:rPr>
        <w:t xml:space="preserve"> GmbH, Berlin</w:t>
      </w:r>
    </w:p>
    <w:p w14:paraId="72F56B60" w14:textId="77777777" w:rsidR="005D3D1E" w:rsidRPr="000655B7" w:rsidRDefault="005D3D1E" w:rsidP="005D3D1E">
      <w:pPr>
        <w:autoSpaceDE w:val="0"/>
        <w:autoSpaceDN w:val="0"/>
        <w:adjustRightInd w:val="0"/>
        <w:spacing w:after="0" w:line="360" w:lineRule="auto"/>
        <w:rPr>
          <w:rFonts w:ascii="Arial" w:hAnsi="Arial" w:cs="Arial"/>
          <w:color w:val="000000"/>
          <w:sz w:val="20"/>
          <w:szCs w:val="20"/>
        </w:rPr>
      </w:pPr>
    </w:p>
    <w:p w14:paraId="4C2537BD" w14:textId="3CA0DCA8" w:rsidR="005D3D1E" w:rsidRPr="00465CBB" w:rsidRDefault="005D3D1E" w:rsidP="005D3D1E">
      <w:pPr>
        <w:spacing w:line="360" w:lineRule="auto"/>
        <w:rPr>
          <w:rFonts w:ascii="Arial" w:hAnsi="Arial" w:cs="Tahoma"/>
          <w:b/>
          <w:bCs/>
          <w:sz w:val="20"/>
          <w:szCs w:val="20"/>
        </w:rPr>
      </w:pPr>
      <w:r w:rsidRPr="00465CBB">
        <w:rPr>
          <w:rFonts w:ascii="Arial" w:hAnsi="Arial" w:cs="Tahoma"/>
          <w:b/>
          <w:bCs/>
          <w:sz w:val="20"/>
          <w:szCs w:val="20"/>
        </w:rPr>
        <w:t xml:space="preserve">Von der </w:t>
      </w:r>
      <w:r>
        <w:rPr>
          <w:rFonts w:ascii="Arial" w:hAnsi="Arial" w:cs="Tahoma"/>
          <w:b/>
          <w:bCs/>
          <w:sz w:val="20"/>
          <w:szCs w:val="20"/>
        </w:rPr>
        <w:t>Analyse</w:t>
      </w:r>
      <w:r w:rsidRPr="006563BE">
        <w:rPr>
          <w:rFonts w:ascii="Arial" w:hAnsi="Arial" w:cs="Tahoma"/>
          <w:b/>
          <w:bCs/>
          <w:sz w:val="20"/>
          <w:szCs w:val="20"/>
        </w:rPr>
        <w:t xml:space="preserve"> und</w:t>
      </w:r>
      <w:r w:rsidRPr="00465CBB">
        <w:rPr>
          <w:rFonts w:ascii="Arial" w:hAnsi="Arial" w:cs="Tahoma"/>
          <w:b/>
          <w:bCs/>
          <w:sz w:val="20"/>
          <w:szCs w:val="20"/>
        </w:rPr>
        <w:t xml:space="preserve"> Fördermittelberatung</w:t>
      </w:r>
      <w:r w:rsidRPr="006563BE">
        <w:rPr>
          <w:rFonts w:ascii="Arial" w:hAnsi="Arial" w:cs="Tahoma"/>
          <w:b/>
          <w:bCs/>
          <w:sz w:val="20"/>
          <w:szCs w:val="20"/>
        </w:rPr>
        <w:t xml:space="preserve"> über die</w:t>
      </w:r>
      <w:r>
        <w:rPr>
          <w:rFonts w:ascii="Arial" w:hAnsi="Arial" w:cs="Tahoma"/>
          <w:b/>
          <w:bCs/>
          <w:sz w:val="20"/>
          <w:szCs w:val="20"/>
        </w:rPr>
        <w:t xml:space="preserve"> Strategiefindung und</w:t>
      </w:r>
      <w:r w:rsidRPr="00465CBB">
        <w:rPr>
          <w:rFonts w:ascii="Arial" w:hAnsi="Arial" w:cs="Tahoma"/>
          <w:b/>
          <w:bCs/>
          <w:sz w:val="20"/>
          <w:szCs w:val="20"/>
        </w:rPr>
        <w:t xml:space="preserve"> </w:t>
      </w:r>
      <w:r>
        <w:rPr>
          <w:rFonts w:ascii="Arial" w:hAnsi="Arial" w:cs="Tahoma"/>
          <w:b/>
          <w:bCs/>
          <w:sz w:val="20"/>
          <w:szCs w:val="20"/>
        </w:rPr>
        <w:t>G</w:t>
      </w:r>
      <w:r w:rsidRPr="00465CBB">
        <w:rPr>
          <w:rFonts w:ascii="Arial" w:hAnsi="Arial" w:cs="Tahoma"/>
          <w:b/>
          <w:bCs/>
          <w:sz w:val="20"/>
          <w:szCs w:val="20"/>
        </w:rPr>
        <w:t>estaltung von Prozessen und Organisationen bis hin zur Planungs- und Umsetzungsbegleitung</w:t>
      </w:r>
      <w:r w:rsidRPr="006563BE">
        <w:rPr>
          <w:rFonts w:ascii="Arial" w:hAnsi="Arial" w:cs="Tahoma"/>
          <w:b/>
          <w:bCs/>
          <w:sz w:val="20"/>
          <w:szCs w:val="20"/>
        </w:rPr>
        <w:t xml:space="preserve">: Die neuformierte </w:t>
      </w:r>
      <w:proofErr w:type="spellStart"/>
      <w:r w:rsidRPr="006563BE">
        <w:rPr>
          <w:rFonts w:ascii="Arial" w:hAnsi="Arial" w:cs="Tahoma"/>
          <w:b/>
          <w:bCs/>
          <w:sz w:val="20"/>
          <w:szCs w:val="20"/>
        </w:rPr>
        <w:t>tktVivax</w:t>
      </w:r>
      <w:proofErr w:type="spellEnd"/>
      <w:r w:rsidRPr="006563BE">
        <w:rPr>
          <w:rFonts w:ascii="Arial" w:hAnsi="Arial" w:cs="Tahoma"/>
          <w:b/>
          <w:bCs/>
          <w:sz w:val="20"/>
          <w:szCs w:val="20"/>
        </w:rPr>
        <w:t xml:space="preserve"> GmbH</w:t>
      </w:r>
      <w:r>
        <w:rPr>
          <w:rFonts w:ascii="Arial" w:hAnsi="Arial" w:cs="Tahoma"/>
          <w:b/>
          <w:bCs/>
          <w:sz w:val="20"/>
          <w:szCs w:val="20"/>
        </w:rPr>
        <w:t xml:space="preserve"> </w:t>
      </w:r>
      <w:r w:rsidR="00427AD2">
        <w:rPr>
          <w:rFonts w:ascii="Arial" w:hAnsi="Arial" w:cs="Tahoma"/>
          <w:b/>
          <w:bCs/>
          <w:sz w:val="20"/>
          <w:szCs w:val="20"/>
        </w:rPr>
        <w:t xml:space="preserve">mit dem künftigen Sitz in Berlin </w:t>
      </w:r>
      <w:r w:rsidRPr="006563BE">
        <w:rPr>
          <w:rFonts w:ascii="Arial" w:hAnsi="Arial" w:cs="Tahoma"/>
          <w:b/>
          <w:bCs/>
          <w:sz w:val="20"/>
          <w:szCs w:val="20"/>
        </w:rPr>
        <w:t xml:space="preserve">unterstützt Stadtwerke und Kommunen in allen Fragen der Digitalisierung. „Mit dem Zusammenschluss zweier Beratungshäuser, der </w:t>
      </w:r>
      <w:proofErr w:type="spellStart"/>
      <w:r w:rsidRPr="006563BE">
        <w:rPr>
          <w:rFonts w:ascii="Arial" w:hAnsi="Arial" w:cs="Tahoma"/>
          <w:b/>
          <w:bCs/>
          <w:sz w:val="20"/>
          <w:szCs w:val="20"/>
        </w:rPr>
        <w:t>tkt</w:t>
      </w:r>
      <w:proofErr w:type="spellEnd"/>
      <w:r w:rsidRPr="006563BE">
        <w:rPr>
          <w:rFonts w:ascii="Arial" w:hAnsi="Arial" w:cs="Tahoma"/>
          <w:b/>
          <w:bCs/>
          <w:sz w:val="20"/>
          <w:szCs w:val="20"/>
        </w:rPr>
        <w:t xml:space="preserve"> </w:t>
      </w:r>
      <w:proofErr w:type="spellStart"/>
      <w:r w:rsidRPr="006563BE">
        <w:rPr>
          <w:rFonts w:ascii="Arial" w:hAnsi="Arial" w:cs="Tahoma"/>
          <w:b/>
          <w:bCs/>
          <w:sz w:val="20"/>
          <w:szCs w:val="20"/>
        </w:rPr>
        <w:t>teleconsult</w:t>
      </w:r>
      <w:proofErr w:type="spellEnd"/>
      <w:r w:rsidRPr="006563BE">
        <w:rPr>
          <w:rFonts w:ascii="Arial" w:hAnsi="Arial" w:cs="Tahoma"/>
          <w:b/>
          <w:bCs/>
          <w:sz w:val="20"/>
          <w:szCs w:val="20"/>
        </w:rPr>
        <w:t xml:space="preserve"> Kommunikationstechnik GmbH und der </w:t>
      </w:r>
      <w:proofErr w:type="spellStart"/>
      <w:r w:rsidRPr="006563BE">
        <w:rPr>
          <w:rFonts w:ascii="Arial" w:hAnsi="Arial" w:cs="Tahoma"/>
          <w:b/>
          <w:bCs/>
          <w:sz w:val="20"/>
          <w:szCs w:val="20"/>
        </w:rPr>
        <w:t>Vivax</w:t>
      </w:r>
      <w:proofErr w:type="spellEnd"/>
      <w:r w:rsidRPr="006563BE">
        <w:rPr>
          <w:rFonts w:ascii="Arial" w:hAnsi="Arial" w:cs="Tahoma"/>
          <w:b/>
          <w:bCs/>
          <w:sz w:val="20"/>
          <w:szCs w:val="20"/>
        </w:rPr>
        <w:t xml:space="preserve"> GmbH, haben wir ein etwas anderes Beratungshaus geschaffen. Denn wir machen da weiter, wo andere aufhören“, fasst </w:t>
      </w:r>
      <w:r>
        <w:rPr>
          <w:rFonts w:ascii="Arial" w:hAnsi="Arial" w:cs="Tahoma"/>
          <w:b/>
          <w:bCs/>
          <w:sz w:val="20"/>
          <w:szCs w:val="20"/>
        </w:rPr>
        <w:t xml:space="preserve">Thomas </w:t>
      </w:r>
      <w:proofErr w:type="spellStart"/>
      <w:r>
        <w:rPr>
          <w:rFonts w:ascii="Arial" w:hAnsi="Arial" w:cs="Tahoma"/>
          <w:b/>
          <w:bCs/>
          <w:sz w:val="20"/>
          <w:szCs w:val="20"/>
        </w:rPr>
        <w:t>Berkel</w:t>
      </w:r>
      <w:proofErr w:type="spellEnd"/>
      <w:r w:rsidRPr="006563BE">
        <w:rPr>
          <w:rFonts w:ascii="Arial" w:hAnsi="Arial" w:cs="Tahoma"/>
          <w:b/>
          <w:bCs/>
          <w:sz w:val="20"/>
          <w:szCs w:val="20"/>
        </w:rPr>
        <w:t xml:space="preserve">, neben </w:t>
      </w:r>
      <w:r>
        <w:rPr>
          <w:rFonts w:ascii="Arial" w:hAnsi="Arial" w:cs="Tahoma"/>
          <w:b/>
          <w:bCs/>
          <w:sz w:val="20"/>
          <w:szCs w:val="20"/>
        </w:rPr>
        <w:t xml:space="preserve">Dirk </w:t>
      </w:r>
      <w:proofErr w:type="spellStart"/>
      <w:r>
        <w:rPr>
          <w:rFonts w:ascii="Arial" w:hAnsi="Arial" w:cs="Tahoma"/>
          <w:b/>
          <w:bCs/>
          <w:sz w:val="20"/>
          <w:szCs w:val="20"/>
        </w:rPr>
        <w:t>F</w:t>
      </w:r>
      <w:r w:rsidR="00427AD2">
        <w:rPr>
          <w:rFonts w:ascii="Arial" w:hAnsi="Arial" w:cs="Tahoma"/>
          <w:b/>
          <w:bCs/>
          <w:sz w:val="20"/>
          <w:szCs w:val="20"/>
        </w:rPr>
        <w:t>i</w:t>
      </w:r>
      <w:r>
        <w:rPr>
          <w:rFonts w:ascii="Arial" w:hAnsi="Arial" w:cs="Tahoma"/>
          <w:b/>
          <w:bCs/>
          <w:sz w:val="20"/>
          <w:szCs w:val="20"/>
        </w:rPr>
        <w:t>eml</w:t>
      </w:r>
      <w:proofErr w:type="spellEnd"/>
      <w:r>
        <w:rPr>
          <w:rFonts w:ascii="Arial" w:hAnsi="Arial" w:cs="Tahoma"/>
          <w:b/>
          <w:bCs/>
          <w:sz w:val="20"/>
          <w:szCs w:val="20"/>
        </w:rPr>
        <w:t xml:space="preserve"> und</w:t>
      </w:r>
      <w:r w:rsidRPr="006563BE">
        <w:rPr>
          <w:rFonts w:ascii="Arial" w:hAnsi="Arial" w:cs="Tahoma"/>
          <w:b/>
          <w:bCs/>
          <w:sz w:val="20"/>
          <w:szCs w:val="20"/>
        </w:rPr>
        <w:t xml:space="preserve"> Philipp Bode </w:t>
      </w:r>
      <w:r>
        <w:rPr>
          <w:rFonts w:ascii="Arial" w:hAnsi="Arial" w:cs="Tahoma"/>
          <w:b/>
          <w:bCs/>
          <w:sz w:val="20"/>
          <w:szCs w:val="20"/>
        </w:rPr>
        <w:t xml:space="preserve">einer der </w:t>
      </w:r>
      <w:r w:rsidRPr="006563BE">
        <w:rPr>
          <w:rFonts w:ascii="Arial" w:hAnsi="Arial" w:cs="Tahoma"/>
          <w:b/>
          <w:bCs/>
          <w:sz w:val="20"/>
          <w:szCs w:val="20"/>
        </w:rPr>
        <w:t xml:space="preserve">Geschäftsführer der </w:t>
      </w:r>
      <w:proofErr w:type="spellStart"/>
      <w:r w:rsidRPr="006563BE">
        <w:rPr>
          <w:rFonts w:ascii="Arial" w:hAnsi="Arial" w:cs="Tahoma"/>
          <w:b/>
          <w:bCs/>
          <w:sz w:val="20"/>
          <w:szCs w:val="20"/>
        </w:rPr>
        <w:t>tktVivax</w:t>
      </w:r>
      <w:proofErr w:type="spellEnd"/>
      <w:r>
        <w:rPr>
          <w:rFonts w:ascii="Arial" w:hAnsi="Arial" w:cs="Tahoma"/>
          <w:b/>
          <w:bCs/>
          <w:sz w:val="20"/>
          <w:szCs w:val="20"/>
        </w:rPr>
        <w:t xml:space="preserve"> GmbH</w:t>
      </w:r>
      <w:r w:rsidRPr="006563BE">
        <w:rPr>
          <w:rFonts w:ascii="Arial" w:hAnsi="Arial" w:cs="Tahoma"/>
          <w:b/>
          <w:bCs/>
          <w:sz w:val="20"/>
          <w:szCs w:val="20"/>
        </w:rPr>
        <w:t xml:space="preserve">, den Ansatz zusammen. So übernimmt das Unternehmen </w:t>
      </w:r>
      <w:r>
        <w:rPr>
          <w:rFonts w:ascii="Arial" w:hAnsi="Arial" w:cs="Tahoma"/>
          <w:b/>
          <w:bCs/>
          <w:sz w:val="20"/>
          <w:szCs w:val="20"/>
        </w:rPr>
        <w:t xml:space="preserve">neben der Konzeption und Planung </w:t>
      </w:r>
      <w:r w:rsidRPr="006563BE">
        <w:rPr>
          <w:rFonts w:ascii="Arial" w:hAnsi="Arial" w:cs="Tahoma"/>
          <w:b/>
          <w:bCs/>
          <w:sz w:val="20"/>
          <w:szCs w:val="20"/>
        </w:rPr>
        <w:t>auch für die Umsetzung von Digitalisierungsprojekten die Verantwortung</w:t>
      </w:r>
      <w:r>
        <w:rPr>
          <w:rFonts w:ascii="Arial" w:hAnsi="Arial" w:cs="Tahoma"/>
          <w:b/>
          <w:bCs/>
          <w:sz w:val="20"/>
          <w:szCs w:val="20"/>
        </w:rPr>
        <w:t>. Zudem u</w:t>
      </w:r>
      <w:r w:rsidRPr="006563BE">
        <w:rPr>
          <w:rFonts w:ascii="Arial" w:hAnsi="Arial" w:cs="Tahoma"/>
          <w:b/>
          <w:bCs/>
          <w:sz w:val="20"/>
          <w:szCs w:val="20"/>
        </w:rPr>
        <w:t xml:space="preserve">nterstützt </w:t>
      </w:r>
      <w:proofErr w:type="spellStart"/>
      <w:r>
        <w:rPr>
          <w:rFonts w:ascii="Arial" w:hAnsi="Arial" w:cs="Tahoma"/>
          <w:b/>
          <w:bCs/>
          <w:sz w:val="20"/>
          <w:szCs w:val="20"/>
        </w:rPr>
        <w:t>tktVivax</w:t>
      </w:r>
      <w:proofErr w:type="spellEnd"/>
      <w:r>
        <w:rPr>
          <w:rFonts w:ascii="Arial" w:hAnsi="Arial" w:cs="Tahoma"/>
          <w:b/>
          <w:bCs/>
          <w:sz w:val="20"/>
          <w:szCs w:val="20"/>
        </w:rPr>
        <w:t xml:space="preserve"> Stadtwerke und Kommunen </w:t>
      </w:r>
      <w:r w:rsidRPr="006563BE">
        <w:rPr>
          <w:rFonts w:ascii="Arial" w:hAnsi="Arial" w:cs="Tahoma"/>
          <w:b/>
          <w:bCs/>
          <w:sz w:val="20"/>
          <w:szCs w:val="20"/>
        </w:rPr>
        <w:t xml:space="preserve">bei </w:t>
      </w:r>
      <w:r>
        <w:rPr>
          <w:rFonts w:ascii="Arial" w:hAnsi="Arial" w:cs="Tahoma"/>
          <w:b/>
          <w:bCs/>
          <w:sz w:val="20"/>
          <w:szCs w:val="20"/>
        </w:rPr>
        <w:t>konkreten technischen Fragestellungen, etwa bei</w:t>
      </w:r>
      <w:r w:rsidRPr="006563BE">
        <w:rPr>
          <w:rFonts w:ascii="Arial" w:hAnsi="Arial" w:cs="Tahoma"/>
          <w:b/>
          <w:bCs/>
          <w:sz w:val="20"/>
          <w:szCs w:val="20"/>
        </w:rPr>
        <w:t xml:space="preserve"> </w:t>
      </w:r>
      <w:r>
        <w:rPr>
          <w:rFonts w:ascii="Arial" w:hAnsi="Arial" w:cs="Tahoma"/>
          <w:b/>
          <w:bCs/>
          <w:sz w:val="20"/>
          <w:szCs w:val="20"/>
        </w:rPr>
        <w:t xml:space="preserve">der </w:t>
      </w:r>
      <w:r w:rsidRPr="006563BE">
        <w:rPr>
          <w:rFonts w:ascii="Arial" w:hAnsi="Arial" w:cs="Tahoma"/>
          <w:b/>
          <w:bCs/>
          <w:sz w:val="20"/>
          <w:szCs w:val="20"/>
        </w:rPr>
        <w:t xml:space="preserve">Netzplanung oder </w:t>
      </w:r>
      <w:r>
        <w:rPr>
          <w:rFonts w:ascii="Arial" w:hAnsi="Arial" w:cs="Tahoma"/>
          <w:b/>
          <w:bCs/>
          <w:sz w:val="20"/>
          <w:szCs w:val="20"/>
        </w:rPr>
        <w:t>beim</w:t>
      </w:r>
      <w:r w:rsidRPr="006563BE">
        <w:rPr>
          <w:rFonts w:ascii="Arial" w:hAnsi="Arial" w:cs="Tahoma"/>
          <w:b/>
          <w:bCs/>
          <w:sz w:val="20"/>
          <w:szCs w:val="20"/>
        </w:rPr>
        <w:t xml:space="preserve"> Engineering. </w:t>
      </w:r>
      <w:r>
        <w:rPr>
          <w:rFonts w:ascii="Arial" w:hAnsi="Arial" w:cs="Tahoma"/>
          <w:b/>
          <w:bCs/>
          <w:sz w:val="20"/>
          <w:szCs w:val="20"/>
        </w:rPr>
        <w:t xml:space="preserve">Zu den Hauptgesellschaftern </w:t>
      </w:r>
      <w:r w:rsidRPr="006563BE">
        <w:rPr>
          <w:rFonts w:ascii="Arial" w:hAnsi="Arial" w:cs="Tahoma"/>
          <w:b/>
          <w:bCs/>
          <w:sz w:val="20"/>
          <w:szCs w:val="20"/>
        </w:rPr>
        <w:t xml:space="preserve">des neuen Unternehmens </w:t>
      </w:r>
      <w:r>
        <w:rPr>
          <w:rFonts w:ascii="Arial" w:hAnsi="Arial" w:cs="Tahoma"/>
          <w:b/>
          <w:bCs/>
          <w:sz w:val="20"/>
          <w:szCs w:val="20"/>
        </w:rPr>
        <w:t>gehören</w:t>
      </w:r>
      <w:r w:rsidRPr="006563BE">
        <w:rPr>
          <w:rFonts w:ascii="Arial" w:hAnsi="Arial" w:cs="Tahoma"/>
          <w:b/>
          <w:bCs/>
          <w:sz w:val="20"/>
          <w:szCs w:val="20"/>
        </w:rPr>
        <w:t xml:space="preserve"> </w:t>
      </w:r>
      <w:r>
        <w:rPr>
          <w:rFonts w:ascii="Arial" w:hAnsi="Arial" w:cs="Tahoma"/>
          <w:b/>
          <w:bCs/>
          <w:sz w:val="20"/>
          <w:szCs w:val="20"/>
        </w:rPr>
        <w:t>die</w:t>
      </w:r>
      <w:r w:rsidRPr="006563BE">
        <w:rPr>
          <w:rFonts w:ascii="Arial" w:hAnsi="Arial" w:cs="Tahoma"/>
          <w:b/>
          <w:bCs/>
          <w:sz w:val="20"/>
          <w:szCs w:val="20"/>
        </w:rPr>
        <w:t xml:space="preserve"> drei Geschäftsführer </w:t>
      </w:r>
      <w:r>
        <w:rPr>
          <w:rFonts w:ascii="Arial" w:hAnsi="Arial" w:cs="Tahoma"/>
          <w:b/>
          <w:bCs/>
          <w:sz w:val="20"/>
          <w:szCs w:val="20"/>
        </w:rPr>
        <w:t>sowie die ZEAG Energie AG, Heilbronn.</w:t>
      </w:r>
    </w:p>
    <w:p w14:paraId="5FD7FD89" w14:textId="11FD4EB9" w:rsidR="005D3D1E" w:rsidRDefault="005D3D1E" w:rsidP="005D3D1E">
      <w:pPr>
        <w:spacing w:line="360" w:lineRule="auto"/>
        <w:rPr>
          <w:rFonts w:ascii="Arial" w:hAnsi="Arial" w:cs="Tahoma"/>
          <w:sz w:val="20"/>
          <w:szCs w:val="20"/>
        </w:rPr>
      </w:pPr>
      <w:r>
        <w:rPr>
          <w:rFonts w:ascii="Arial" w:hAnsi="Arial" w:cs="Tahoma"/>
          <w:sz w:val="20"/>
          <w:szCs w:val="20"/>
        </w:rPr>
        <w:t xml:space="preserve">Mit rund 50 Mitarbeitern deckt </w:t>
      </w:r>
      <w:proofErr w:type="spellStart"/>
      <w:r>
        <w:rPr>
          <w:rFonts w:ascii="Arial" w:hAnsi="Arial" w:cs="Tahoma"/>
          <w:sz w:val="20"/>
          <w:szCs w:val="20"/>
        </w:rPr>
        <w:t>tktVivax</w:t>
      </w:r>
      <w:proofErr w:type="spellEnd"/>
      <w:r>
        <w:rPr>
          <w:rFonts w:ascii="Arial" w:hAnsi="Arial" w:cs="Tahoma"/>
          <w:sz w:val="20"/>
          <w:szCs w:val="20"/>
        </w:rPr>
        <w:t xml:space="preserve"> ein breites Themenspektrum ab. Es reicht von Fragen der Prozessoptimierung und Organisationsberatung über Consulting in Bereichen wie IT, Netz &amp; Technik bis hin zur konkreten Unterstützung bei der Planung und Umsetzung von Glasfaser- und 5G-Infrastrukturen. „Gemeinsam decken wir dabei nicht nur alle horizontalen Fragestellungen etwa zu Technologien oder Methoden ab, sondern kennen uns auch in den speziellen Anforderungen vertikaler Märkte wie der Energieversorgung oder der Öffentlichen Verwaltung aus“, stellt Dirk </w:t>
      </w:r>
      <w:proofErr w:type="spellStart"/>
      <w:r>
        <w:rPr>
          <w:rFonts w:ascii="Arial" w:hAnsi="Arial" w:cs="Tahoma"/>
          <w:sz w:val="20"/>
          <w:szCs w:val="20"/>
        </w:rPr>
        <w:t>Fieml</w:t>
      </w:r>
      <w:proofErr w:type="spellEnd"/>
      <w:r>
        <w:rPr>
          <w:rFonts w:ascii="Arial" w:hAnsi="Arial" w:cs="Tahoma"/>
          <w:sz w:val="20"/>
          <w:szCs w:val="20"/>
        </w:rPr>
        <w:t xml:space="preserve"> ein weiteres Alleinstellungsmerkmal heraus. „Damit sind wir so breit aufgestellt, wie nur ganz wenige andere Beratungshäuser. So können wir für unsere Kunden Lösungen umsetzen, die </w:t>
      </w:r>
      <w:r>
        <w:rPr>
          <w:rFonts w:ascii="Arial" w:hAnsi="Arial" w:cs="Tahoma"/>
          <w:sz w:val="20"/>
          <w:szCs w:val="20"/>
        </w:rPr>
        <w:lastRenderedPageBreak/>
        <w:t>tatsächlich alle organisatorischen und technologischen Aspekte der Digitalisierung berücksichtigen“, ergänzt Philipp Bode.</w:t>
      </w:r>
    </w:p>
    <w:p w14:paraId="656D844E" w14:textId="56498184" w:rsidR="005D3D1E" w:rsidRPr="000655B7" w:rsidRDefault="005D3D1E" w:rsidP="005D3D1E">
      <w:pPr>
        <w:spacing w:line="360" w:lineRule="auto"/>
        <w:rPr>
          <w:rFonts w:ascii="Arial" w:hAnsi="Arial" w:cs="Tahoma"/>
          <w:sz w:val="20"/>
          <w:szCs w:val="20"/>
        </w:rPr>
      </w:pPr>
      <w:proofErr w:type="spellStart"/>
      <w:r>
        <w:rPr>
          <w:rFonts w:ascii="Arial" w:hAnsi="Arial" w:cs="Tahoma"/>
          <w:sz w:val="20"/>
          <w:szCs w:val="20"/>
        </w:rPr>
        <w:t>tkt</w:t>
      </w:r>
      <w:proofErr w:type="spellEnd"/>
      <w:r>
        <w:rPr>
          <w:rFonts w:ascii="Arial" w:hAnsi="Arial" w:cs="Tahoma"/>
          <w:sz w:val="20"/>
          <w:szCs w:val="20"/>
        </w:rPr>
        <w:t xml:space="preserve"> und </w:t>
      </w:r>
      <w:proofErr w:type="spellStart"/>
      <w:r>
        <w:rPr>
          <w:rFonts w:ascii="Arial" w:hAnsi="Arial" w:cs="Tahoma"/>
          <w:sz w:val="20"/>
          <w:szCs w:val="20"/>
        </w:rPr>
        <w:t>Vivax</w:t>
      </w:r>
      <w:proofErr w:type="spellEnd"/>
      <w:r>
        <w:rPr>
          <w:rFonts w:ascii="Arial" w:hAnsi="Arial" w:cs="Tahoma"/>
          <w:sz w:val="20"/>
          <w:szCs w:val="20"/>
        </w:rPr>
        <w:t xml:space="preserve"> haben in den vergangenen Jahren eine Vielzahl von Projekten erfolgreich umgesetzt, so zum Beispiel bei der Stadtwerke Bochum Netz GmbH, der Bad Honnef AG, den Stadtwerke</w:t>
      </w:r>
      <w:r w:rsidR="00427AD2">
        <w:rPr>
          <w:rFonts w:ascii="Arial" w:hAnsi="Arial" w:cs="Tahoma"/>
          <w:sz w:val="20"/>
          <w:szCs w:val="20"/>
        </w:rPr>
        <w:t>n</w:t>
      </w:r>
      <w:r>
        <w:rPr>
          <w:rFonts w:ascii="Arial" w:hAnsi="Arial" w:cs="Tahoma"/>
          <w:sz w:val="20"/>
          <w:szCs w:val="20"/>
        </w:rPr>
        <w:t xml:space="preserve"> Ludwigsburg-Kornwestheim </w:t>
      </w:r>
      <w:r w:rsidR="00427AD2">
        <w:rPr>
          <w:rFonts w:ascii="Arial" w:hAnsi="Arial" w:cs="Tahoma"/>
          <w:sz w:val="20"/>
          <w:szCs w:val="20"/>
        </w:rPr>
        <w:t>oder</w:t>
      </w:r>
      <w:r>
        <w:rPr>
          <w:rFonts w:ascii="Arial" w:hAnsi="Arial" w:cs="Tahoma"/>
          <w:sz w:val="20"/>
          <w:szCs w:val="20"/>
        </w:rPr>
        <w:t xml:space="preserve"> bei den Stadtwerken Merseburg. Daneben wurden zahlreiche</w:t>
      </w:r>
      <w:r w:rsidRPr="00F91B9F">
        <w:rPr>
          <w:rFonts w:ascii="Arial" w:hAnsi="Arial" w:cs="Tahoma"/>
          <w:sz w:val="20"/>
          <w:szCs w:val="20"/>
        </w:rPr>
        <w:t xml:space="preserve"> Städte, Gemeinden, Landkreise und interkommunale Verbände </w:t>
      </w:r>
      <w:r>
        <w:rPr>
          <w:rFonts w:ascii="Arial" w:hAnsi="Arial" w:cs="Tahoma"/>
          <w:sz w:val="20"/>
          <w:szCs w:val="20"/>
        </w:rPr>
        <w:t>beim Aufbau einer</w:t>
      </w:r>
      <w:r w:rsidRPr="00F91B9F">
        <w:rPr>
          <w:rFonts w:ascii="Arial" w:hAnsi="Arial" w:cs="Tahoma"/>
          <w:sz w:val="20"/>
          <w:szCs w:val="20"/>
        </w:rPr>
        <w:t xml:space="preserve"> zeitgemäßen und leistungsstarken Internetversorgung </w:t>
      </w:r>
      <w:r>
        <w:rPr>
          <w:rFonts w:ascii="Arial" w:hAnsi="Arial" w:cs="Tahoma"/>
          <w:sz w:val="20"/>
          <w:szCs w:val="20"/>
        </w:rPr>
        <w:t>unterstützt</w:t>
      </w:r>
      <w:r w:rsidRPr="00F91B9F">
        <w:rPr>
          <w:rFonts w:ascii="Arial" w:hAnsi="Arial" w:cs="Tahoma"/>
          <w:sz w:val="20"/>
          <w:szCs w:val="20"/>
        </w:rPr>
        <w:t>.</w:t>
      </w:r>
      <w:r>
        <w:rPr>
          <w:rFonts w:ascii="Arial" w:hAnsi="Arial" w:cs="Tahoma"/>
          <w:sz w:val="20"/>
          <w:szCs w:val="20"/>
        </w:rPr>
        <w:t xml:space="preserve"> Bei den </w:t>
      </w:r>
      <w:r w:rsidRPr="00F91B9F">
        <w:rPr>
          <w:rFonts w:ascii="Arial" w:hAnsi="Arial" w:cs="Tahoma"/>
          <w:sz w:val="20"/>
          <w:szCs w:val="20"/>
        </w:rPr>
        <w:t>Unternehmen der Versorgungswirtschaft </w:t>
      </w:r>
      <w:r>
        <w:rPr>
          <w:rFonts w:ascii="Arial" w:hAnsi="Arial" w:cs="Tahoma"/>
          <w:sz w:val="20"/>
          <w:szCs w:val="20"/>
        </w:rPr>
        <w:t>standen</w:t>
      </w:r>
      <w:r w:rsidRPr="00F91B9F">
        <w:rPr>
          <w:rFonts w:ascii="Arial" w:hAnsi="Arial" w:cs="Tahoma"/>
          <w:sz w:val="20"/>
          <w:szCs w:val="20"/>
        </w:rPr>
        <w:t xml:space="preserve"> Optimierungsprojekte mit Organisations-, Prozess- und IT-Beratung </w:t>
      </w:r>
      <w:r>
        <w:rPr>
          <w:rFonts w:ascii="Arial" w:hAnsi="Arial" w:cs="Tahoma"/>
          <w:sz w:val="20"/>
          <w:szCs w:val="20"/>
        </w:rPr>
        <w:t>im Vordergrund</w:t>
      </w:r>
      <w:r w:rsidRPr="00F91B9F">
        <w:rPr>
          <w:rFonts w:ascii="Arial" w:hAnsi="Arial" w:cs="Tahoma"/>
          <w:sz w:val="20"/>
          <w:szCs w:val="20"/>
        </w:rPr>
        <w:t xml:space="preserve">. Zu </w:t>
      </w:r>
      <w:r>
        <w:rPr>
          <w:rFonts w:ascii="Arial" w:hAnsi="Arial" w:cs="Tahoma"/>
          <w:sz w:val="20"/>
          <w:szCs w:val="20"/>
        </w:rPr>
        <w:t>den</w:t>
      </w:r>
      <w:r w:rsidRPr="00F91B9F">
        <w:rPr>
          <w:rFonts w:ascii="Arial" w:hAnsi="Arial" w:cs="Tahoma"/>
          <w:sz w:val="20"/>
          <w:szCs w:val="20"/>
        </w:rPr>
        <w:t xml:space="preserve"> Kunden zählen darüber hinaus nationale und internationale Telekommunikationsunternehmen sowie regionale Betreiber privater und öffentlicher Netze.</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357997F4" w14:textId="77777777" w:rsidR="005D3D1E" w:rsidRPr="008457BE" w:rsidRDefault="005D3D1E" w:rsidP="00B714E4">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8457BE">
              <w:rPr>
                <w:rFonts w:ascii="Arial" w:hAnsi="Arial" w:cs="Calibri"/>
                <w:sz w:val="16"/>
                <w:szCs w:val="26"/>
                <w:lang w:eastAsia="de-DE"/>
              </w:rPr>
              <w:t>Kurfürstendamm 194</w:t>
            </w:r>
            <w:r>
              <w:rPr>
                <w:rFonts w:ascii="Arial" w:hAnsi="Arial" w:cs="Calibri"/>
                <w:sz w:val="16"/>
                <w:szCs w:val="26"/>
                <w:lang w:eastAsia="de-DE"/>
              </w:rPr>
              <w:t xml:space="preserve"> – </w:t>
            </w:r>
            <w:r w:rsidRPr="008457BE">
              <w:rPr>
                <w:rFonts w:ascii="Arial" w:hAnsi="Arial" w:cs="Calibri"/>
                <w:sz w:val="16"/>
                <w:szCs w:val="26"/>
                <w:lang w:eastAsia="de-DE"/>
              </w:rPr>
              <w:t>10707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www.viva</w:t>
            </w:r>
            <w:r>
              <w:rPr>
                <w:rFonts w:ascii="Arial" w:hAnsi="Arial" w:cs="Calibri"/>
                <w:sz w:val="16"/>
                <w:szCs w:val="26"/>
                <w:lang w:eastAsia="de-DE"/>
              </w:rPr>
              <w:t>x.consulting</w:t>
            </w:r>
          </w:p>
          <w:p w14:paraId="14C72989" w14:textId="77777777" w:rsidR="005D3D1E" w:rsidRPr="008457BE" w:rsidRDefault="005D3D1E" w:rsidP="00B714E4">
            <w:pPr>
              <w:widowControl w:val="0"/>
              <w:tabs>
                <w:tab w:val="left" w:pos="2977"/>
                <w:tab w:val="left" w:pos="3969"/>
              </w:tabs>
              <w:autoSpaceDE w:val="0"/>
              <w:autoSpaceDN w:val="0"/>
              <w:adjustRightInd w:val="0"/>
              <w:spacing w:line="240" w:lineRule="auto"/>
              <w:ind w:right="176"/>
              <w:rPr>
                <w:rFonts w:ascii="Arial" w:hAnsi="Arial" w:cs="Calibri"/>
                <w:color w:val="0000FF"/>
                <w:sz w:val="16"/>
                <w:szCs w:val="26"/>
                <w:u w:val="single"/>
                <w:lang w:eastAsia="de-DE"/>
              </w:rPr>
            </w:pP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2E55E5C6" w14:textId="5551ECA8" w:rsidR="007749DD" w:rsidRPr="005D3D1E" w:rsidRDefault="005D3D1E" w:rsidP="005D3D1E">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entstand Ende 2018 aus der Fusion der </w:t>
      </w:r>
      <w:proofErr w:type="spellStart"/>
      <w:r w:rsidRPr="007F3F43">
        <w:rPr>
          <w:rFonts w:ascii="Arial" w:hAnsi="Arial" w:cs="Calibri"/>
          <w:sz w:val="16"/>
          <w:szCs w:val="26"/>
          <w:lang w:eastAsia="de-DE"/>
        </w:rPr>
        <w:t>tkt</w:t>
      </w:r>
      <w:proofErr w:type="spellEnd"/>
      <w:r w:rsidRPr="007F3F43">
        <w:rPr>
          <w:rFonts w:ascii="Arial" w:hAnsi="Arial" w:cs="Calibri"/>
          <w:sz w:val="16"/>
          <w:szCs w:val="26"/>
          <w:lang w:eastAsia="de-DE"/>
        </w:rPr>
        <w:t xml:space="preserve"> </w:t>
      </w:r>
      <w:proofErr w:type="spellStart"/>
      <w:r w:rsidRPr="007F3F43">
        <w:rPr>
          <w:rFonts w:ascii="Arial" w:hAnsi="Arial" w:cs="Calibri"/>
          <w:sz w:val="16"/>
          <w:szCs w:val="26"/>
          <w:lang w:eastAsia="de-DE"/>
        </w:rPr>
        <w:t>teleconsult</w:t>
      </w:r>
      <w:proofErr w:type="spellEnd"/>
      <w:r w:rsidRPr="007F3F43">
        <w:rPr>
          <w:rFonts w:ascii="Arial" w:hAnsi="Arial" w:cs="Calibri"/>
          <w:sz w:val="16"/>
          <w:szCs w:val="26"/>
          <w:lang w:eastAsia="de-DE"/>
        </w:rPr>
        <w:t xml:space="preserve"> Kommunikationstechnik GmbH</w:t>
      </w:r>
      <w:r>
        <w:rPr>
          <w:rFonts w:ascii="Arial" w:hAnsi="Arial" w:cs="Calibri"/>
          <w:sz w:val="16"/>
          <w:szCs w:val="26"/>
          <w:lang w:eastAsia="de-DE"/>
        </w:rPr>
        <w:t xml:space="preserve">, Backnang, und der </w:t>
      </w: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GmbH, Berlin. Damit führten </w:t>
      </w:r>
      <w:proofErr w:type="spellStart"/>
      <w:r>
        <w:rPr>
          <w:rFonts w:ascii="Arial" w:hAnsi="Arial" w:cs="Calibri"/>
          <w:sz w:val="16"/>
          <w:szCs w:val="26"/>
          <w:lang w:eastAsia="de-DE"/>
        </w:rPr>
        <w:t>tkt</w:t>
      </w:r>
      <w:proofErr w:type="spellEnd"/>
      <w:r>
        <w:rPr>
          <w:rFonts w:ascii="Arial" w:hAnsi="Arial" w:cs="Calibri"/>
          <w:sz w:val="16"/>
          <w:szCs w:val="26"/>
          <w:lang w:eastAsia="de-DE"/>
        </w:rPr>
        <w:t xml:space="preserve"> (1995 gegründet) und </w:t>
      </w:r>
      <w:proofErr w:type="spellStart"/>
      <w:r>
        <w:rPr>
          <w:rFonts w:ascii="Arial" w:hAnsi="Arial" w:cs="Calibri"/>
          <w:sz w:val="16"/>
          <w:szCs w:val="26"/>
          <w:lang w:eastAsia="de-DE"/>
        </w:rPr>
        <w:t>Vivax</w:t>
      </w:r>
      <w:proofErr w:type="spellEnd"/>
      <w:r>
        <w:rPr>
          <w:rFonts w:ascii="Arial" w:hAnsi="Arial" w:cs="Calibri"/>
          <w:sz w:val="16"/>
          <w:szCs w:val="26"/>
          <w:lang w:eastAsia="de-DE"/>
        </w:rPr>
        <w:t xml:space="preserve"> (2009 gegründet) ihre Kompetenzen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mit dem Know-how</w:t>
      </w:r>
      <w:r w:rsidRPr="007749DD">
        <w:rPr>
          <w:rFonts w:ascii="Arial" w:hAnsi="Arial" w:cs="Calibri"/>
          <w:sz w:val="16"/>
          <w:szCs w:val="26"/>
          <w:lang w:eastAsia="de-DE"/>
        </w:rPr>
        <w:t xml:space="preserve"> für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zusammen</w:t>
      </w:r>
      <w:r w:rsidRPr="007749DD">
        <w:rPr>
          <w:rFonts w:ascii="Arial" w:hAnsi="Arial" w:cs="Calibri"/>
          <w:sz w:val="16"/>
          <w:szCs w:val="26"/>
          <w:lang w:eastAsia="de-DE"/>
        </w:rPr>
        <w: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w:t>
      </w:r>
      <w:bookmarkStart w:id="0" w:name="_GoBack"/>
      <w:bookmarkEnd w:id="0"/>
      <w:r>
        <w:rPr>
          <w:rFonts w:ascii="Arial" w:hAnsi="Arial" w:cs="Calibri"/>
          <w:sz w:val="16"/>
          <w:szCs w:val="26"/>
          <w:lang w:eastAsia="de-DE"/>
        </w:rPr>
        <w:t xml:space="preserve"> Kommunalverwaltungen.</w:t>
      </w:r>
    </w:p>
    <w:sectPr w:rsidR="007749DD" w:rsidRPr="005D3D1E" w:rsidSect="000655B7">
      <w:headerReference w:type="default" r:id="rId9"/>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7898A3" w14:textId="77777777" w:rsidR="00653111" w:rsidRDefault="00653111" w:rsidP="00BF70FE">
      <w:pPr>
        <w:spacing w:after="0" w:line="240" w:lineRule="auto"/>
      </w:pPr>
      <w:r>
        <w:separator/>
      </w:r>
    </w:p>
  </w:endnote>
  <w:endnote w:type="continuationSeparator" w:id="0">
    <w:p w14:paraId="6D75947B" w14:textId="77777777" w:rsidR="00653111" w:rsidRDefault="00653111"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Segoe UI">
    <w:altName w:val="Sylfaen"/>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69F1DF" w14:textId="77777777" w:rsidR="00653111" w:rsidRDefault="00653111" w:rsidP="00BF70FE">
      <w:pPr>
        <w:spacing w:after="0" w:line="240" w:lineRule="auto"/>
      </w:pPr>
      <w:r>
        <w:separator/>
      </w:r>
    </w:p>
  </w:footnote>
  <w:footnote w:type="continuationSeparator" w:id="0">
    <w:p w14:paraId="4FD9B047" w14:textId="77777777" w:rsidR="00653111" w:rsidRDefault="00653111"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49685" w14:textId="1E55E0E5" w:rsidR="00B96701" w:rsidRDefault="004B0D7E" w:rsidP="002757A3">
    <w:pPr>
      <w:pStyle w:val="Kopfzeile"/>
      <w:ind w:right="-2268"/>
      <w:jc w:val="right"/>
    </w:pPr>
    <w:r>
      <w:rPr>
        <w:noProof/>
        <w:lang w:eastAsia="de-DE"/>
      </w:rPr>
      <w:drawing>
        <wp:inline distT="0" distB="0" distL="0" distR="0" wp14:anchorId="5FA1650A" wp14:editId="5C2CA7DA">
          <wp:extent cx="2006035" cy="452830"/>
          <wp:effectExtent l="0" t="0" r="635" b="4445"/>
          <wp:docPr id="2" name="Grafik 2" descr="Ein Bild, das Objekt enthält.&#10;&#10;&#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127_tkt_Vivax_Logo_mit_Claim_V1.png"/>
                  <pic:cNvPicPr/>
                </pic:nvPicPr>
                <pic:blipFill>
                  <a:blip r:embed="rId1"/>
                  <a:stretch>
                    <a:fillRect/>
                  </a:stretch>
                </pic:blipFill>
                <pic:spPr>
                  <a:xfrm>
                    <a:off x="0" y="0"/>
                    <a:ext cx="2081016" cy="46975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5"/>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26CFD"/>
    <w:rsid w:val="0006200B"/>
    <w:rsid w:val="000655B7"/>
    <w:rsid w:val="000823CF"/>
    <w:rsid w:val="000A4C5E"/>
    <w:rsid w:val="000A4C93"/>
    <w:rsid w:val="000C4746"/>
    <w:rsid w:val="000D4DE3"/>
    <w:rsid w:val="000E087D"/>
    <w:rsid w:val="000F2111"/>
    <w:rsid w:val="000F4F9D"/>
    <w:rsid w:val="0010198B"/>
    <w:rsid w:val="00104674"/>
    <w:rsid w:val="00106821"/>
    <w:rsid w:val="0013234F"/>
    <w:rsid w:val="00157861"/>
    <w:rsid w:val="00181FBB"/>
    <w:rsid w:val="00187FC7"/>
    <w:rsid w:val="001C51EC"/>
    <w:rsid w:val="001D2FB7"/>
    <w:rsid w:val="00205941"/>
    <w:rsid w:val="00207A9F"/>
    <w:rsid w:val="00213AF7"/>
    <w:rsid w:val="00221777"/>
    <w:rsid w:val="00237217"/>
    <w:rsid w:val="00262A08"/>
    <w:rsid w:val="00265589"/>
    <w:rsid w:val="002745F8"/>
    <w:rsid w:val="002757A3"/>
    <w:rsid w:val="002A7E29"/>
    <w:rsid w:val="002B3E9E"/>
    <w:rsid w:val="002D5B66"/>
    <w:rsid w:val="002F1BFF"/>
    <w:rsid w:val="0030091A"/>
    <w:rsid w:val="00304113"/>
    <w:rsid w:val="00314048"/>
    <w:rsid w:val="003274D8"/>
    <w:rsid w:val="00341A34"/>
    <w:rsid w:val="0035256E"/>
    <w:rsid w:val="00362AE7"/>
    <w:rsid w:val="003953CA"/>
    <w:rsid w:val="003A3B30"/>
    <w:rsid w:val="003C0B6F"/>
    <w:rsid w:val="003D63AC"/>
    <w:rsid w:val="00406C69"/>
    <w:rsid w:val="004137FD"/>
    <w:rsid w:val="00427AD2"/>
    <w:rsid w:val="004422BD"/>
    <w:rsid w:val="004467C0"/>
    <w:rsid w:val="004540FC"/>
    <w:rsid w:val="00454989"/>
    <w:rsid w:val="00463FE6"/>
    <w:rsid w:val="00465CBB"/>
    <w:rsid w:val="004810F6"/>
    <w:rsid w:val="00497AEF"/>
    <w:rsid w:val="004B0D7E"/>
    <w:rsid w:val="00521E6A"/>
    <w:rsid w:val="00556FEE"/>
    <w:rsid w:val="00557F58"/>
    <w:rsid w:val="00576A90"/>
    <w:rsid w:val="00576E59"/>
    <w:rsid w:val="005958C2"/>
    <w:rsid w:val="00596BC4"/>
    <w:rsid w:val="005D3D1E"/>
    <w:rsid w:val="005F63B7"/>
    <w:rsid w:val="00653111"/>
    <w:rsid w:val="006563BE"/>
    <w:rsid w:val="006663C8"/>
    <w:rsid w:val="00682686"/>
    <w:rsid w:val="00682E83"/>
    <w:rsid w:val="006D38DD"/>
    <w:rsid w:val="006F2189"/>
    <w:rsid w:val="00705635"/>
    <w:rsid w:val="00712F91"/>
    <w:rsid w:val="00714AB5"/>
    <w:rsid w:val="007162A5"/>
    <w:rsid w:val="007169F8"/>
    <w:rsid w:val="00732F57"/>
    <w:rsid w:val="00751621"/>
    <w:rsid w:val="00752985"/>
    <w:rsid w:val="00753CE4"/>
    <w:rsid w:val="00764363"/>
    <w:rsid w:val="00766B7A"/>
    <w:rsid w:val="007749DD"/>
    <w:rsid w:val="007768B7"/>
    <w:rsid w:val="00780026"/>
    <w:rsid w:val="00785A83"/>
    <w:rsid w:val="00785BC8"/>
    <w:rsid w:val="007F3F43"/>
    <w:rsid w:val="00803966"/>
    <w:rsid w:val="00822F51"/>
    <w:rsid w:val="008457BE"/>
    <w:rsid w:val="00872E24"/>
    <w:rsid w:val="0094694E"/>
    <w:rsid w:val="00953399"/>
    <w:rsid w:val="0095460E"/>
    <w:rsid w:val="0098474D"/>
    <w:rsid w:val="00993991"/>
    <w:rsid w:val="009B04A2"/>
    <w:rsid w:val="00A257D2"/>
    <w:rsid w:val="00A32BA5"/>
    <w:rsid w:val="00A339B3"/>
    <w:rsid w:val="00A461EC"/>
    <w:rsid w:val="00A462DC"/>
    <w:rsid w:val="00A55C3C"/>
    <w:rsid w:val="00A56E5A"/>
    <w:rsid w:val="00A86E2E"/>
    <w:rsid w:val="00AC6091"/>
    <w:rsid w:val="00AD08BE"/>
    <w:rsid w:val="00AD4250"/>
    <w:rsid w:val="00B11CFE"/>
    <w:rsid w:val="00B27B9D"/>
    <w:rsid w:val="00B43DB2"/>
    <w:rsid w:val="00B71C92"/>
    <w:rsid w:val="00B753D5"/>
    <w:rsid w:val="00B819A5"/>
    <w:rsid w:val="00B96701"/>
    <w:rsid w:val="00BA51BE"/>
    <w:rsid w:val="00BC1CCE"/>
    <w:rsid w:val="00BC3A66"/>
    <w:rsid w:val="00BE3C7C"/>
    <w:rsid w:val="00BF3BB4"/>
    <w:rsid w:val="00BF70FE"/>
    <w:rsid w:val="00C27553"/>
    <w:rsid w:val="00C424EF"/>
    <w:rsid w:val="00C6235A"/>
    <w:rsid w:val="00C84CCA"/>
    <w:rsid w:val="00C91823"/>
    <w:rsid w:val="00CB2102"/>
    <w:rsid w:val="00CB3800"/>
    <w:rsid w:val="00CC44E9"/>
    <w:rsid w:val="00CD3EF6"/>
    <w:rsid w:val="00CD5183"/>
    <w:rsid w:val="00D02991"/>
    <w:rsid w:val="00D16EBD"/>
    <w:rsid w:val="00D429BE"/>
    <w:rsid w:val="00D572B9"/>
    <w:rsid w:val="00D9728A"/>
    <w:rsid w:val="00DF3864"/>
    <w:rsid w:val="00DF581E"/>
    <w:rsid w:val="00E14982"/>
    <w:rsid w:val="00E20A29"/>
    <w:rsid w:val="00E26B5E"/>
    <w:rsid w:val="00E3135E"/>
    <w:rsid w:val="00E37F9E"/>
    <w:rsid w:val="00E60782"/>
    <w:rsid w:val="00E60990"/>
    <w:rsid w:val="00E6120F"/>
    <w:rsid w:val="00E64CFD"/>
    <w:rsid w:val="00E704E3"/>
    <w:rsid w:val="00E73FD3"/>
    <w:rsid w:val="00E92706"/>
    <w:rsid w:val="00E96682"/>
    <w:rsid w:val="00EB6A45"/>
    <w:rsid w:val="00ED48B5"/>
    <w:rsid w:val="00EF4362"/>
    <w:rsid w:val="00F02294"/>
    <w:rsid w:val="00F60AEE"/>
    <w:rsid w:val="00F66C89"/>
    <w:rsid w:val="00F80BB7"/>
    <w:rsid w:val="00F91B9F"/>
    <w:rsid w:val="00F94262"/>
    <w:rsid w:val="00F965C4"/>
    <w:rsid w:val="00FB447B"/>
    <w:rsid w:val="00FB68F7"/>
    <w:rsid w:val="00FE2E90"/>
    <w:rsid w:val="00FE30BE"/>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3516</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2018-11-30T13:20:00Z</cp:lastPrinted>
  <dcterms:created xsi:type="dcterms:W3CDTF">2018-12-10T09:28:00Z</dcterms:created>
  <dcterms:modified xsi:type="dcterms:W3CDTF">2018-12-10T09:40:00Z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