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1A9B4DF3"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384CDB">
        <w:rPr>
          <w:rFonts w:ascii="Arial" w:hAnsi="Arial" w:cs="Arial"/>
        </w:rPr>
        <w:t>1</w:t>
      </w:r>
      <w:r w:rsidR="007A3ED5">
        <w:rPr>
          <w:rFonts w:ascii="Arial" w:hAnsi="Arial" w:cs="Arial"/>
        </w:rPr>
        <w:t>0</w:t>
      </w:r>
      <w:r w:rsidR="00384CDB">
        <w:rPr>
          <w:rFonts w:ascii="Arial" w:hAnsi="Arial" w:cs="Arial"/>
        </w:rPr>
        <w:t>.</w:t>
      </w:r>
      <w:r w:rsidRPr="003A2746">
        <w:rPr>
          <w:rFonts w:ascii="Arial" w:hAnsi="Arial" w:cs="Arial"/>
        </w:rPr>
        <w:t xml:space="preserve"> </w:t>
      </w:r>
      <w:r w:rsidR="00384CDB">
        <w:rPr>
          <w:rFonts w:ascii="Arial" w:hAnsi="Arial" w:cs="Arial"/>
        </w:rPr>
        <w:t>Februar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384CDB">
        <w:rPr>
          <w:rFonts w:ascii="Arial" w:hAnsi="Arial" w:cs="Arial"/>
          <w:color w:val="000000"/>
        </w:rPr>
        <w:t>5</w:t>
      </w:r>
    </w:p>
    <w:p w14:paraId="34762466" w14:textId="77777777" w:rsidR="00384CDB" w:rsidRDefault="00384CDB" w:rsidP="000A752F">
      <w:pPr>
        <w:autoSpaceDE w:val="0"/>
        <w:autoSpaceDN w:val="0"/>
        <w:adjustRightInd w:val="0"/>
        <w:spacing w:after="0" w:line="240" w:lineRule="auto"/>
        <w:rPr>
          <w:rFonts w:ascii="Arial" w:hAnsi="Arial" w:cs="Arial"/>
          <w:color w:val="000000"/>
        </w:rPr>
      </w:pPr>
    </w:p>
    <w:p w14:paraId="66624584" w14:textId="54AD05A6" w:rsidR="00384CDB" w:rsidRPr="00EF3CA1" w:rsidRDefault="00EF3CA1" w:rsidP="000A752F">
      <w:pPr>
        <w:autoSpaceDE w:val="0"/>
        <w:autoSpaceDN w:val="0"/>
        <w:adjustRightInd w:val="0"/>
        <w:spacing w:after="0" w:line="240" w:lineRule="auto"/>
        <w:rPr>
          <w:rFonts w:ascii="Arial" w:hAnsi="Arial" w:cs="Arial"/>
          <w:b/>
          <w:bCs/>
          <w:color w:val="000000"/>
        </w:rPr>
      </w:pPr>
      <w:proofErr w:type="spellStart"/>
      <w:r w:rsidRPr="005C4CB9">
        <w:rPr>
          <w:rFonts w:ascii="Arial" w:hAnsi="Arial" w:cs="Arial"/>
          <w:b/>
          <w:bCs/>
          <w:color w:val="000000"/>
        </w:rPr>
        <w:t>fiber</w:t>
      </w:r>
      <w:r w:rsidR="00384CDB" w:rsidRPr="005C4CB9">
        <w:rPr>
          <w:rFonts w:ascii="Arial" w:hAnsi="Arial" w:cs="Arial"/>
          <w:b/>
          <w:bCs/>
          <w:color w:val="000000"/>
        </w:rPr>
        <w:t>days</w:t>
      </w:r>
      <w:proofErr w:type="spellEnd"/>
      <w:r w:rsidR="00384CDB" w:rsidRPr="005C4CB9">
        <w:rPr>
          <w:rFonts w:ascii="Arial" w:hAnsi="Arial" w:cs="Arial"/>
          <w:b/>
          <w:bCs/>
          <w:color w:val="000000"/>
        </w:rPr>
        <w:t xml:space="preserve"> 2025 – </w:t>
      </w:r>
      <w:r w:rsidRPr="005C4CB9">
        <w:rPr>
          <w:rFonts w:ascii="Arial" w:hAnsi="Arial" w:cs="Arial"/>
          <w:b/>
          <w:bCs/>
          <w:color w:val="000000"/>
        </w:rPr>
        <w:t xml:space="preserve">Frankfurt 2. </w:t>
      </w:r>
      <w:r w:rsidR="008C3088">
        <w:rPr>
          <w:rFonts w:ascii="Arial" w:hAnsi="Arial" w:cs="Arial"/>
          <w:b/>
          <w:bCs/>
          <w:color w:val="000000"/>
        </w:rPr>
        <w:t>bis</w:t>
      </w:r>
      <w:r w:rsidRPr="005C4CB9">
        <w:rPr>
          <w:rFonts w:ascii="Arial" w:hAnsi="Arial" w:cs="Arial"/>
          <w:b/>
          <w:bCs/>
          <w:color w:val="000000"/>
        </w:rPr>
        <w:t xml:space="preserve"> 4. </w:t>
      </w:r>
      <w:r w:rsidRPr="00EF3CA1">
        <w:rPr>
          <w:rFonts w:ascii="Arial" w:hAnsi="Arial" w:cs="Arial"/>
          <w:b/>
          <w:bCs/>
          <w:color w:val="000000"/>
        </w:rPr>
        <w:t xml:space="preserve">April </w:t>
      </w:r>
      <w:r w:rsidR="005C4CB9">
        <w:rPr>
          <w:rFonts w:ascii="Arial" w:hAnsi="Arial" w:cs="Arial"/>
          <w:b/>
          <w:bCs/>
          <w:color w:val="000000"/>
        </w:rPr>
        <w:t xml:space="preserve">2025 </w:t>
      </w:r>
      <w:r w:rsidRPr="00EF3CA1">
        <w:rPr>
          <w:rFonts w:ascii="Arial" w:hAnsi="Arial" w:cs="Arial"/>
          <w:b/>
          <w:bCs/>
          <w:color w:val="000000"/>
        </w:rPr>
        <w:t>– Stand P2</w:t>
      </w:r>
    </w:p>
    <w:p w14:paraId="6315E15E" w14:textId="77777777" w:rsidR="000A752F" w:rsidRPr="00EF3CA1" w:rsidRDefault="000A752F" w:rsidP="000A752F">
      <w:pPr>
        <w:autoSpaceDE w:val="0"/>
        <w:autoSpaceDN w:val="0"/>
        <w:adjustRightInd w:val="0"/>
        <w:spacing w:after="0" w:line="360" w:lineRule="auto"/>
        <w:ind w:right="-2410"/>
        <w:rPr>
          <w:rFonts w:ascii="Arial" w:hAnsi="Arial" w:cs="Arial"/>
          <w:b/>
          <w:bCs/>
          <w:color w:val="000000"/>
        </w:rPr>
      </w:pPr>
    </w:p>
    <w:p w14:paraId="54E87A1C" w14:textId="02F76CD4" w:rsidR="000A752F" w:rsidRPr="00F84B58" w:rsidRDefault="00EF3CA1" w:rsidP="00C105F2">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Restart: </w:t>
      </w:r>
      <w:proofErr w:type="spellStart"/>
      <w:r w:rsidR="00555CD7">
        <w:rPr>
          <w:rFonts w:ascii="Arial" w:hAnsi="Arial" w:cs="Arial"/>
          <w:b/>
          <w:bCs/>
          <w:color w:val="000000"/>
          <w:sz w:val="28"/>
          <w:szCs w:val="28"/>
        </w:rPr>
        <w:t>Vivax</w:t>
      </w:r>
      <w:proofErr w:type="spellEnd"/>
      <w:r w:rsidR="00555CD7">
        <w:rPr>
          <w:rFonts w:ascii="Arial" w:hAnsi="Arial" w:cs="Arial"/>
          <w:b/>
          <w:bCs/>
          <w:color w:val="000000"/>
          <w:sz w:val="28"/>
          <w:szCs w:val="28"/>
        </w:rPr>
        <w:t xml:space="preserve"> </w:t>
      </w:r>
      <w:r>
        <w:rPr>
          <w:rFonts w:ascii="Arial" w:hAnsi="Arial" w:cs="Arial"/>
          <w:b/>
          <w:bCs/>
          <w:color w:val="000000"/>
          <w:sz w:val="28"/>
          <w:szCs w:val="28"/>
        </w:rPr>
        <w:t xml:space="preserve">Consulting mit neuer Aufstellung auf den </w:t>
      </w:r>
      <w:proofErr w:type="spellStart"/>
      <w:r w:rsidR="005C4CB9">
        <w:rPr>
          <w:rFonts w:ascii="Arial" w:hAnsi="Arial" w:cs="Arial"/>
          <w:b/>
          <w:bCs/>
          <w:color w:val="000000"/>
          <w:sz w:val="28"/>
          <w:szCs w:val="28"/>
        </w:rPr>
        <w:t>fiberdays</w:t>
      </w:r>
      <w:proofErr w:type="spellEnd"/>
      <w:r w:rsidR="000A752F" w:rsidRPr="00F84B58">
        <w:rPr>
          <w:rFonts w:ascii="Arial" w:hAnsi="Arial" w:cs="Arial"/>
          <w:b/>
          <w:bCs/>
          <w:color w:val="000000"/>
          <w:sz w:val="28"/>
          <w:szCs w:val="28"/>
        </w:rPr>
        <w:br/>
      </w:r>
      <w:r w:rsidR="005C4CB9">
        <w:rPr>
          <w:rFonts w:ascii="Arial" w:hAnsi="Arial" w:cs="Arial"/>
          <w:b/>
          <w:bCs/>
          <w:color w:val="000000"/>
        </w:rPr>
        <w:t>Open Access, Prozessanalyse und regulatorische Themen im Fokus</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774A4828" w14:textId="6D0F4193" w:rsidR="00FD57F4" w:rsidRDefault="00FD57F4" w:rsidP="00872376">
      <w:pPr>
        <w:spacing w:line="360" w:lineRule="auto"/>
        <w:rPr>
          <w:rFonts w:ascii="Arial" w:hAnsi="Arial" w:cs="Arial"/>
          <w:b/>
          <w:bCs/>
          <w:color w:val="000000"/>
          <w:sz w:val="20"/>
          <w:szCs w:val="20"/>
        </w:rPr>
      </w:pPr>
      <w:r w:rsidRPr="00FD57F4">
        <w:rPr>
          <w:rFonts w:ascii="Arial" w:hAnsi="Arial" w:cs="Arial"/>
          <w:b/>
          <w:bCs/>
          <w:color w:val="000000"/>
          <w:sz w:val="20"/>
          <w:szCs w:val="20"/>
        </w:rPr>
        <w:t xml:space="preserve">Nach dem Wechsel in der Geschäftsführung zum Jahreswechsel präsentiert sich </w:t>
      </w:r>
      <w:proofErr w:type="spellStart"/>
      <w:r w:rsidRPr="00FD57F4">
        <w:rPr>
          <w:rFonts w:ascii="Arial" w:hAnsi="Arial" w:cs="Arial"/>
          <w:b/>
          <w:bCs/>
          <w:color w:val="000000"/>
          <w:sz w:val="20"/>
          <w:szCs w:val="20"/>
        </w:rPr>
        <w:t>Vivax</w:t>
      </w:r>
      <w:proofErr w:type="spellEnd"/>
      <w:r w:rsidRPr="00FD57F4">
        <w:rPr>
          <w:rFonts w:ascii="Arial" w:hAnsi="Arial" w:cs="Arial"/>
          <w:b/>
          <w:bCs/>
          <w:color w:val="000000"/>
          <w:sz w:val="20"/>
          <w:szCs w:val="20"/>
        </w:rPr>
        <w:t xml:space="preserve"> Consulting auf den </w:t>
      </w:r>
      <w:proofErr w:type="spellStart"/>
      <w:r w:rsidRPr="00FD57F4">
        <w:rPr>
          <w:rFonts w:ascii="Arial" w:hAnsi="Arial" w:cs="Arial"/>
          <w:b/>
          <w:bCs/>
          <w:color w:val="000000"/>
          <w:sz w:val="20"/>
          <w:szCs w:val="20"/>
        </w:rPr>
        <w:t>fiberdays</w:t>
      </w:r>
      <w:proofErr w:type="spellEnd"/>
      <w:r w:rsidRPr="00FD57F4">
        <w:rPr>
          <w:rFonts w:ascii="Arial" w:hAnsi="Arial" w:cs="Arial"/>
          <w:b/>
          <w:bCs/>
          <w:color w:val="000000"/>
          <w:sz w:val="20"/>
          <w:szCs w:val="20"/>
        </w:rPr>
        <w:t xml:space="preserve"> erstmals im neuen Format. Dabei positioniert sich das Unternehmen als Beratungspartner für das gesamte Themenspektrum von der Digitalisierung und Automatisierung über die Datenanalyse bis hin zum Projektmanagement. Ein Schwerpunkt des Messeauftritts ist die Unterstützung rund um das Thema Open Access. Hier bietet das Beratungsunternehmen ein breites Instrumentarium, das Stadtwerken und kommunalen Netzbetreibern hilft, sich im schwieriger gewordenen Glasfasermarkt optimal zu positionieren. Neu hinzugekommen ist das Beratungsangebot zu den regulatorischen Themen Datenschutz, IT-Sicherheit und NIS2-Compliance sowie zur kommunalen Wärmeplanung. Premiere auf den </w:t>
      </w:r>
      <w:proofErr w:type="spellStart"/>
      <w:r w:rsidRPr="00FD57F4">
        <w:rPr>
          <w:rFonts w:ascii="Arial" w:hAnsi="Arial" w:cs="Arial"/>
          <w:b/>
          <w:bCs/>
          <w:color w:val="000000"/>
          <w:sz w:val="20"/>
          <w:szCs w:val="20"/>
        </w:rPr>
        <w:t>fiberdays</w:t>
      </w:r>
      <w:proofErr w:type="spellEnd"/>
      <w:r w:rsidRPr="00FD57F4">
        <w:rPr>
          <w:rFonts w:ascii="Arial" w:hAnsi="Arial" w:cs="Arial"/>
          <w:b/>
          <w:bCs/>
          <w:color w:val="000000"/>
          <w:sz w:val="20"/>
          <w:szCs w:val="20"/>
        </w:rPr>
        <w:t xml:space="preserve"> feiert </w:t>
      </w:r>
      <w:r w:rsidR="00231476">
        <w:rPr>
          <w:rFonts w:ascii="Arial" w:hAnsi="Arial" w:cs="Arial"/>
          <w:b/>
          <w:bCs/>
          <w:color w:val="000000"/>
          <w:sz w:val="20"/>
          <w:szCs w:val="20"/>
        </w:rPr>
        <w:t xml:space="preserve">schließlich </w:t>
      </w:r>
      <w:r w:rsidRPr="00FD57F4">
        <w:rPr>
          <w:rFonts w:ascii="Arial" w:hAnsi="Arial" w:cs="Arial"/>
          <w:b/>
          <w:bCs/>
          <w:color w:val="000000"/>
          <w:sz w:val="20"/>
          <w:szCs w:val="20"/>
        </w:rPr>
        <w:t xml:space="preserve">die neue Version von </w:t>
      </w:r>
      <w:proofErr w:type="spellStart"/>
      <w:r w:rsidRPr="00FD57F4">
        <w:rPr>
          <w:rFonts w:ascii="Arial" w:hAnsi="Arial" w:cs="Arial"/>
          <w:b/>
          <w:bCs/>
          <w:color w:val="000000"/>
          <w:sz w:val="20"/>
          <w:szCs w:val="20"/>
        </w:rPr>
        <w:t>Vivax</w:t>
      </w:r>
      <w:proofErr w:type="spellEnd"/>
      <w:r w:rsidRPr="00FD57F4">
        <w:rPr>
          <w:rFonts w:ascii="Arial" w:hAnsi="Arial" w:cs="Arial"/>
          <w:b/>
          <w:bCs/>
          <w:color w:val="000000"/>
          <w:sz w:val="20"/>
          <w:szCs w:val="20"/>
        </w:rPr>
        <w:t xml:space="preserve"> Analytics </w:t>
      </w:r>
      <w:proofErr w:type="spellStart"/>
      <w:r w:rsidRPr="00FD57F4">
        <w:rPr>
          <w:rFonts w:ascii="Arial" w:hAnsi="Arial" w:cs="Arial"/>
          <w:b/>
          <w:bCs/>
          <w:color w:val="000000"/>
          <w:sz w:val="20"/>
          <w:szCs w:val="20"/>
        </w:rPr>
        <w:t>ProCo</w:t>
      </w:r>
      <w:proofErr w:type="spellEnd"/>
      <w:r w:rsidRPr="00FD57F4">
        <w:rPr>
          <w:rFonts w:ascii="Arial" w:hAnsi="Arial" w:cs="Arial"/>
          <w:b/>
          <w:bCs/>
          <w:color w:val="000000"/>
          <w:sz w:val="20"/>
          <w:szCs w:val="20"/>
        </w:rPr>
        <w:t xml:space="preserve">: Die Lösung zur softwaregestützten Prozessanalyse bietet neben dem umfassenden Prozessmodell für Stadtwerke </w:t>
      </w:r>
      <w:r w:rsidR="00231476">
        <w:rPr>
          <w:rFonts w:ascii="Arial" w:hAnsi="Arial" w:cs="Arial"/>
          <w:b/>
          <w:bCs/>
          <w:color w:val="000000"/>
          <w:sz w:val="20"/>
          <w:szCs w:val="20"/>
        </w:rPr>
        <w:t xml:space="preserve">jetzt </w:t>
      </w:r>
      <w:r w:rsidRPr="00FD57F4">
        <w:rPr>
          <w:rFonts w:ascii="Arial" w:hAnsi="Arial" w:cs="Arial"/>
          <w:b/>
          <w:bCs/>
          <w:color w:val="000000"/>
          <w:sz w:val="20"/>
          <w:szCs w:val="20"/>
        </w:rPr>
        <w:t xml:space="preserve">ein Modell für Glasfasernetzbetreiber und Telekommunikationsunternehmen. Zudem wurde die Terminologie </w:t>
      </w:r>
      <w:r w:rsidR="00231476">
        <w:rPr>
          <w:rFonts w:ascii="Arial" w:hAnsi="Arial" w:cs="Arial"/>
          <w:b/>
          <w:bCs/>
          <w:color w:val="000000"/>
          <w:sz w:val="20"/>
          <w:szCs w:val="20"/>
        </w:rPr>
        <w:t>an das</w:t>
      </w:r>
      <w:r w:rsidRPr="00FD57F4">
        <w:rPr>
          <w:rFonts w:ascii="Arial" w:hAnsi="Arial" w:cs="Arial"/>
          <w:b/>
          <w:bCs/>
          <w:color w:val="000000"/>
          <w:sz w:val="20"/>
          <w:szCs w:val="20"/>
        </w:rPr>
        <w:t xml:space="preserve"> „Branchenprozessmodell zur Ermittlung eines angemessenen Zuschlags für leistungsmengenneutrale Gemeinkosten“ angepasst, mit dem die Bundesnetzagentur einmal jährlich Kosteninformationen von den Netzbetreibern abfragt.</w:t>
      </w:r>
    </w:p>
    <w:p w14:paraId="67683CD0" w14:textId="425C4A4D" w:rsidR="009E4804" w:rsidRDefault="008C3088" w:rsidP="00872376">
      <w:pPr>
        <w:spacing w:line="360" w:lineRule="auto"/>
        <w:rPr>
          <w:rFonts w:ascii="Arial" w:hAnsi="Arial" w:cs="Arial"/>
          <w:color w:val="000000"/>
          <w:sz w:val="20"/>
          <w:szCs w:val="20"/>
        </w:rPr>
      </w:pPr>
      <w:r w:rsidRPr="008C3088">
        <w:rPr>
          <w:rFonts w:ascii="Arial" w:hAnsi="Arial" w:cs="Arial"/>
          <w:color w:val="000000"/>
          <w:sz w:val="20"/>
          <w:szCs w:val="20"/>
        </w:rPr>
        <w:t xml:space="preserve">Mit </w:t>
      </w:r>
      <w:proofErr w:type="spellStart"/>
      <w:r w:rsidRPr="008C3088">
        <w:rPr>
          <w:rFonts w:ascii="Arial" w:hAnsi="Arial" w:cs="Arial"/>
          <w:color w:val="000000"/>
          <w:sz w:val="20"/>
          <w:szCs w:val="20"/>
        </w:rPr>
        <w:t>Vivax</w:t>
      </w:r>
      <w:proofErr w:type="spellEnd"/>
      <w:r w:rsidRPr="008C3088">
        <w:rPr>
          <w:rFonts w:ascii="Arial" w:hAnsi="Arial" w:cs="Arial"/>
          <w:color w:val="000000"/>
          <w:sz w:val="20"/>
          <w:szCs w:val="20"/>
        </w:rPr>
        <w:t xml:space="preserve"> </w:t>
      </w:r>
      <w:proofErr w:type="spellStart"/>
      <w:r w:rsidRPr="008C3088">
        <w:rPr>
          <w:rFonts w:ascii="Arial" w:hAnsi="Arial" w:cs="Arial"/>
          <w:color w:val="000000"/>
          <w:sz w:val="20"/>
          <w:szCs w:val="20"/>
        </w:rPr>
        <w:t>FiberValue</w:t>
      </w:r>
      <w:proofErr w:type="spellEnd"/>
      <w:r w:rsidRPr="008C3088">
        <w:rPr>
          <w:rFonts w:ascii="Arial" w:hAnsi="Arial" w:cs="Arial"/>
          <w:color w:val="000000"/>
          <w:sz w:val="20"/>
          <w:szCs w:val="20"/>
        </w:rPr>
        <w:t xml:space="preserve"> bietet </w:t>
      </w:r>
      <w:proofErr w:type="spellStart"/>
      <w:r w:rsidRPr="008C3088">
        <w:rPr>
          <w:rFonts w:ascii="Arial" w:hAnsi="Arial" w:cs="Arial"/>
          <w:color w:val="000000"/>
          <w:sz w:val="20"/>
          <w:szCs w:val="20"/>
        </w:rPr>
        <w:t>Vivax</w:t>
      </w:r>
      <w:proofErr w:type="spellEnd"/>
      <w:r w:rsidRPr="008C3088">
        <w:rPr>
          <w:rFonts w:ascii="Arial" w:hAnsi="Arial" w:cs="Arial"/>
          <w:color w:val="000000"/>
          <w:sz w:val="20"/>
          <w:szCs w:val="20"/>
        </w:rPr>
        <w:t xml:space="preserve"> Consulting Betreibern von Glasfasernetzen die Möglichkeit, Kostentransparenz zu schaffen und auf dieser Basis auskömmliche Netzentgelte für Diensteanbieter zu kalkulieren - ein wesentlicher Erfolgsfaktor für den wirtschaftlichen Betrieb von Open Access-Netzen. Abgerundet wird das Angebot durch Beratungspakete für Open Access Assessment, Marketing- und Vertriebsanalysen, Fiber Analytics sowie einen Vorleistungsvergleich.</w:t>
      </w:r>
    </w:p>
    <w:p w14:paraId="56D0C49F" w14:textId="30A3547C" w:rsidR="008C3088" w:rsidRDefault="008C3088" w:rsidP="00872376">
      <w:pPr>
        <w:spacing w:line="360" w:lineRule="auto"/>
        <w:rPr>
          <w:rFonts w:ascii="Arial" w:hAnsi="Arial" w:cs="Arial"/>
          <w:color w:val="000000"/>
          <w:sz w:val="20"/>
          <w:szCs w:val="20"/>
        </w:rPr>
      </w:pPr>
      <w:r w:rsidRPr="008C3088">
        <w:rPr>
          <w:rFonts w:ascii="Arial" w:hAnsi="Arial" w:cs="Arial"/>
          <w:color w:val="000000"/>
          <w:sz w:val="20"/>
          <w:szCs w:val="20"/>
        </w:rPr>
        <w:lastRenderedPageBreak/>
        <w:t xml:space="preserve">Im regulatorischen Umfeld hat sich </w:t>
      </w:r>
      <w:proofErr w:type="spellStart"/>
      <w:r w:rsidRPr="008C3088">
        <w:rPr>
          <w:rFonts w:ascii="Arial" w:hAnsi="Arial" w:cs="Arial"/>
          <w:color w:val="000000"/>
          <w:sz w:val="20"/>
          <w:szCs w:val="20"/>
        </w:rPr>
        <w:t>Vivax</w:t>
      </w:r>
      <w:proofErr w:type="spellEnd"/>
      <w:r w:rsidRPr="008C3088">
        <w:rPr>
          <w:rFonts w:ascii="Arial" w:hAnsi="Arial" w:cs="Arial"/>
          <w:color w:val="000000"/>
          <w:sz w:val="20"/>
          <w:szCs w:val="20"/>
        </w:rPr>
        <w:t xml:space="preserve"> Consulting komplett neu aufgestellt. Mit aufeinander abgestimmten Beratungspaketen für Datenschutz, IT-Sicherheit und NIS2-Compliance werden rechtliche Risiken minimiert, datenrelevante Prozesse transparent gemacht und Strategien zur besseren Absicherung des Unternehmens gegen Angriffe von außen vermittelt. Bei der kommunalen Wärmeplanung unterstützt </w:t>
      </w:r>
      <w:proofErr w:type="spellStart"/>
      <w:r w:rsidRPr="008C3088">
        <w:rPr>
          <w:rFonts w:ascii="Arial" w:hAnsi="Arial" w:cs="Arial"/>
          <w:color w:val="000000"/>
          <w:sz w:val="20"/>
          <w:szCs w:val="20"/>
        </w:rPr>
        <w:t>Vivax</w:t>
      </w:r>
      <w:proofErr w:type="spellEnd"/>
      <w:r w:rsidRPr="008C3088">
        <w:rPr>
          <w:rFonts w:ascii="Arial" w:hAnsi="Arial" w:cs="Arial"/>
          <w:color w:val="000000"/>
          <w:sz w:val="20"/>
          <w:szCs w:val="20"/>
        </w:rPr>
        <w:t xml:space="preserve"> Consulting sowohl bei der Bestands- und Potenzialanalyse als auch bei Umsetzungsstrategien und Projektmanagement.</w:t>
      </w:r>
    </w:p>
    <w:p w14:paraId="11991B5B" w14:textId="77777777" w:rsidR="008C3088" w:rsidRDefault="008C3088" w:rsidP="00872376">
      <w:pPr>
        <w:spacing w:line="360" w:lineRule="auto"/>
        <w:rPr>
          <w:rFonts w:ascii="Arial" w:hAnsi="Arial" w:cs="Arial"/>
          <w:color w:val="000000"/>
          <w:sz w:val="20"/>
          <w:szCs w:val="20"/>
        </w:rPr>
      </w:pPr>
    </w:p>
    <w:tbl>
      <w:tblPr>
        <w:tblW w:w="8647" w:type="dxa"/>
        <w:tblLook w:val="04A0" w:firstRow="1" w:lastRow="0" w:firstColumn="1" w:lastColumn="0" w:noHBand="0" w:noVBand="1"/>
      </w:tblPr>
      <w:tblGrid>
        <w:gridCol w:w="3828"/>
        <w:gridCol w:w="4819"/>
      </w:tblGrid>
      <w:tr w:rsidR="000A752F" w:rsidRPr="000655B7" w14:paraId="14BEE28C" w14:textId="77777777" w:rsidTr="000C1A5E">
        <w:tc>
          <w:tcPr>
            <w:tcW w:w="3828"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40A39B38"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sidRPr="000655B7">
              <w:rPr>
                <w:rFonts w:ascii="Arial" w:hAnsi="Arial" w:cs="Calibri"/>
                <w:sz w:val="16"/>
                <w:szCs w:val="26"/>
                <w:lang w:eastAsia="de-DE"/>
              </w:rPr>
              <w:t>Vivax</w:t>
            </w:r>
            <w:proofErr w:type="spellEnd"/>
            <w:r w:rsidR="000C1A5E">
              <w:rPr>
                <w:rFonts w:ascii="Arial" w:hAnsi="Arial" w:cs="Calibri"/>
                <w:sz w:val="16"/>
                <w:szCs w:val="26"/>
                <w:lang w:eastAsia="de-DE"/>
              </w:rPr>
              <w:t xml:space="preserve"> Consult</w:t>
            </w:r>
            <w:r w:rsidR="007A3ED5">
              <w:rPr>
                <w:rFonts w:ascii="Arial" w:hAnsi="Arial" w:cs="Calibri"/>
                <w:sz w:val="16"/>
                <w:szCs w:val="26"/>
                <w:lang w:eastAsia="de-DE"/>
              </w:rPr>
              <w:t>i</w:t>
            </w:r>
            <w:r w:rsidR="000C1A5E">
              <w:rPr>
                <w:rFonts w:ascii="Arial" w:hAnsi="Arial" w:cs="Calibri"/>
                <w:sz w:val="16"/>
                <w:szCs w:val="26"/>
                <w:lang w:eastAsia="de-DE"/>
              </w:rPr>
              <w:t>ng</w:t>
            </w:r>
            <w:r w:rsidRPr="000655B7">
              <w:rPr>
                <w:rFonts w:ascii="Arial" w:hAnsi="Arial" w:cs="Calibri"/>
                <w:sz w:val="16"/>
                <w:szCs w:val="26"/>
                <w:lang w:eastAsia="de-DE"/>
              </w:rPr>
              <w:t xml:space="preserve"> GmbH – </w:t>
            </w:r>
            <w:r w:rsidR="000C1A5E">
              <w:rPr>
                <w:rFonts w:ascii="Arial" w:hAnsi="Arial" w:cs="Calibri"/>
                <w:sz w:val="16"/>
                <w:szCs w:val="26"/>
                <w:lang w:eastAsia="de-DE"/>
              </w:rPr>
              <w:t>Frank von Allwörden</w:t>
            </w:r>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000C1A5E" w:rsidRPr="00A17875">
                <w:rPr>
                  <w:rStyle w:val="Hyperlink"/>
                  <w:rFonts w:ascii="Arial" w:hAnsi="Arial" w:cs="Calibri"/>
                  <w:sz w:val="16"/>
                  <w:szCs w:val="26"/>
                  <w:lang w:eastAsia="de-DE"/>
                </w:rPr>
                <w:t>f.vonallwoerden@vivax-consulting.de</w:t>
              </w:r>
            </w:hyperlink>
            <w:r w:rsidR="000C1A5E">
              <w:rPr>
                <w:rFonts w:ascii="Arial" w:hAnsi="Arial" w:cs="Calibri"/>
                <w:sz w:val="16"/>
                <w:szCs w:val="26"/>
                <w:lang w:eastAsia="de-DE"/>
              </w:rPr>
              <w:br/>
            </w:r>
            <w:hyperlink r:id="rId8" w:history="1">
              <w:r w:rsidR="000C1A5E" w:rsidRPr="00A17875">
                <w:rPr>
                  <w:rStyle w:val="Hyperlink"/>
                  <w:rFonts w:ascii="Arial" w:hAnsi="Arial" w:cs="Calibri"/>
                  <w:sz w:val="16"/>
                  <w:szCs w:val="26"/>
                  <w:lang w:eastAsia="de-DE"/>
                </w:rPr>
                <w:t>https://www.vivax-consulting.de</w:t>
              </w:r>
            </w:hyperlink>
            <w:r w:rsidR="000C1A5E">
              <w:rPr>
                <w:rFonts w:ascii="Arial" w:hAnsi="Arial" w:cs="Calibri"/>
                <w:sz w:val="16"/>
                <w:szCs w:val="26"/>
                <w:lang w:eastAsia="de-DE"/>
              </w:rPr>
              <w:t xml:space="preserve"> </w:t>
            </w:r>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0BEB0EC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w:t>
            </w:r>
            <w:r w:rsidR="000C1A5E">
              <w:rPr>
                <w:rFonts w:ascii="Arial" w:hAnsi="Arial" w:cs="Calibri"/>
                <w:sz w:val="16"/>
                <w:szCs w:val="26"/>
                <w:lang w:eastAsia="de-DE"/>
              </w:rPr>
              <w:t>-Deutz-S</w:t>
            </w:r>
            <w:r w:rsidRPr="000655B7">
              <w:rPr>
                <w:rFonts w:ascii="Arial" w:hAnsi="Arial" w:cs="Calibri"/>
                <w:sz w:val="16"/>
                <w:szCs w:val="26"/>
                <w:lang w:eastAsia="de-DE"/>
              </w:rPr>
              <w:t xml:space="preserve">traße </w:t>
            </w:r>
            <w:r w:rsidR="000C1A5E">
              <w:rPr>
                <w:rFonts w:ascii="Arial" w:hAnsi="Arial" w:cs="Calibri"/>
                <w:sz w:val="16"/>
                <w:szCs w:val="26"/>
                <w:lang w:eastAsia="de-DE"/>
              </w:rPr>
              <w:t>14</w:t>
            </w:r>
            <w:r w:rsidRPr="000655B7">
              <w:rPr>
                <w:rFonts w:ascii="Arial" w:hAnsi="Arial" w:cs="Calibri"/>
                <w:sz w:val="16"/>
                <w:szCs w:val="26"/>
                <w:lang w:eastAsia="de-DE"/>
              </w:rPr>
              <w:t xml:space="preserve"> – 89077 Ulm</w:t>
            </w:r>
            <w:r w:rsidRPr="000655B7">
              <w:rPr>
                <w:rFonts w:ascii="Arial" w:hAnsi="Arial" w:cs="Calibri"/>
                <w:sz w:val="16"/>
                <w:szCs w:val="26"/>
                <w:lang w:eastAsia="de-DE"/>
              </w:rPr>
              <w:br/>
              <w:t xml:space="preserve">Tel.: +49 731 </w:t>
            </w:r>
            <w:r w:rsidR="000C1A5E">
              <w:rPr>
                <w:rFonts w:ascii="Arial" w:hAnsi="Arial" w:cs="Calibri"/>
                <w:sz w:val="16"/>
                <w:szCs w:val="26"/>
                <w:lang w:eastAsia="de-DE"/>
              </w:rPr>
              <w:t>146 156-8</w:t>
            </w:r>
            <w:r w:rsidRPr="000655B7">
              <w:rPr>
                <w:rFonts w:ascii="Arial" w:hAnsi="Arial" w:cs="Calibri"/>
                <w:sz w:val="16"/>
                <w:szCs w:val="26"/>
                <w:lang w:eastAsia="de-DE"/>
              </w:rPr>
              <w:t xml:space="preserve">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r w:rsidR="000C1A5E">
              <w:rPr>
                <w:rFonts w:ascii="Arial" w:hAnsi="Arial" w:cs="Calibri"/>
                <w:sz w:val="16"/>
                <w:szCs w:val="26"/>
                <w:lang w:eastAsia="de-DE"/>
              </w:rPr>
              <w:t>https://</w:t>
            </w:r>
            <w:r w:rsidRPr="000655B7">
              <w:rPr>
                <w:rFonts w:ascii="Arial" w:hAnsi="Arial" w:cs="Calibri"/>
                <w:sz w:val="16"/>
                <w:szCs w:val="26"/>
                <w:lang w:eastAsia="de-DE"/>
              </w:rPr>
              <w:t>press-n-relations.com</w:t>
            </w:r>
          </w:p>
        </w:tc>
      </w:tr>
    </w:tbl>
    <w:bookmarkEnd w:id="0"/>
    <w:bookmarkEnd w:id="1"/>
    <w:p w14:paraId="2E55E5C6" w14:textId="75383967" w:rsidR="007749DD" w:rsidRPr="001034C2" w:rsidRDefault="008C3088" w:rsidP="001034C2">
      <w:pPr>
        <w:widowControl w:val="0"/>
        <w:autoSpaceDE w:val="0"/>
        <w:autoSpaceDN w:val="0"/>
        <w:adjustRightInd w:val="0"/>
        <w:spacing w:line="240" w:lineRule="auto"/>
        <w:ind w:left="34" w:right="-141"/>
        <w:rPr>
          <w:rFonts w:ascii="Arial" w:hAnsi="Arial" w:cs="Calibri"/>
          <w:sz w:val="16"/>
          <w:szCs w:val="26"/>
          <w:lang w:eastAsia="de-DE"/>
        </w:rPr>
      </w:pP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Consulting</w:t>
      </w:r>
      <w:r w:rsidR="000A752F" w:rsidRPr="004574AD">
        <w:rPr>
          <w:rFonts w:ascii="Arial" w:hAnsi="Arial" w:cs="Calibri"/>
          <w:sz w:val="16"/>
          <w:szCs w:val="26"/>
          <w:lang w:eastAsia="de-DE"/>
        </w:rPr>
        <w:t xml:space="preserve"> mit Sitz in Berlin unterstützt ihre Kunden </w:t>
      </w:r>
      <w:r w:rsidR="000A752F" w:rsidRPr="008C3088">
        <w:rPr>
          <w:rFonts w:ascii="Arial" w:hAnsi="Arial" w:cs="Calibri"/>
          <w:sz w:val="16"/>
          <w:szCs w:val="26"/>
          <w:lang w:eastAsia="de-DE"/>
        </w:rPr>
        <w:t xml:space="preserve">als </w:t>
      </w:r>
      <w:r w:rsidRPr="008C3088">
        <w:rPr>
          <w:rFonts w:ascii="Arial" w:hAnsi="Arial" w:cs="Calibri"/>
          <w:sz w:val="16"/>
          <w:szCs w:val="26"/>
          <w:lang w:eastAsia="de-DE"/>
        </w:rPr>
        <w:t>Beratungspartner für das gesamte Themenspektrum von der Digitalisierung und Automatisierung über die Datenanalyse bis hin zum Projektmanagement.</w:t>
      </w:r>
      <w:r>
        <w:rPr>
          <w:rFonts w:ascii="Arial" w:hAnsi="Arial" w:cs="Calibri"/>
          <w:sz w:val="16"/>
          <w:szCs w:val="26"/>
          <w:lang w:eastAsia="de-DE"/>
        </w:rPr>
        <w:t xml:space="preserve"> </w:t>
      </w:r>
      <w:r w:rsidR="000C1A5E">
        <w:rPr>
          <w:rFonts w:ascii="Arial" w:hAnsi="Arial" w:cs="Calibri"/>
          <w:sz w:val="16"/>
          <w:szCs w:val="26"/>
          <w:lang w:eastAsia="de-DE"/>
        </w:rPr>
        <w:t xml:space="preserve">Dabei konzentriert sich das Unternehmen auf drei Themenbereiche: Strategieberatung rund um den Glasfaserausbau und Open-Access-Netze, Beratung im regulatorischen Umfeld sowie Prozesskostenanalyse und -optimierung mit </w:t>
      </w:r>
      <w:proofErr w:type="spellStart"/>
      <w:r w:rsidR="000C1A5E">
        <w:rPr>
          <w:rFonts w:ascii="Arial" w:hAnsi="Arial" w:cs="Calibri"/>
          <w:sz w:val="16"/>
          <w:szCs w:val="26"/>
          <w:lang w:eastAsia="de-DE"/>
        </w:rPr>
        <w:t>Vivax</w:t>
      </w:r>
      <w:proofErr w:type="spellEnd"/>
      <w:r w:rsidR="000C1A5E">
        <w:rPr>
          <w:rFonts w:ascii="Arial" w:hAnsi="Arial" w:cs="Calibri"/>
          <w:sz w:val="16"/>
          <w:szCs w:val="26"/>
          <w:lang w:eastAsia="de-DE"/>
        </w:rPr>
        <w:t xml:space="preserve"> Analytics </w:t>
      </w:r>
      <w:proofErr w:type="spellStart"/>
      <w:r w:rsidR="000C1A5E">
        <w:rPr>
          <w:rFonts w:ascii="Arial" w:hAnsi="Arial" w:cs="Calibri"/>
          <w:sz w:val="16"/>
          <w:szCs w:val="26"/>
          <w:lang w:eastAsia="de-DE"/>
        </w:rPr>
        <w:t>ProCo</w:t>
      </w:r>
      <w:proofErr w:type="spellEnd"/>
      <w:r w:rsidR="000A752F" w:rsidRPr="004574AD">
        <w:rPr>
          <w:rFonts w:ascii="Arial" w:hAnsi="Arial" w:cs="Calibri"/>
          <w:sz w:val="16"/>
          <w:szCs w:val="26"/>
          <w:lang w:eastAsia="de-DE"/>
        </w:rPr>
        <w: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B5C93" w14:textId="77777777" w:rsidR="001D5B1D" w:rsidRDefault="001D5B1D" w:rsidP="00BF70FE">
      <w:pPr>
        <w:spacing w:after="0" w:line="240" w:lineRule="auto"/>
      </w:pPr>
      <w:r>
        <w:separator/>
      </w:r>
    </w:p>
  </w:endnote>
  <w:endnote w:type="continuationSeparator" w:id="0">
    <w:p w14:paraId="75590EFC" w14:textId="77777777" w:rsidR="001D5B1D" w:rsidRDefault="001D5B1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38A53" w14:textId="77777777" w:rsidR="001D5B1D" w:rsidRDefault="001D5B1D" w:rsidP="00BF70FE">
      <w:pPr>
        <w:spacing w:after="0" w:line="240" w:lineRule="auto"/>
      </w:pPr>
      <w:r>
        <w:separator/>
      </w:r>
    </w:p>
  </w:footnote>
  <w:footnote w:type="continuationSeparator" w:id="0">
    <w:p w14:paraId="47505C5D" w14:textId="77777777" w:rsidR="001D5B1D" w:rsidRDefault="001D5B1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685" w14:textId="51270EBA" w:rsidR="00B96701" w:rsidRDefault="00E14F96" w:rsidP="00384CDB">
    <w:pPr>
      <w:pStyle w:val="Kopfzeile"/>
      <w:tabs>
        <w:tab w:val="clear" w:pos="9072"/>
      </w:tabs>
      <w:ind w:right="-3118"/>
    </w:pPr>
    <w:r>
      <w:rPr>
        <w:noProof/>
        <w:lang w:eastAsia="de-DE"/>
      </w:rPr>
      <w:t xml:space="preserve">       </w:t>
    </w:r>
    <w:r>
      <w:rPr>
        <w:noProof/>
        <w:lang w:eastAsia="de-DE"/>
      </w:rPr>
      <w:tab/>
    </w:r>
    <w:r>
      <w:rPr>
        <w:noProof/>
        <w:lang w:eastAsia="de-DE"/>
      </w:rPr>
      <w:tab/>
    </w:r>
    <w:r>
      <w:rPr>
        <w:noProof/>
        <w:lang w:eastAsia="de-DE"/>
      </w:rPr>
      <w:tab/>
    </w:r>
    <w:r w:rsidR="00384CDB">
      <w:rPr>
        <w:noProof/>
        <w:lang w:eastAsia="de-DE"/>
      </w:rPr>
      <w:tab/>
    </w:r>
    <w:r w:rsidR="00384CDB">
      <w:rPr>
        <w:noProof/>
        <w:lang w:eastAsia="de-DE"/>
      </w:rPr>
      <w:tab/>
    </w:r>
    <w:r w:rsidR="00384CDB">
      <w:rPr>
        <w:noProof/>
        <w:lang w:eastAsia="de-DE"/>
      </w:rPr>
      <w:tab/>
      <w:t xml:space="preserve"> </w:t>
    </w:r>
    <w:r w:rsidR="00384CDB">
      <w:rPr>
        <w:noProof/>
        <w:lang w:eastAsia="de-DE"/>
      </w:rPr>
      <w:drawing>
        <wp:inline distT="0" distB="0" distL="0" distR="0" wp14:anchorId="65786D17" wp14:editId="32E2DF69">
          <wp:extent cx="1267922" cy="595433"/>
          <wp:effectExtent l="0" t="0" r="2540" b="1905"/>
          <wp:docPr id="20850018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01885" name="Grafik 2085001885"/>
                  <pic:cNvPicPr/>
                </pic:nvPicPr>
                <pic:blipFill>
                  <a:blip r:embed="rId1"/>
                  <a:stretch>
                    <a:fillRect/>
                  </a:stretch>
                </pic:blipFill>
                <pic:spPr>
                  <a:xfrm>
                    <a:off x="0" y="0"/>
                    <a:ext cx="1297747" cy="6094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2"/>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B8A"/>
    <w:rsid w:val="00040DBA"/>
    <w:rsid w:val="00041A6A"/>
    <w:rsid w:val="00044557"/>
    <w:rsid w:val="00046762"/>
    <w:rsid w:val="00047718"/>
    <w:rsid w:val="000541F5"/>
    <w:rsid w:val="00054244"/>
    <w:rsid w:val="000551FD"/>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5BA3"/>
    <w:rsid w:val="000B6A65"/>
    <w:rsid w:val="000C1A5E"/>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5AB"/>
    <w:rsid w:val="001457D5"/>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C51EC"/>
    <w:rsid w:val="001C6603"/>
    <w:rsid w:val="001C7838"/>
    <w:rsid w:val="001D2C4D"/>
    <w:rsid w:val="001D2FB7"/>
    <w:rsid w:val="001D5B1D"/>
    <w:rsid w:val="001D7D3B"/>
    <w:rsid w:val="001E3CB7"/>
    <w:rsid w:val="001E6755"/>
    <w:rsid w:val="001E6F47"/>
    <w:rsid w:val="001F293E"/>
    <w:rsid w:val="00200031"/>
    <w:rsid w:val="0020049A"/>
    <w:rsid w:val="00205941"/>
    <w:rsid w:val="00207A9F"/>
    <w:rsid w:val="00211928"/>
    <w:rsid w:val="00213AF7"/>
    <w:rsid w:val="00221178"/>
    <w:rsid w:val="00221777"/>
    <w:rsid w:val="002230DC"/>
    <w:rsid w:val="00226C07"/>
    <w:rsid w:val="00231476"/>
    <w:rsid w:val="00233C8C"/>
    <w:rsid w:val="00235F66"/>
    <w:rsid w:val="00236787"/>
    <w:rsid w:val="00237217"/>
    <w:rsid w:val="00243944"/>
    <w:rsid w:val="00244E90"/>
    <w:rsid w:val="002507D4"/>
    <w:rsid w:val="00255BB8"/>
    <w:rsid w:val="00262A08"/>
    <w:rsid w:val="00265589"/>
    <w:rsid w:val="00272427"/>
    <w:rsid w:val="00274204"/>
    <w:rsid w:val="002745F8"/>
    <w:rsid w:val="00274B29"/>
    <w:rsid w:val="00274E41"/>
    <w:rsid w:val="002757A3"/>
    <w:rsid w:val="00276887"/>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3923"/>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83C82"/>
    <w:rsid w:val="00384CDB"/>
    <w:rsid w:val="003902A0"/>
    <w:rsid w:val="003911B7"/>
    <w:rsid w:val="00394D5C"/>
    <w:rsid w:val="003953CA"/>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6A90"/>
    <w:rsid w:val="00576E59"/>
    <w:rsid w:val="00577F31"/>
    <w:rsid w:val="00580B67"/>
    <w:rsid w:val="00580F7D"/>
    <w:rsid w:val="00582EC1"/>
    <w:rsid w:val="00582ECD"/>
    <w:rsid w:val="005845F6"/>
    <w:rsid w:val="00591D88"/>
    <w:rsid w:val="005926D7"/>
    <w:rsid w:val="005958C2"/>
    <w:rsid w:val="00596BC4"/>
    <w:rsid w:val="005A1828"/>
    <w:rsid w:val="005B2C0D"/>
    <w:rsid w:val="005B3C72"/>
    <w:rsid w:val="005B50F1"/>
    <w:rsid w:val="005C1147"/>
    <w:rsid w:val="005C4CB9"/>
    <w:rsid w:val="005D1AA8"/>
    <w:rsid w:val="005D3D1E"/>
    <w:rsid w:val="005D5E32"/>
    <w:rsid w:val="005D61BC"/>
    <w:rsid w:val="005E1591"/>
    <w:rsid w:val="005E204F"/>
    <w:rsid w:val="005E5E93"/>
    <w:rsid w:val="005F2DF5"/>
    <w:rsid w:val="005F5177"/>
    <w:rsid w:val="005F63B7"/>
    <w:rsid w:val="00600833"/>
    <w:rsid w:val="0060472D"/>
    <w:rsid w:val="00605163"/>
    <w:rsid w:val="00612B5F"/>
    <w:rsid w:val="00613B84"/>
    <w:rsid w:val="006166CF"/>
    <w:rsid w:val="00630497"/>
    <w:rsid w:val="00632072"/>
    <w:rsid w:val="00632BA3"/>
    <w:rsid w:val="00633111"/>
    <w:rsid w:val="00640EED"/>
    <w:rsid w:val="00650109"/>
    <w:rsid w:val="00650F5E"/>
    <w:rsid w:val="006514AF"/>
    <w:rsid w:val="00653201"/>
    <w:rsid w:val="006563BE"/>
    <w:rsid w:val="00664FF9"/>
    <w:rsid w:val="006663C8"/>
    <w:rsid w:val="00666C16"/>
    <w:rsid w:val="006721DA"/>
    <w:rsid w:val="0067331D"/>
    <w:rsid w:val="00673F12"/>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92C"/>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A3ED5"/>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1727B"/>
    <w:rsid w:val="00822F51"/>
    <w:rsid w:val="00825564"/>
    <w:rsid w:val="00825E47"/>
    <w:rsid w:val="0082641D"/>
    <w:rsid w:val="00841C40"/>
    <w:rsid w:val="008457BE"/>
    <w:rsid w:val="00860C87"/>
    <w:rsid w:val="008627A4"/>
    <w:rsid w:val="00870824"/>
    <w:rsid w:val="008709F4"/>
    <w:rsid w:val="00872376"/>
    <w:rsid w:val="00872E24"/>
    <w:rsid w:val="0088232C"/>
    <w:rsid w:val="00883CE3"/>
    <w:rsid w:val="0089252B"/>
    <w:rsid w:val="008956CD"/>
    <w:rsid w:val="008A0DBF"/>
    <w:rsid w:val="008A484E"/>
    <w:rsid w:val="008A52B6"/>
    <w:rsid w:val="008A6550"/>
    <w:rsid w:val="008A663A"/>
    <w:rsid w:val="008B2353"/>
    <w:rsid w:val="008B464E"/>
    <w:rsid w:val="008B5FAE"/>
    <w:rsid w:val="008C3088"/>
    <w:rsid w:val="008C3262"/>
    <w:rsid w:val="008D0D7C"/>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B782B"/>
    <w:rsid w:val="009C0CE4"/>
    <w:rsid w:val="009D30A6"/>
    <w:rsid w:val="009D4DFD"/>
    <w:rsid w:val="009E32E3"/>
    <w:rsid w:val="009E44F0"/>
    <w:rsid w:val="009E4804"/>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49CB"/>
    <w:rsid w:val="00A551F1"/>
    <w:rsid w:val="00A55C3C"/>
    <w:rsid w:val="00A56E5A"/>
    <w:rsid w:val="00A57C12"/>
    <w:rsid w:val="00A636C0"/>
    <w:rsid w:val="00A66B0E"/>
    <w:rsid w:val="00A71BF1"/>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30EE"/>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2E2B"/>
    <w:rsid w:val="00CC44E9"/>
    <w:rsid w:val="00CC4D60"/>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2678"/>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3CA1"/>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753"/>
    <w:rsid w:val="00F36DE3"/>
    <w:rsid w:val="00F40E03"/>
    <w:rsid w:val="00F4188B"/>
    <w:rsid w:val="00F42643"/>
    <w:rsid w:val="00F45322"/>
    <w:rsid w:val="00F469CA"/>
    <w:rsid w:val="00F53665"/>
    <w:rsid w:val="00F60AEE"/>
    <w:rsid w:val="00F61423"/>
    <w:rsid w:val="00F62891"/>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57F4"/>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384258698">
      <w:bodyDiv w:val="1"/>
      <w:marLeft w:val="0"/>
      <w:marRight w:val="0"/>
      <w:marTop w:val="0"/>
      <w:marBottom w:val="0"/>
      <w:divBdr>
        <w:top w:val="none" w:sz="0" w:space="0" w:color="auto"/>
        <w:left w:val="none" w:sz="0" w:space="0" w:color="auto"/>
        <w:bottom w:val="none" w:sz="0" w:space="0" w:color="auto"/>
        <w:right w:val="none" w:sz="0" w:space="0" w:color="auto"/>
      </w:divBdr>
      <w:divsChild>
        <w:div w:id="1868133649">
          <w:marLeft w:val="734"/>
          <w:marRight w:val="0"/>
          <w:marTop w:val="200"/>
          <w:marBottom w:val="0"/>
          <w:divBdr>
            <w:top w:val="none" w:sz="0" w:space="0" w:color="auto"/>
            <w:left w:val="none" w:sz="0" w:space="0" w:color="auto"/>
            <w:bottom w:val="none" w:sz="0" w:space="0" w:color="auto"/>
            <w:right w:val="none" w:sz="0" w:space="0" w:color="auto"/>
          </w:divBdr>
        </w:div>
        <w:div w:id="2110925141">
          <w:marLeft w:val="734"/>
          <w:marRight w:val="0"/>
          <w:marTop w:val="200"/>
          <w:marBottom w:val="0"/>
          <w:divBdr>
            <w:top w:val="none" w:sz="0" w:space="0" w:color="auto"/>
            <w:left w:val="none" w:sz="0" w:space="0" w:color="auto"/>
            <w:bottom w:val="none" w:sz="0" w:space="0" w:color="auto"/>
            <w:right w:val="none" w:sz="0" w:space="0" w:color="auto"/>
          </w:divBdr>
        </w:div>
        <w:div w:id="1905413548">
          <w:marLeft w:val="734"/>
          <w:marRight w:val="0"/>
          <w:marTop w:val="200"/>
          <w:marBottom w:val="0"/>
          <w:divBdr>
            <w:top w:val="none" w:sz="0" w:space="0" w:color="auto"/>
            <w:left w:val="none" w:sz="0" w:space="0" w:color="auto"/>
            <w:bottom w:val="none" w:sz="0" w:space="0" w:color="auto"/>
            <w:right w:val="none" w:sz="0" w:space="0" w:color="auto"/>
          </w:divBdr>
        </w:div>
        <w:div w:id="1217938442">
          <w:marLeft w:val="734"/>
          <w:marRight w:val="0"/>
          <w:marTop w:val="200"/>
          <w:marBottom w:val="0"/>
          <w:divBdr>
            <w:top w:val="none" w:sz="0" w:space="0" w:color="auto"/>
            <w:left w:val="none" w:sz="0" w:space="0" w:color="auto"/>
            <w:bottom w:val="none" w:sz="0" w:space="0" w:color="auto"/>
            <w:right w:val="none" w:sz="0" w:space="0" w:color="auto"/>
          </w:divBdr>
        </w:div>
      </w:divsChild>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0787412">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s://www.vivax-consulting.de" TargetMode="External"/><Relationship Id="rId3" Type="http://schemas.openxmlformats.org/officeDocument/2006/relationships/settings" Target="settings.xml"/><Relationship Id="rId7" Type="http://schemas.openxmlformats.org/officeDocument/2006/relationships/hyperlink" Target="mailto:f.vonallwoerden@vivax-consulting.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3108</Characters>
  <Application>Microsoft Office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9</cp:revision>
  <cp:lastPrinted>2022-06-03T06:41:00Z</cp:lastPrinted>
  <dcterms:created xsi:type="dcterms:W3CDTF">2025-02-06T14:09:00Z</dcterms:created>
  <dcterms:modified xsi:type="dcterms:W3CDTF">2025-02-07T14:09:00Z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