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038E05" w14:textId="77777777" w:rsidR="005D3D1E" w:rsidRDefault="005D3D1E" w:rsidP="005D3D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</w:p>
    <w:p w14:paraId="366C25D7" w14:textId="77777777" w:rsidR="005D3D1E" w:rsidRPr="000655B7" w:rsidRDefault="005D3D1E" w:rsidP="005D3D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</w:p>
    <w:p w14:paraId="6DF482A4" w14:textId="77777777" w:rsidR="005D3D1E" w:rsidRPr="000655B7" w:rsidRDefault="005D3D1E" w:rsidP="005D3D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8"/>
          <w:szCs w:val="28"/>
        </w:rPr>
      </w:pPr>
      <w:r w:rsidRPr="000655B7">
        <w:rPr>
          <w:rFonts w:ascii="Arial" w:hAnsi="Arial" w:cs="Arial"/>
          <w:b/>
          <w:color w:val="000000"/>
          <w:sz w:val="28"/>
          <w:szCs w:val="28"/>
        </w:rPr>
        <w:t>PRESSEINFORMATION</w:t>
      </w:r>
    </w:p>
    <w:p w14:paraId="5844D01A" w14:textId="77777777" w:rsidR="005D3D1E" w:rsidRDefault="005D3D1E" w:rsidP="005D3D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14:paraId="62F05F78" w14:textId="44387D46" w:rsidR="005D3D1E" w:rsidRPr="00C74157" w:rsidRDefault="005D3D1E" w:rsidP="005D3D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Berlin</w:t>
      </w:r>
      <w:r w:rsidR="00AD6123">
        <w:rPr>
          <w:rFonts w:ascii="Arial" w:hAnsi="Arial" w:cs="Arial"/>
          <w:color w:val="000000"/>
        </w:rPr>
        <w:t>/Köln</w:t>
      </w:r>
      <w:r w:rsidRPr="000655B7">
        <w:rPr>
          <w:rFonts w:ascii="Arial" w:hAnsi="Arial" w:cs="Arial"/>
          <w:color w:val="000000"/>
        </w:rPr>
        <w:t xml:space="preserve">, </w:t>
      </w:r>
      <w:r w:rsidR="00BD023C">
        <w:rPr>
          <w:rFonts w:ascii="Arial" w:hAnsi="Arial" w:cs="Arial"/>
          <w:color w:val="000000"/>
        </w:rPr>
        <w:t>30</w:t>
      </w:r>
      <w:r w:rsidRPr="000655B7">
        <w:rPr>
          <w:rFonts w:ascii="Arial" w:hAnsi="Arial" w:cs="Arial"/>
          <w:color w:val="000000"/>
        </w:rPr>
        <w:t xml:space="preserve">. </w:t>
      </w:r>
      <w:r w:rsidR="00BD023C">
        <w:rPr>
          <w:rFonts w:ascii="Arial" w:hAnsi="Arial" w:cs="Arial"/>
          <w:color w:val="000000"/>
        </w:rPr>
        <w:t>Jun</w:t>
      </w:r>
      <w:r w:rsidR="00C3376B">
        <w:rPr>
          <w:rFonts w:ascii="Arial" w:hAnsi="Arial" w:cs="Arial"/>
          <w:color w:val="000000"/>
        </w:rPr>
        <w:t>i</w:t>
      </w:r>
      <w:r w:rsidRPr="00C74157">
        <w:rPr>
          <w:rFonts w:ascii="Arial" w:hAnsi="Arial" w:cs="Arial"/>
          <w:color w:val="000000"/>
        </w:rPr>
        <w:t xml:space="preserve"> 20</w:t>
      </w:r>
      <w:r w:rsidR="00BF3DDF">
        <w:rPr>
          <w:rFonts w:ascii="Arial" w:hAnsi="Arial" w:cs="Arial"/>
          <w:color w:val="000000"/>
        </w:rPr>
        <w:t>20</w:t>
      </w:r>
    </w:p>
    <w:p w14:paraId="3A8B5942" w14:textId="77777777" w:rsidR="005D3D1E" w:rsidRPr="00C74157" w:rsidRDefault="005D3D1E" w:rsidP="005D3D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0EEC0A94" w14:textId="77777777" w:rsidR="005D3D1E" w:rsidRPr="00C74157" w:rsidRDefault="005D3D1E" w:rsidP="005D3D1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0"/>
          <w:szCs w:val="20"/>
        </w:rPr>
      </w:pPr>
    </w:p>
    <w:p w14:paraId="48E9C6D4" w14:textId="0590F9D7" w:rsidR="003E1E07" w:rsidRPr="00A549CB" w:rsidRDefault="00BD023C" w:rsidP="00FE72DD">
      <w:pPr>
        <w:autoSpaceDE w:val="0"/>
        <w:autoSpaceDN w:val="0"/>
        <w:adjustRightInd w:val="0"/>
        <w:spacing w:after="0" w:line="360" w:lineRule="auto"/>
        <w:ind w:right="-2410"/>
        <w:rPr>
          <w:rFonts w:ascii="Arial" w:hAnsi="Arial" w:cs="Arial"/>
          <w:b/>
          <w:color w:val="000000"/>
          <w:sz w:val="28"/>
          <w:szCs w:val="28"/>
        </w:rPr>
      </w:pPr>
      <w:bookmarkStart w:id="0" w:name="OLE_LINK1"/>
      <w:bookmarkStart w:id="1" w:name="OLE_LINK2"/>
      <w:bookmarkStart w:id="2" w:name="OLE_LINK3"/>
      <w:bookmarkStart w:id="3" w:name="OLE_LINK4"/>
      <w:bookmarkStart w:id="4" w:name="OLE_LINK5"/>
      <w:r>
        <w:rPr>
          <w:rFonts w:ascii="Arial" w:hAnsi="Arial" w:cs="Arial"/>
          <w:b/>
          <w:color w:val="000000"/>
          <w:sz w:val="28"/>
          <w:szCs w:val="28"/>
        </w:rPr>
        <w:t>Vo</w:t>
      </w:r>
      <w:r w:rsidR="006B193D">
        <w:rPr>
          <w:rFonts w:ascii="Arial" w:hAnsi="Arial" w:cs="Arial"/>
          <w:b/>
          <w:color w:val="000000"/>
          <w:sz w:val="28"/>
          <w:szCs w:val="28"/>
        </w:rPr>
        <w:t>n</w:t>
      </w:r>
      <w:r>
        <w:rPr>
          <w:rFonts w:ascii="Arial" w:hAnsi="Arial" w:cs="Arial"/>
          <w:b/>
          <w:color w:val="000000"/>
          <w:sz w:val="28"/>
          <w:szCs w:val="28"/>
        </w:rPr>
        <w:t xml:space="preserve"> </w:t>
      </w:r>
      <w:r w:rsidR="006B193D">
        <w:rPr>
          <w:rFonts w:ascii="Arial" w:hAnsi="Arial" w:cs="Arial"/>
          <w:b/>
          <w:color w:val="000000"/>
          <w:sz w:val="28"/>
          <w:szCs w:val="28"/>
        </w:rPr>
        <w:t xml:space="preserve">der </w:t>
      </w:r>
      <w:r w:rsidR="004A0A33">
        <w:rPr>
          <w:rFonts w:ascii="Arial" w:hAnsi="Arial" w:cs="Arial"/>
          <w:b/>
          <w:color w:val="000000"/>
          <w:sz w:val="28"/>
          <w:szCs w:val="28"/>
        </w:rPr>
        <w:t>Online-</w:t>
      </w:r>
      <w:r>
        <w:rPr>
          <w:rFonts w:ascii="Arial" w:hAnsi="Arial" w:cs="Arial"/>
          <w:b/>
          <w:color w:val="000000"/>
          <w:sz w:val="28"/>
          <w:szCs w:val="28"/>
        </w:rPr>
        <w:t>An</w:t>
      </w:r>
      <w:r w:rsidR="006B193D">
        <w:rPr>
          <w:rFonts w:ascii="Arial" w:hAnsi="Arial" w:cs="Arial"/>
          <w:b/>
          <w:color w:val="000000"/>
          <w:sz w:val="28"/>
          <w:szCs w:val="28"/>
        </w:rPr>
        <w:t>frage</w:t>
      </w:r>
      <w:r>
        <w:rPr>
          <w:rFonts w:ascii="Arial" w:hAnsi="Arial" w:cs="Arial"/>
          <w:b/>
          <w:color w:val="000000"/>
          <w:sz w:val="28"/>
          <w:szCs w:val="28"/>
        </w:rPr>
        <w:t xml:space="preserve"> bis zu</w:t>
      </w:r>
      <w:r w:rsidR="00AF4385">
        <w:rPr>
          <w:rFonts w:ascii="Arial" w:hAnsi="Arial" w:cs="Arial"/>
          <w:b/>
          <w:color w:val="000000"/>
          <w:sz w:val="28"/>
          <w:szCs w:val="28"/>
        </w:rPr>
        <w:t>m aktiven Breitbandtarif</w:t>
      </w:r>
      <w:r>
        <w:rPr>
          <w:rFonts w:ascii="Arial" w:hAnsi="Arial" w:cs="Arial"/>
          <w:b/>
          <w:color w:val="000000"/>
          <w:sz w:val="28"/>
          <w:szCs w:val="28"/>
        </w:rPr>
        <w:t xml:space="preserve">: </w:t>
      </w:r>
      <w:r w:rsidR="00FE72DD">
        <w:rPr>
          <w:rFonts w:ascii="Arial" w:hAnsi="Arial" w:cs="Arial"/>
          <w:b/>
          <w:color w:val="000000"/>
          <w:sz w:val="28"/>
          <w:szCs w:val="28"/>
        </w:rPr>
        <w:br/>
        <w:t>Das neue Werkzeug für den Digitalversorger</w:t>
      </w:r>
    </w:p>
    <w:bookmarkEnd w:id="0"/>
    <w:bookmarkEnd w:id="1"/>
    <w:bookmarkEnd w:id="2"/>
    <w:p w14:paraId="4B7D9C4A" w14:textId="633FA86F" w:rsidR="003E1E07" w:rsidRDefault="00FE72DD" w:rsidP="00710283">
      <w:pPr>
        <w:autoSpaceDE w:val="0"/>
        <w:autoSpaceDN w:val="0"/>
        <w:adjustRightInd w:val="0"/>
        <w:spacing w:after="0" w:line="360" w:lineRule="auto"/>
        <w:ind w:right="-2410"/>
        <w:rPr>
          <w:rFonts w:ascii="Arial" w:hAnsi="Arial" w:cs="Tahoma"/>
          <w:b/>
          <w:sz w:val="20"/>
          <w:szCs w:val="20"/>
        </w:rPr>
      </w:pPr>
      <w:r>
        <w:rPr>
          <w:rFonts w:ascii="Arial" w:hAnsi="Arial" w:cs="Tahoma"/>
          <w:b/>
          <w:sz w:val="20"/>
          <w:szCs w:val="20"/>
        </w:rPr>
        <w:t>Erste</w:t>
      </w:r>
      <w:r w:rsidR="00BD023C">
        <w:rPr>
          <w:rFonts w:ascii="Arial" w:hAnsi="Arial" w:cs="Tahoma"/>
          <w:b/>
          <w:sz w:val="20"/>
          <w:szCs w:val="20"/>
        </w:rPr>
        <w:t xml:space="preserve"> </w:t>
      </w:r>
      <w:r>
        <w:rPr>
          <w:rFonts w:ascii="Arial" w:hAnsi="Arial" w:cs="Tahoma"/>
          <w:b/>
          <w:sz w:val="20"/>
          <w:szCs w:val="20"/>
        </w:rPr>
        <w:t>End-to-End-</w:t>
      </w:r>
      <w:r w:rsidR="00AF4385">
        <w:rPr>
          <w:rFonts w:ascii="Arial" w:hAnsi="Arial" w:cs="Tahoma"/>
          <w:b/>
          <w:sz w:val="20"/>
          <w:szCs w:val="20"/>
        </w:rPr>
        <w:t>Digitalisierung</w:t>
      </w:r>
      <w:r>
        <w:rPr>
          <w:rFonts w:ascii="Arial" w:hAnsi="Arial" w:cs="Tahoma"/>
          <w:b/>
          <w:sz w:val="20"/>
          <w:szCs w:val="20"/>
        </w:rPr>
        <w:t xml:space="preserve"> </w:t>
      </w:r>
      <w:r w:rsidR="004E2A6B">
        <w:rPr>
          <w:rFonts w:ascii="Arial" w:hAnsi="Arial" w:cs="Tahoma"/>
          <w:b/>
          <w:sz w:val="20"/>
          <w:szCs w:val="20"/>
        </w:rPr>
        <w:t>für Internet Service Provider</w:t>
      </w:r>
      <w:r w:rsidR="00710283">
        <w:rPr>
          <w:rFonts w:ascii="Arial" w:hAnsi="Arial" w:cs="Tahoma"/>
          <w:b/>
          <w:sz w:val="20"/>
          <w:szCs w:val="20"/>
        </w:rPr>
        <w:t xml:space="preserve"> im kommunalen und Versorgerumfeld</w:t>
      </w:r>
    </w:p>
    <w:p w14:paraId="2CE1A497" w14:textId="77777777" w:rsidR="003E1E07" w:rsidRDefault="003E1E07" w:rsidP="009E1EB5">
      <w:pPr>
        <w:autoSpaceDE w:val="0"/>
        <w:autoSpaceDN w:val="0"/>
        <w:adjustRightInd w:val="0"/>
        <w:spacing w:after="0" w:line="360" w:lineRule="auto"/>
        <w:ind w:right="-1984"/>
        <w:rPr>
          <w:rFonts w:ascii="Arial" w:hAnsi="Arial" w:cs="Tahoma"/>
          <w:b/>
          <w:sz w:val="20"/>
          <w:szCs w:val="20"/>
        </w:rPr>
      </w:pPr>
    </w:p>
    <w:p w14:paraId="38676B32" w14:textId="7E998588" w:rsidR="00A409A1" w:rsidRPr="00273CAA" w:rsidRDefault="00AF4385" w:rsidP="00273CAA">
      <w:pPr>
        <w:spacing w:line="36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Von der Onlinebestellung des Hausanschlusses über den digitalen Abschluss des passenden Breitbandtarifs und die Provisionierung bis hin zur Inbetriebnahme und Abrechnung von Breitbandprodukten: </w:t>
      </w:r>
      <w:r w:rsidR="004A0A33">
        <w:rPr>
          <w:rFonts w:ascii="Arial" w:hAnsi="Arial" w:cs="Arial"/>
          <w:b/>
          <w:bCs/>
          <w:color w:val="000000"/>
          <w:sz w:val="20"/>
          <w:szCs w:val="20"/>
        </w:rPr>
        <w:t xml:space="preserve">Mit der Kopplung </w:t>
      </w:r>
      <w:r w:rsidR="00A216BD">
        <w:rPr>
          <w:rFonts w:ascii="Arial" w:hAnsi="Arial" w:cs="Arial"/>
          <w:b/>
          <w:bCs/>
          <w:color w:val="000000"/>
          <w:sz w:val="20"/>
          <w:szCs w:val="20"/>
        </w:rPr>
        <w:t>von</w:t>
      </w:r>
      <w:r w:rsidR="004A0A33">
        <w:rPr>
          <w:rFonts w:ascii="Arial" w:hAnsi="Arial" w:cs="Arial"/>
          <w:b/>
          <w:bCs/>
          <w:color w:val="000000"/>
          <w:sz w:val="20"/>
          <w:szCs w:val="20"/>
        </w:rPr>
        <w:t xml:space="preserve"> epilot</w:t>
      </w:r>
      <w:r w:rsidR="00A216BD">
        <w:rPr>
          <w:rFonts w:ascii="Arial" w:hAnsi="Arial" w:cs="Arial"/>
          <w:b/>
          <w:bCs/>
          <w:color w:val="000000"/>
          <w:sz w:val="20"/>
          <w:szCs w:val="20"/>
        </w:rPr>
        <w:t>, de</w:t>
      </w:r>
      <w:r w:rsidR="004E2A6B">
        <w:rPr>
          <w:rFonts w:ascii="Arial" w:hAnsi="Arial" w:cs="Arial"/>
          <w:b/>
          <w:bCs/>
          <w:color w:val="000000"/>
          <w:sz w:val="20"/>
          <w:szCs w:val="20"/>
        </w:rPr>
        <w:t>r</w:t>
      </w:r>
      <w:r w:rsidR="00A216BD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="00A216BD" w:rsidRPr="00A216BD">
        <w:rPr>
          <w:rFonts w:ascii="Arial" w:hAnsi="Arial" w:cs="Arial"/>
          <w:b/>
          <w:bCs/>
          <w:color w:val="000000"/>
          <w:sz w:val="20"/>
          <w:szCs w:val="20"/>
        </w:rPr>
        <w:t xml:space="preserve">eCommerce </w:t>
      </w:r>
      <w:r w:rsidR="004E2A6B">
        <w:rPr>
          <w:rFonts w:ascii="Arial" w:hAnsi="Arial" w:cs="Arial"/>
          <w:b/>
          <w:bCs/>
          <w:color w:val="000000"/>
          <w:sz w:val="20"/>
          <w:szCs w:val="20"/>
        </w:rPr>
        <w:t>Cloud-Lösung</w:t>
      </w:r>
      <w:r w:rsidR="00A216BD" w:rsidRPr="00A216BD">
        <w:rPr>
          <w:rFonts w:ascii="Arial" w:hAnsi="Arial" w:cs="Arial"/>
          <w:b/>
          <w:bCs/>
          <w:color w:val="000000"/>
          <w:sz w:val="20"/>
          <w:szCs w:val="20"/>
        </w:rPr>
        <w:t xml:space="preserve"> für die Energiewelt</w:t>
      </w:r>
      <w:r w:rsidR="00A216BD">
        <w:rPr>
          <w:rFonts w:ascii="Arial" w:hAnsi="Arial" w:cs="Arial"/>
          <w:b/>
          <w:bCs/>
          <w:color w:val="000000"/>
          <w:sz w:val="20"/>
          <w:szCs w:val="20"/>
        </w:rPr>
        <w:t>, und</w:t>
      </w:r>
      <w:r w:rsidR="004A0A33">
        <w:rPr>
          <w:rFonts w:ascii="Arial" w:hAnsi="Arial" w:cs="Arial"/>
          <w:b/>
          <w:bCs/>
          <w:color w:val="000000"/>
          <w:sz w:val="20"/>
          <w:szCs w:val="20"/>
        </w:rPr>
        <w:t xml:space="preserve"> DICLINA, dem Breitbandkun</w:t>
      </w:r>
      <w:r w:rsidR="006771FA">
        <w:rPr>
          <w:rFonts w:ascii="Arial" w:hAnsi="Arial" w:cs="Arial"/>
          <w:b/>
          <w:bCs/>
          <w:color w:val="000000"/>
          <w:sz w:val="20"/>
          <w:szCs w:val="20"/>
        </w:rPr>
        <w:t>d</w:t>
      </w:r>
      <w:r w:rsidR="004A0A33">
        <w:rPr>
          <w:rFonts w:ascii="Arial" w:hAnsi="Arial" w:cs="Arial"/>
          <w:b/>
          <w:bCs/>
          <w:color w:val="000000"/>
          <w:sz w:val="20"/>
          <w:szCs w:val="20"/>
        </w:rPr>
        <w:t>en- und -netzmanagement von tktVivax, steht jetzt erst</w:t>
      </w:r>
      <w:r w:rsidR="006771FA">
        <w:rPr>
          <w:rFonts w:ascii="Arial" w:hAnsi="Arial" w:cs="Arial"/>
          <w:b/>
          <w:bCs/>
          <w:color w:val="000000"/>
          <w:sz w:val="20"/>
          <w:szCs w:val="20"/>
        </w:rPr>
        <w:t>mals ein</w:t>
      </w:r>
      <w:r w:rsidR="004A0A33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volldigitalisierter End-to-End-Prozess </w:t>
      </w:r>
      <w:r w:rsidR="004A0A33">
        <w:rPr>
          <w:rFonts w:ascii="Arial" w:hAnsi="Arial" w:cs="Arial"/>
          <w:b/>
          <w:bCs/>
          <w:color w:val="000000"/>
          <w:sz w:val="20"/>
          <w:szCs w:val="20"/>
        </w:rPr>
        <w:t xml:space="preserve">zur Verfügung, </w:t>
      </w:r>
      <w:r w:rsidR="00710283">
        <w:rPr>
          <w:rFonts w:ascii="Arial" w:hAnsi="Arial" w:cs="Arial"/>
          <w:b/>
          <w:bCs/>
          <w:color w:val="000000"/>
          <w:sz w:val="20"/>
          <w:szCs w:val="20"/>
        </w:rPr>
        <w:t>der</w:t>
      </w:r>
      <w:r w:rsidR="006771FA">
        <w:rPr>
          <w:rFonts w:ascii="Arial" w:hAnsi="Arial" w:cs="Arial"/>
          <w:b/>
          <w:bCs/>
          <w:color w:val="000000"/>
          <w:sz w:val="20"/>
          <w:szCs w:val="20"/>
        </w:rPr>
        <w:t xml:space="preserve"> die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="004E2A6B">
        <w:rPr>
          <w:rFonts w:ascii="Arial" w:hAnsi="Arial" w:cs="Arial"/>
          <w:b/>
          <w:bCs/>
          <w:color w:val="000000"/>
          <w:sz w:val="20"/>
          <w:szCs w:val="20"/>
        </w:rPr>
        <w:t>s</w:t>
      </w:r>
      <w:r w:rsidR="00BE5009">
        <w:rPr>
          <w:rFonts w:ascii="Arial" w:hAnsi="Arial" w:cs="Arial"/>
          <w:b/>
          <w:bCs/>
          <w:color w:val="000000"/>
          <w:sz w:val="20"/>
          <w:szCs w:val="20"/>
        </w:rPr>
        <w:t xml:space="preserve">peziellen </w:t>
      </w:r>
      <w:r>
        <w:rPr>
          <w:rFonts w:ascii="Arial" w:hAnsi="Arial" w:cs="Arial"/>
          <w:b/>
          <w:bCs/>
          <w:color w:val="000000"/>
          <w:sz w:val="20"/>
          <w:szCs w:val="20"/>
        </w:rPr>
        <w:t>Anforderungen</w:t>
      </w:r>
      <w:r w:rsidR="006771FA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="00F05A06">
        <w:rPr>
          <w:rFonts w:ascii="Arial" w:hAnsi="Arial" w:cs="Arial"/>
          <w:b/>
          <w:bCs/>
          <w:color w:val="000000"/>
          <w:sz w:val="20"/>
          <w:szCs w:val="20"/>
        </w:rPr>
        <w:t xml:space="preserve">eines </w:t>
      </w:r>
      <w:r w:rsidR="00F05A06" w:rsidRPr="00F05A06">
        <w:rPr>
          <w:rFonts w:ascii="Arial" w:hAnsi="Arial" w:cs="Arial"/>
          <w:b/>
          <w:bCs/>
          <w:color w:val="000000"/>
          <w:sz w:val="20"/>
          <w:szCs w:val="20"/>
        </w:rPr>
        <w:t>Internet Service Provider</w:t>
      </w:r>
      <w:r w:rsidR="00F05A06">
        <w:rPr>
          <w:rFonts w:ascii="Arial" w:hAnsi="Arial" w:cs="Arial"/>
          <w:b/>
          <w:bCs/>
          <w:color w:val="000000"/>
          <w:sz w:val="20"/>
          <w:szCs w:val="20"/>
        </w:rPr>
        <w:t>s</w:t>
      </w:r>
      <w:r w:rsidR="00F05A06" w:rsidRPr="00F05A06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="006771FA">
        <w:rPr>
          <w:rFonts w:ascii="Arial" w:hAnsi="Arial" w:cs="Arial"/>
          <w:b/>
          <w:bCs/>
          <w:color w:val="000000"/>
          <w:sz w:val="20"/>
          <w:szCs w:val="20"/>
        </w:rPr>
        <w:t xml:space="preserve">durchgängig abbildet. Die gemeinsame Lösung von tktVivax und epilot </w:t>
      </w:r>
      <w:r w:rsidR="00273CAA">
        <w:rPr>
          <w:rFonts w:ascii="Arial" w:hAnsi="Arial" w:cs="Arial"/>
          <w:b/>
          <w:bCs/>
          <w:color w:val="000000"/>
          <w:sz w:val="20"/>
          <w:szCs w:val="20"/>
        </w:rPr>
        <w:t>verfügt über eine offene Systemarchitektur kann</w:t>
      </w:r>
      <w:r w:rsidR="006771FA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="00273CAA">
        <w:rPr>
          <w:rFonts w:ascii="Arial" w:hAnsi="Arial" w:cs="Arial"/>
          <w:b/>
          <w:bCs/>
          <w:color w:val="000000"/>
          <w:sz w:val="20"/>
          <w:szCs w:val="20"/>
        </w:rPr>
        <w:t>so</w:t>
      </w:r>
      <w:r w:rsidR="006771FA">
        <w:rPr>
          <w:rFonts w:ascii="Arial" w:hAnsi="Arial" w:cs="Arial"/>
          <w:b/>
          <w:bCs/>
          <w:color w:val="000000"/>
          <w:sz w:val="20"/>
          <w:szCs w:val="20"/>
        </w:rPr>
        <w:t xml:space="preserve"> integriert mit </w:t>
      </w:r>
      <w:r w:rsidR="004E2A6B">
        <w:rPr>
          <w:rFonts w:ascii="Arial" w:hAnsi="Arial" w:cs="Arial"/>
          <w:b/>
          <w:bCs/>
          <w:color w:val="000000"/>
          <w:sz w:val="20"/>
          <w:szCs w:val="20"/>
        </w:rPr>
        <w:t>allen</w:t>
      </w:r>
      <w:r w:rsidR="006771FA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="00273CAA">
        <w:rPr>
          <w:rFonts w:ascii="Arial" w:hAnsi="Arial" w:cs="Arial"/>
          <w:b/>
          <w:bCs/>
          <w:color w:val="000000"/>
          <w:sz w:val="20"/>
          <w:szCs w:val="20"/>
        </w:rPr>
        <w:t xml:space="preserve">gängigen </w:t>
      </w:r>
      <w:r w:rsidR="006771FA">
        <w:rPr>
          <w:rFonts w:ascii="Arial" w:hAnsi="Arial" w:cs="Arial"/>
          <w:b/>
          <w:bCs/>
          <w:color w:val="000000"/>
          <w:sz w:val="20"/>
          <w:szCs w:val="20"/>
        </w:rPr>
        <w:t>ERP- und Abrechnungslösungen von Stadtwerken oder kommunalen Unternehmen</w:t>
      </w:r>
      <w:r w:rsidR="00273CAA">
        <w:rPr>
          <w:rFonts w:ascii="Arial" w:hAnsi="Arial" w:cs="Arial"/>
          <w:b/>
          <w:bCs/>
          <w:color w:val="000000"/>
          <w:sz w:val="20"/>
          <w:szCs w:val="20"/>
        </w:rPr>
        <w:t xml:space="preserve"> ei</w:t>
      </w:r>
      <w:r w:rsidR="00BE5009">
        <w:rPr>
          <w:rFonts w:ascii="Arial" w:hAnsi="Arial" w:cs="Arial"/>
          <w:b/>
          <w:bCs/>
          <w:color w:val="000000"/>
          <w:sz w:val="20"/>
          <w:szCs w:val="20"/>
        </w:rPr>
        <w:t>n</w:t>
      </w:r>
      <w:r w:rsidR="00273CAA">
        <w:rPr>
          <w:rFonts w:ascii="Arial" w:hAnsi="Arial" w:cs="Arial"/>
          <w:b/>
          <w:bCs/>
          <w:color w:val="000000"/>
          <w:sz w:val="20"/>
          <w:szCs w:val="20"/>
        </w:rPr>
        <w:t>gesetzt werden</w:t>
      </w:r>
      <w:r w:rsidR="006771FA">
        <w:rPr>
          <w:rFonts w:ascii="Arial" w:hAnsi="Arial" w:cs="Arial"/>
          <w:b/>
          <w:bCs/>
          <w:color w:val="000000"/>
          <w:sz w:val="20"/>
          <w:szCs w:val="20"/>
        </w:rPr>
        <w:t xml:space="preserve">. </w:t>
      </w:r>
      <w:r w:rsidR="00A216BD">
        <w:rPr>
          <w:rFonts w:ascii="Arial" w:hAnsi="Arial" w:cs="Arial"/>
          <w:b/>
          <w:bCs/>
          <w:color w:val="000000"/>
          <w:sz w:val="20"/>
          <w:szCs w:val="20"/>
        </w:rPr>
        <w:t xml:space="preserve">„Mit dieser Lösung bieten wir ein Gesamtsystem, </w:t>
      </w:r>
      <w:r w:rsidR="00DE1235">
        <w:rPr>
          <w:rFonts w:ascii="Arial" w:hAnsi="Arial" w:cs="Arial"/>
          <w:b/>
          <w:bCs/>
          <w:color w:val="000000"/>
          <w:sz w:val="20"/>
          <w:szCs w:val="20"/>
        </w:rPr>
        <w:t>das die neuen Digitalversorger schnell arbeitsfähig macht</w:t>
      </w:r>
      <w:r w:rsidR="006B193D">
        <w:rPr>
          <w:rFonts w:ascii="Arial" w:hAnsi="Arial" w:cs="Arial"/>
          <w:b/>
          <w:bCs/>
          <w:color w:val="000000"/>
          <w:sz w:val="20"/>
          <w:szCs w:val="20"/>
        </w:rPr>
        <w:t>, da es alle spezifischen Anforderungen ideal abdeckt</w:t>
      </w:r>
      <w:r w:rsidR="00DE1235">
        <w:rPr>
          <w:rFonts w:ascii="Arial" w:hAnsi="Arial" w:cs="Arial"/>
          <w:b/>
          <w:bCs/>
          <w:color w:val="000000"/>
          <w:sz w:val="20"/>
          <w:szCs w:val="20"/>
        </w:rPr>
        <w:t xml:space="preserve">. </w:t>
      </w:r>
      <w:r w:rsidR="00FF51DF">
        <w:rPr>
          <w:rFonts w:ascii="Arial" w:hAnsi="Arial" w:cs="Arial"/>
          <w:b/>
          <w:bCs/>
          <w:color w:val="000000"/>
          <w:sz w:val="20"/>
          <w:szCs w:val="20"/>
        </w:rPr>
        <w:t>Daneben</w:t>
      </w:r>
      <w:r w:rsidR="00DE1235">
        <w:rPr>
          <w:rFonts w:ascii="Arial" w:hAnsi="Arial" w:cs="Arial"/>
          <w:b/>
          <w:bCs/>
          <w:color w:val="000000"/>
          <w:sz w:val="20"/>
          <w:szCs w:val="20"/>
        </w:rPr>
        <w:t xml:space="preserve"> ist es </w:t>
      </w:r>
      <w:r w:rsidR="00FF51DF">
        <w:rPr>
          <w:rFonts w:ascii="Arial" w:hAnsi="Arial" w:cs="Arial"/>
          <w:b/>
          <w:bCs/>
          <w:color w:val="000000"/>
          <w:sz w:val="20"/>
          <w:szCs w:val="20"/>
        </w:rPr>
        <w:t>sowohl</w:t>
      </w:r>
      <w:r w:rsidR="00273CAA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="006B193D">
        <w:rPr>
          <w:rFonts w:ascii="Arial" w:hAnsi="Arial" w:cs="Arial"/>
          <w:b/>
          <w:bCs/>
          <w:color w:val="000000"/>
          <w:sz w:val="20"/>
          <w:szCs w:val="20"/>
        </w:rPr>
        <w:t xml:space="preserve">offen </w:t>
      </w:r>
      <w:r w:rsidR="00DE1235">
        <w:rPr>
          <w:rFonts w:ascii="Arial" w:hAnsi="Arial" w:cs="Arial"/>
          <w:b/>
          <w:bCs/>
          <w:color w:val="000000"/>
          <w:sz w:val="20"/>
          <w:szCs w:val="20"/>
        </w:rPr>
        <w:t>für</w:t>
      </w:r>
      <w:r w:rsidR="00273CAA">
        <w:rPr>
          <w:rFonts w:ascii="Arial" w:hAnsi="Arial" w:cs="Arial"/>
          <w:b/>
          <w:bCs/>
          <w:color w:val="000000"/>
          <w:sz w:val="20"/>
          <w:szCs w:val="20"/>
        </w:rPr>
        <w:t xml:space="preserve"> die Vermarktung</w:t>
      </w:r>
      <w:r w:rsidR="00A216BD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="00273CAA">
        <w:rPr>
          <w:rFonts w:ascii="Arial" w:hAnsi="Arial" w:cs="Arial"/>
          <w:b/>
          <w:bCs/>
          <w:color w:val="000000"/>
          <w:sz w:val="20"/>
          <w:szCs w:val="20"/>
        </w:rPr>
        <w:t xml:space="preserve">klassischer Energieprodukte als auch </w:t>
      </w:r>
      <w:r w:rsidR="006B193D">
        <w:rPr>
          <w:rFonts w:ascii="Arial" w:hAnsi="Arial" w:cs="Arial"/>
          <w:b/>
          <w:bCs/>
          <w:color w:val="000000"/>
          <w:sz w:val="20"/>
          <w:szCs w:val="20"/>
        </w:rPr>
        <w:t xml:space="preserve">für </w:t>
      </w:r>
      <w:r w:rsidR="00273CAA">
        <w:rPr>
          <w:rFonts w:ascii="Arial" w:hAnsi="Arial" w:cs="Arial"/>
          <w:b/>
          <w:bCs/>
          <w:color w:val="000000"/>
          <w:sz w:val="20"/>
          <w:szCs w:val="20"/>
        </w:rPr>
        <w:t xml:space="preserve">die Einbindung neuer Angebote </w:t>
      </w:r>
      <w:r w:rsidR="006B193D">
        <w:rPr>
          <w:rFonts w:ascii="Arial" w:hAnsi="Arial" w:cs="Arial"/>
          <w:b/>
          <w:bCs/>
          <w:color w:val="000000"/>
          <w:sz w:val="20"/>
          <w:szCs w:val="20"/>
        </w:rPr>
        <w:t xml:space="preserve">– </w:t>
      </w:r>
      <w:r w:rsidR="00273CAA">
        <w:rPr>
          <w:rFonts w:ascii="Arial" w:hAnsi="Arial" w:cs="Arial"/>
          <w:b/>
          <w:bCs/>
          <w:color w:val="000000"/>
          <w:sz w:val="20"/>
          <w:szCs w:val="20"/>
        </w:rPr>
        <w:t xml:space="preserve">von der E-Mobility bis hin zu Smart Home und Smart City“, heben tktVivax-Geschäftsführer Dirk Fieml und </w:t>
      </w:r>
      <w:r w:rsidR="00273CAA" w:rsidRPr="00273CAA">
        <w:rPr>
          <w:rFonts w:ascii="Arial" w:hAnsi="Arial" w:cs="Arial"/>
          <w:b/>
          <w:bCs/>
          <w:color w:val="000000"/>
          <w:sz w:val="20"/>
          <w:szCs w:val="20"/>
        </w:rPr>
        <w:t xml:space="preserve">Johannes 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Michel Nicolai, Gründer &amp; CEO der </w:t>
      </w:r>
      <w:proofErr w:type="gramStart"/>
      <w:r>
        <w:rPr>
          <w:rFonts w:ascii="Arial" w:hAnsi="Arial" w:cs="Arial"/>
          <w:b/>
          <w:bCs/>
          <w:color w:val="000000"/>
          <w:sz w:val="20"/>
          <w:szCs w:val="20"/>
        </w:rPr>
        <w:t>e.pilot</w:t>
      </w:r>
      <w:proofErr w:type="gramEnd"/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GmbH, hervor.</w:t>
      </w:r>
    </w:p>
    <w:p w14:paraId="6B52C227" w14:textId="49B84D08" w:rsidR="004E2A6B" w:rsidRPr="00BE5009" w:rsidRDefault="004E2A6B" w:rsidP="004E2A6B">
      <w:pPr>
        <w:spacing w:line="360" w:lineRule="auto"/>
        <w:rPr>
          <w:rFonts w:ascii="Arial" w:hAnsi="Arial" w:cs="Arial"/>
          <w:color w:val="000000"/>
          <w:sz w:val="20"/>
          <w:szCs w:val="20"/>
        </w:rPr>
      </w:pPr>
      <w:r w:rsidRPr="00BE5009">
        <w:rPr>
          <w:rFonts w:ascii="Arial" w:hAnsi="Arial" w:cs="Arial"/>
          <w:color w:val="000000"/>
          <w:sz w:val="20"/>
          <w:szCs w:val="20"/>
        </w:rPr>
        <w:t xml:space="preserve">Über die epilot </w:t>
      </w:r>
      <w:r>
        <w:rPr>
          <w:rFonts w:ascii="Arial" w:hAnsi="Arial" w:cs="Arial"/>
          <w:color w:val="000000"/>
          <w:sz w:val="20"/>
          <w:szCs w:val="20"/>
        </w:rPr>
        <w:t xml:space="preserve">Cloud </w:t>
      </w:r>
      <w:r w:rsidRPr="00BE5009">
        <w:rPr>
          <w:rFonts w:ascii="Arial" w:hAnsi="Arial" w:cs="Arial"/>
          <w:color w:val="000000"/>
          <w:sz w:val="20"/>
          <w:szCs w:val="20"/>
        </w:rPr>
        <w:t xml:space="preserve">können Energieversorger und Netzbetreiber </w:t>
      </w:r>
      <w:r>
        <w:rPr>
          <w:rFonts w:ascii="Arial" w:hAnsi="Arial" w:cs="Arial"/>
          <w:color w:val="000000"/>
          <w:sz w:val="20"/>
          <w:szCs w:val="20"/>
        </w:rPr>
        <w:t>neben Breitbandanschlüssen und -tarifen auch andere</w:t>
      </w:r>
      <w:r w:rsidRPr="00BE5009">
        <w:rPr>
          <w:rFonts w:ascii="Arial" w:hAnsi="Arial" w:cs="Arial"/>
          <w:color w:val="000000"/>
          <w:sz w:val="20"/>
          <w:szCs w:val="20"/>
        </w:rPr>
        <w:t xml:space="preserve"> Produkte und Dienstleistungen aus den Bereichen Commodity, Non-Commodity und Netz in intuitiven und modernen Customer Journeys innerhalb von Minuten vermarkten. </w:t>
      </w:r>
      <w:r>
        <w:rPr>
          <w:rFonts w:ascii="Arial" w:hAnsi="Arial" w:cs="Arial"/>
          <w:color w:val="000000"/>
          <w:sz w:val="20"/>
          <w:szCs w:val="20"/>
        </w:rPr>
        <w:t xml:space="preserve">Die Produkte lassen sich flexibel bündeln und durch Zusatzoptionen, wie etwa Router oder Telefon-Flatrates, ergänzen. Verfügbarkeitsprüfungen werden gemäß Ausbaugebieten und Vorliegen von Grundstücknutzungsverträgen automatisiert durchgeführt. </w:t>
      </w:r>
      <w:r w:rsidRPr="00BE5009">
        <w:rPr>
          <w:rFonts w:ascii="Arial" w:hAnsi="Arial" w:cs="Arial"/>
          <w:color w:val="000000"/>
          <w:sz w:val="20"/>
          <w:szCs w:val="20"/>
        </w:rPr>
        <w:t xml:space="preserve">Der gesamte Vertriebsprozess wird dabei </w:t>
      </w:r>
      <w:r>
        <w:rPr>
          <w:rFonts w:ascii="Arial" w:hAnsi="Arial" w:cs="Arial"/>
          <w:color w:val="000000"/>
          <w:sz w:val="20"/>
          <w:szCs w:val="20"/>
        </w:rPr>
        <w:t xml:space="preserve">inklusive Einbindung relevanter </w:t>
      </w:r>
      <w:r>
        <w:rPr>
          <w:rFonts w:ascii="Arial" w:hAnsi="Arial" w:cs="Arial"/>
          <w:color w:val="000000"/>
          <w:sz w:val="20"/>
          <w:szCs w:val="20"/>
        </w:rPr>
        <w:lastRenderedPageBreak/>
        <w:t xml:space="preserve">Dienstleister </w:t>
      </w:r>
      <w:r w:rsidRPr="00BE5009">
        <w:rPr>
          <w:rFonts w:ascii="Arial" w:hAnsi="Arial" w:cs="Arial"/>
          <w:color w:val="000000"/>
          <w:sz w:val="20"/>
          <w:szCs w:val="20"/>
        </w:rPr>
        <w:t>mithilfe eines integrierten Workflowsystems End-to-End digital gesteuert.</w:t>
      </w:r>
    </w:p>
    <w:p w14:paraId="502B8B7C" w14:textId="075B0415" w:rsidR="006B193D" w:rsidRPr="00DE1235" w:rsidRDefault="00DE1235" w:rsidP="00DE1235">
      <w:pPr>
        <w:spacing w:line="360" w:lineRule="auto"/>
        <w:rPr>
          <w:rFonts w:ascii="Arial" w:hAnsi="Arial" w:cs="Arial"/>
          <w:color w:val="000000"/>
          <w:sz w:val="20"/>
          <w:szCs w:val="20"/>
        </w:rPr>
      </w:pPr>
      <w:r w:rsidRPr="00AD6123">
        <w:rPr>
          <w:rFonts w:ascii="Arial" w:hAnsi="Arial" w:cs="Arial"/>
          <w:color w:val="000000"/>
          <w:sz w:val="20"/>
          <w:szCs w:val="20"/>
        </w:rPr>
        <w:t xml:space="preserve">DICLINA steht für „Digital Client and Network Administration Software". </w:t>
      </w:r>
      <w:r w:rsidRPr="00DE1235">
        <w:rPr>
          <w:rFonts w:ascii="Arial" w:hAnsi="Arial" w:cs="Arial"/>
          <w:color w:val="000000"/>
          <w:sz w:val="20"/>
          <w:szCs w:val="20"/>
        </w:rPr>
        <w:t xml:space="preserve">Die On-Premise gehostete Web-Application ist schnell einführbar und prozessorientiert aufgebaut. Auf diese Weise sind nur wenige Mitarbeiter notwendig, um auch ein hohes Kundenaufkommen bewältigen zu können. Über die integrierte Netzübersicht haben die Service-Mitarbeiter nicht nur die </w:t>
      </w:r>
      <w:r w:rsidR="00F05A06">
        <w:rPr>
          <w:rFonts w:ascii="Arial" w:hAnsi="Arial" w:cs="Arial"/>
          <w:color w:val="000000"/>
          <w:sz w:val="20"/>
          <w:szCs w:val="20"/>
        </w:rPr>
        <w:t>Breitbandk</w:t>
      </w:r>
      <w:r w:rsidRPr="00DE1235">
        <w:rPr>
          <w:rFonts w:ascii="Arial" w:hAnsi="Arial" w:cs="Arial"/>
          <w:color w:val="000000"/>
          <w:sz w:val="20"/>
          <w:szCs w:val="20"/>
        </w:rPr>
        <w:t xml:space="preserve">unden, sondern auch alle IP-Adressen, Ressourcen, Standorte und die installierte Technik </w:t>
      </w:r>
      <w:r w:rsidR="00F05A06">
        <w:rPr>
          <w:rFonts w:ascii="Arial" w:hAnsi="Arial" w:cs="Arial"/>
          <w:color w:val="000000"/>
          <w:sz w:val="20"/>
          <w:szCs w:val="20"/>
        </w:rPr>
        <w:t xml:space="preserve">im Breitbandnetz </w:t>
      </w:r>
      <w:r w:rsidRPr="00DE1235">
        <w:rPr>
          <w:rFonts w:ascii="Arial" w:hAnsi="Arial" w:cs="Arial"/>
          <w:color w:val="000000"/>
          <w:sz w:val="20"/>
          <w:szCs w:val="20"/>
        </w:rPr>
        <w:t>transparent im Blick. So können Neukunden unkompliziert provisioniert werden, ohne dass die Unterstützung durch einen Techniker nötig ist. </w:t>
      </w:r>
    </w:p>
    <w:tbl>
      <w:tblPr>
        <w:tblW w:w="9180" w:type="dxa"/>
        <w:tblLook w:val="04A0" w:firstRow="1" w:lastRow="0" w:firstColumn="1" w:lastColumn="0" w:noHBand="0" w:noVBand="1"/>
      </w:tblPr>
      <w:tblGrid>
        <w:gridCol w:w="4361"/>
        <w:gridCol w:w="4819"/>
      </w:tblGrid>
      <w:tr w:rsidR="005D3D1E" w:rsidRPr="000655B7" w14:paraId="55C2A03B" w14:textId="77777777" w:rsidTr="00B714E4">
        <w:tc>
          <w:tcPr>
            <w:tcW w:w="4361" w:type="dxa"/>
            <w:shd w:val="clear" w:color="auto" w:fill="auto"/>
          </w:tcPr>
          <w:p w14:paraId="357997F4" w14:textId="676A3D28" w:rsidR="005D3D1E" w:rsidRDefault="005D3D1E" w:rsidP="007B0E5E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left="-109"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tkt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Vivax GmbH – Dirk Fieml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="007B0E5E" w:rsidRPr="007B0E5E">
              <w:rPr>
                <w:rFonts w:ascii="Arial" w:hAnsi="Arial" w:cs="Calibri"/>
                <w:sz w:val="16"/>
                <w:szCs w:val="26"/>
                <w:lang w:eastAsia="de-DE"/>
              </w:rPr>
              <w:t>Drakestraße 24 </w:t>
            </w:r>
            <w:r w:rsidR="007B0E5E">
              <w:rPr>
                <w:rFonts w:ascii="Arial" w:hAnsi="Arial" w:cs="Calibri"/>
                <w:sz w:val="16"/>
                <w:szCs w:val="26"/>
                <w:lang w:eastAsia="de-DE"/>
              </w:rPr>
              <w:t>–</w:t>
            </w:r>
            <w:r w:rsidR="007B0E5E" w:rsidRPr="007B0E5E">
              <w:rPr>
                <w:rFonts w:ascii="Arial" w:hAnsi="Arial" w:cs="Calibri"/>
                <w:sz w:val="16"/>
                <w:szCs w:val="26"/>
                <w:lang w:eastAsia="de-DE"/>
              </w:rPr>
              <w:t> 12205 Berlin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Tel: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+</w:t>
            </w:r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t>49 30 700 159 805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7" w:history="1">
              <w:r w:rsidRPr="00A67290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d.fieml@tkt-vivax.de</w:t>
              </w:r>
            </w:hyperlink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8" w:history="1">
              <w:r w:rsidR="006B193D" w:rsidRPr="00101787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www.tkt-vivax.de</w:t>
              </w:r>
            </w:hyperlink>
            <w:r w:rsidR="006B193D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</w:p>
          <w:p w14:paraId="14C72989" w14:textId="21AAE02E" w:rsidR="005D3D1E" w:rsidRPr="00BE5009" w:rsidRDefault="006B193D" w:rsidP="00BE5009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left="-109"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proofErr w:type="gramStart"/>
            <w:r w:rsidRPr="006B193D">
              <w:rPr>
                <w:rFonts w:ascii="Arial" w:hAnsi="Arial" w:cs="Calibri"/>
                <w:sz w:val="16"/>
                <w:szCs w:val="26"/>
                <w:lang w:eastAsia="de-DE"/>
              </w:rPr>
              <w:t>e.pilot</w:t>
            </w:r>
            <w:proofErr w:type="gramEnd"/>
            <w:r w:rsidRPr="006B193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GmbH – Marina Heinen</w:t>
            </w:r>
            <w:r w:rsidRPr="006B193D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>Im Mediapark 8a – 50670 Köln</w:t>
            </w:r>
            <w:r w:rsidRPr="006B193D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>Tel.: Fon: +49 221 588 329 00</w:t>
            </w:r>
            <w:r w:rsidRPr="006B193D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9" w:history="1">
              <w:r w:rsidRPr="00101787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m.heinen@epilot.cloud</w:t>
              </w:r>
            </w:hyperlink>
            <w:r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Pr="006B193D">
              <w:rPr>
                <w:rFonts w:ascii="Arial" w:hAnsi="Arial" w:cs="Calibri"/>
                <w:sz w:val="16"/>
                <w:szCs w:val="26"/>
                <w:lang w:eastAsia="de-DE"/>
              </w:rPr>
              <w:t>https://epilot.cloud</w:t>
            </w:r>
          </w:p>
        </w:tc>
        <w:tc>
          <w:tcPr>
            <w:tcW w:w="4819" w:type="dxa"/>
            <w:shd w:val="clear" w:color="auto" w:fill="auto"/>
          </w:tcPr>
          <w:p w14:paraId="37912198" w14:textId="77777777" w:rsidR="005D3D1E" w:rsidRPr="000655B7" w:rsidRDefault="005D3D1E" w:rsidP="00B714E4">
            <w:pPr>
              <w:widowControl w:val="0"/>
              <w:autoSpaceDE w:val="0"/>
              <w:autoSpaceDN w:val="0"/>
              <w:adjustRightInd w:val="0"/>
              <w:spacing w:line="240" w:lineRule="auto"/>
              <w:ind w:left="34" w:right="742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Uwe Pagel – Press’n’Relations GmbH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>Magirusstraße 33 – D-89077 Ulm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 xml:space="preserve">Tel.: +49 731 962 87-29 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10" w:history="1">
              <w:r w:rsidRPr="000655B7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>www.press-n-relations.com</w:t>
            </w:r>
          </w:p>
        </w:tc>
      </w:tr>
    </w:tbl>
    <w:p w14:paraId="4462BF78" w14:textId="3B7EA432" w:rsidR="006B193D" w:rsidRDefault="006B193D" w:rsidP="006B193D">
      <w:pPr>
        <w:widowControl w:val="0"/>
        <w:autoSpaceDE w:val="0"/>
        <w:autoSpaceDN w:val="0"/>
        <w:adjustRightInd w:val="0"/>
        <w:spacing w:line="240" w:lineRule="auto"/>
        <w:ind w:left="34"/>
        <w:rPr>
          <w:rFonts w:ascii="Arial" w:hAnsi="Arial" w:cs="Calibri"/>
          <w:sz w:val="16"/>
          <w:szCs w:val="26"/>
          <w:lang w:eastAsia="de-DE"/>
        </w:rPr>
      </w:pPr>
      <w:r w:rsidRPr="006B193D">
        <w:rPr>
          <w:rFonts w:ascii="Arial" w:hAnsi="Arial" w:cs="Calibri"/>
          <w:b/>
          <w:bCs/>
          <w:sz w:val="16"/>
          <w:szCs w:val="26"/>
          <w:lang w:eastAsia="de-DE"/>
        </w:rPr>
        <w:t>Über tktkVivax</w:t>
      </w:r>
      <w:r>
        <w:rPr>
          <w:rFonts w:ascii="Arial" w:hAnsi="Arial" w:cs="Calibri"/>
          <w:sz w:val="16"/>
          <w:szCs w:val="26"/>
          <w:lang w:eastAsia="de-DE"/>
        </w:rPr>
        <w:br/>
      </w:r>
      <w:r w:rsidR="001E3CB7" w:rsidRPr="000655B7">
        <w:rPr>
          <w:rFonts w:ascii="Arial" w:hAnsi="Arial" w:cs="Calibri"/>
          <w:sz w:val="16"/>
          <w:szCs w:val="26"/>
          <w:lang w:eastAsia="de-DE"/>
        </w:rPr>
        <w:t>Die</w:t>
      </w:r>
      <w:r w:rsidR="001E3CB7">
        <w:rPr>
          <w:rFonts w:ascii="Arial" w:hAnsi="Arial" w:cs="Calibri"/>
          <w:sz w:val="16"/>
          <w:szCs w:val="26"/>
          <w:lang w:eastAsia="de-DE"/>
        </w:rPr>
        <w:t xml:space="preserve"> tktVivax </w:t>
      </w:r>
      <w:r w:rsidR="001E3CB7" w:rsidRPr="000655B7">
        <w:rPr>
          <w:rFonts w:ascii="Arial" w:hAnsi="Arial" w:cs="Calibri"/>
          <w:sz w:val="16"/>
          <w:szCs w:val="26"/>
          <w:lang w:eastAsia="de-DE"/>
        </w:rPr>
        <w:t xml:space="preserve">GmbH mit Sitz in </w:t>
      </w:r>
      <w:r w:rsidR="001E3CB7">
        <w:rPr>
          <w:rFonts w:ascii="Arial" w:hAnsi="Arial" w:cs="Calibri"/>
          <w:sz w:val="16"/>
          <w:szCs w:val="26"/>
          <w:lang w:eastAsia="de-DE"/>
        </w:rPr>
        <w:t>Berlin und Niederlassungen in Stuttgart (Backnang)</w:t>
      </w:r>
      <w:r w:rsidR="00F4188B">
        <w:rPr>
          <w:rFonts w:ascii="Arial" w:hAnsi="Arial" w:cs="Calibri"/>
          <w:sz w:val="16"/>
          <w:szCs w:val="26"/>
          <w:lang w:eastAsia="de-DE"/>
        </w:rPr>
        <w:t xml:space="preserve"> und</w:t>
      </w:r>
      <w:r w:rsidR="001E3CB7">
        <w:rPr>
          <w:rFonts w:ascii="Arial" w:hAnsi="Arial" w:cs="Calibri"/>
          <w:sz w:val="16"/>
          <w:szCs w:val="26"/>
          <w:lang w:eastAsia="de-DE"/>
        </w:rPr>
        <w:t xml:space="preserve"> Köln unterstützt ihre Kunden im </w:t>
      </w:r>
      <w:r w:rsidR="001E3CB7" w:rsidRPr="007749DD">
        <w:rPr>
          <w:rFonts w:ascii="Arial" w:hAnsi="Arial" w:cs="Calibri"/>
          <w:sz w:val="16"/>
          <w:szCs w:val="26"/>
          <w:lang w:eastAsia="de-DE"/>
        </w:rPr>
        <w:t xml:space="preserve">Bereich zukunftsorientierter Telekommunikationstechnologien </w:t>
      </w:r>
      <w:r w:rsidR="001E3CB7">
        <w:rPr>
          <w:rFonts w:ascii="Arial" w:hAnsi="Arial" w:cs="Calibri"/>
          <w:sz w:val="16"/>
          <w:szCs w:val="26"/>
          <w:lang w:eastAsia="de-DE"/>
        </w:rPr>
        <w:t>sowie mit</w:t>
      </w:r>
      <w:r w:rsidR="001E3CB7" w:rsidRPr="007749DD">
        <w:rPr>
          <w:rFonts w:ascii="Arial" w:hAnsi="Arial" w:cs="Calibri"/>
          <w:sz w:val="16"/>
          <w:szCs w:val="26"/>
          <w:lang w:eastAsia="de-DE"/>
        </w:rPr>
        <w:t xml:space="preserve"> Organisations-, Prozess- und Digi</w:t>
      </w:r>
      <w:r w:rsidR="001E3CB7">
        <w:rPr>
          <w:rFonts w:ascii="Arial" w:hAnsi="Arial" w:cs="Calibri"/>
          <w:sz w:val="16"/>
          <w:szCs w:val="26"/>
          <w:lang w:eastAsia="de-DE"/>
        </w:rPr>
        <w:t>t</w:t>
      </w:r>
      <w:r w:rsidR="001E3CB7" w:rsidRPr="007749DD">
        <w:rPr>
          <w:rFonts w:ascii="Arial" w:hAnsi="Arial" w:cs="Calibri"/>
          <w:sz w:val="16"/>
          <w:szCs w:val="26"/>
          <w:lang w:eastAsia="de-DE"/>
        </w:rPr>
        <w:t>alisierungsberatung in der kommunalen Versorgungswirtschaft.</w:t>
      </w:r>
      <w:r w:rsidR="001E3CB7">
        <w:rPr>
          <w:rFonts w:ascii="Arial" w:hAnsi="Arial" w:cs="Calibri"/>
          <w:sz w:val="16"/>
          <w:szCs w:val="26"/>
          <w:lang w:eastAsia="de-DE"/>
        </w:rPr>
        <w:t xml:space="preserve"> Mit rund 50 Mitarbeitern deckt das Beratungsunternehmen</w:t>
      </w:r>
      <w:r w:rsidR="00AD6123">
        <w:rPr>
          <w:rFonts w:ascii="Arial" w:hAnsi="Arial" w:cs="Calibri"/>
          <w:sz w:val="16"/>
          <w:szCs w:val="26"/>
          <w:lang w:eastAsia="de-DE"/>
        </w:rPr>
        <w:t xml:space="preserve"> seit 25 Jahren</w:t>
      </w:r>
      <w:r w:rsidR="001E3CB7">
        <w:rPr>
          <w:rFonts w:ascii="Arial" w:hAnsi="Arial" w:cs="Calibri"/>
          <w:sz w:val="16"/>
          <w:szCs w:val="26"/>
          <w:lang w:eastAsia="de-DE"/>
        </w:rPr>
        <w:t xml:space="preserve"> ein breites Spektrum von der Analyse, </w:t>
      </w:r>
      <w:r w:rsidR="001E3CB7" w:rsidRPr="00AD4250">
        <w:rPr>
          <w:rFonts w:ascii="Arial" w:hAnsi="Arial" w:cs="Calibri"/>
          <w:sz w:val="16"/>
          <w:szCs w:val="26"/>
          <w:lang w:eastAsia="de-DE"/>
        </w:rPr>
        <w:t>Strategiefindung und Fördermittelberatung über die Neu- und Umgestaltung von Prozessen und Organisationen</w:t>
      </w:r>
      <w:r w:rsidR="001E3CB7">
        <w:rPr>
          <w:rFonts w:ascii="Arial" w:hAnsi="Arial" w:cs="Calibri"/>
          <w:sz w:val="16"/>
          <w:szCs w:val="26"/>
          <w:lang w:eastAsia="de-DE"/>
        </w:rPr>
        <w:t xml:space="preserve"> in allen Bereichen der Versorgungswirtschaft</w:t>
      </w:r>
      <w:r w:rsidR="001E3CB7" w:rsidRPr="00AD4250">
        <w:rPr>
          <w:rFonts w:ascii="Arial" w:hAnsi="Arial" w:cs="Calibri"/>
          <w:sz w:val="16"/>
          <w:szCs w:val="26"/>
          <w:lang w:eastAsia="de-DE"/>
        </w:rPr>
        <w:t xml:space="preserve"> bis hin zur Planungs- und Umsetzungsbegleitung</w:t>
      </w:r>
      <w:r w:rsidR="001E3CB7">
        <w:rPr>
          <w:rFonts w:ascii="Arial" w:hAnsi="Arial" w:cs="Calibri"/>
          <w:sz w:val="16"/>
          <w:szCs w:val="26"/>
          <w:lang w:eastAsia="de-DE"/>
        </w:rPr>
        <w:t xml:space="preserve"> von Glasfaser- und 5G-Infrastrukturen an. Zielgruppe sind sowohl Stadtwerke als auch Kommunalverwaltungen.</w:t>
      </w:r>
    </w:p>
    <w:p w14:paraId="3DC59964" w14:textId="6710D0A9" w:rsidR="006B193D" w:rsidRPr="005D3D1E" w:rsidRDefault="006B193D" w:rsidP="001E3CB7">
      <w:pPr>
        <w:widowControl w:val="0"/>
        <w:autoSpaceDE w:val="0"/>
        <w:autoSpaceDN w:val="0"/>
        <w:adjustRightInd w:val="0"/>
        <w:spacing w:line="240" w:lineRule="auto"/>
        <w:ind w:left="34"/>
        <w:rPr>
          <w:rFonts w:ascii="Arial" w:hAnsi="Arial" w:cs="Calibri"/>
          <w:sz w:val="16"/>
          <w:szCs w:val="26"/>
          <w:lang w:eastAsia="de-DE"/>
        </w:rPr>
      </w:pPr>
      <w:r w:rsidRPr="006B193D">
        <w:rPr>
          <w:rFonts w:ascii="Arial" w:hAnsi="Arial" w:cs="Calibri"/>
          <w:b/>
          <w:bCs/>
          <w:sz w:val="16"/>
          <w:szCs w:val="26"/>
          <w:lang w:eastAsia="de-DE"/>
        </w:rPr>
        <w:t>Über epilot</w:t>
      </w:r>
      <w:r>
        <w:rPr>
          <w:rFonts w:ascii="Arial" w:hAnsi="Arial" w:cs="Calibri"/>
          <w:sz w:val="16"/>
          <w:szCs w:val="26"/>
          <w:lang w:eastAsia="de-DE"/>
        </w:rPr>
        <w:br/>
      </w:r>
      <w:r w:rsidRPr="006B193D">
        <w:rPr>
          <w:rFonts w:ascii="Arial" w:hAnsi="Arial" w:cs="Calibri"/>
          <w:sz w:val="16"/>
          <w:szCs w:val="26"/>
          <w:lang w:eastAsia="de-DE"/>
        </w:rPr>
        <w:t xml:space="preserve">Die epilot GmbH wurde 2017 von Experten aus den Bereichen Energiewirtschaft, Cloud-Software und eCommerce gegründet, um mit der Cloudlösung epilot den Weg in die neue digitale Energiewelt zu weisen. Mittlerweile zählen 60+ Kunden zur epilot Community. Über die Multi-Produkt-Plattform können Energieversorger und Netzbetreiber in intuitiven und modernen Customer Journeys ihre Produkte und Dienstleistungen aus den Bereichen Commodity, Non-Commodity und Netz innerhalb von Minuten vermarkten. Der gesamte Vertriebsprozess kann dabei End-to-End digital gesteuert werden. Das Fundament der Plattform bildet das epilot-Ökosystem: Relevante Partner werden prozessbasiert in epilot eingebunden, um Kollaborationen effizient zu managen. Darüber hinaus schaffen Integrationen externer IT-Systeme eine einheitliche IT-Landschaft. </w:t>
      </w:r>
    </w:p>
    <w:bookmarkEnd w:id="3"/>
    <w:bookmarkEnd w:id="4"/>
    <w:p w14:paraId="2E55E5C6" w14:textId="7E857728" w:rsidR="007749DD" w:rsidRPr="005D3D1E" w:rsidRDefault="007749DD" w:rsidP="001E3CB7">
      <w:pPr>
        <w:widowControl w:val="0"/>
        <w:autoSpaceDE w:val="0"/>
        <w:autoSpaceDN w:val="0"/>
        <w:adjustRightInd w:val="0"/>
        <w:spacing w:line="240" w:lineRule="auto"/>
        <w:ind w:left="34"/>
        <w:rPr>
          <w:rFonts w:ascii="Arial" w:hAnsi="Arial" w:cs="Calibri"/>
          <w:sz w:val="16"/>
          <w:szCs w:val="26"/>
          <w:lang w:eastAsia="de-DE"/>
        </w:rPr>
      </w:pPr>
    </w:p>
    <w:sectPr w:rsidR="007749DD" w:rsidRPr="005D3D1E" w:rsidSect="000655B7">
      <w:headerReference w:type="default" r:id="rId11"/>
      <w:pgSz w:w="12240" w:h="15840"/>
      <w:pgMar w:top="1701" w:right="3735" w:bottom="1134" w:left="141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D8880B9" w14:textId="77777777" w:rsidR="00035D1D" w:rsidRDefault="00035D1D" w:rsidP="00BF70FE">
      <w:pPr>
        <w:spacing w:after="0" w:line="240" w:lineRule="auto"/>
      </w:pPr>
      <w:r>
        <w:separator/>
      </w:r>
    </w:p>
  </w:endnote>
  <w:endnote w:type="continuationSeparator" w:id="0">
    <w:p w14:paraId="468996D3" w14:textId="77777777" w:rsidR="00035D1D" w:rsidRDefault="00035D1D" w:rsidP="00BF70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egoe UI">
    <w:altName w:val="Sylfaen"/>
    <w:panose1 w:val="020B0604020202020204"/>
    <w:charset w:val="00"/>
    <w:family w:val="swiss"/>
    <w:pitch w:val="variable"/>
    <w:sig w:usb0="21002A87" w:usb1="00000000" w:usb2="00000000" w:usb3="00000000" w:csb0="0001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796416" w14:textId="77777777" w:rsidR="00035D1D" w:rsidRDefault="00035D1D" w:rsidP="00BF70FE">
      <w:pPr>
        <w:spacing w:after="0" w:line="240" w:lineRule="auto"/>
      </w:pPr>
      <w:r>
        <w:separator/>
      </w:r>
    </w:p>
  </w:footnote>
  <w:footnote w:type="continuationSeparator" w:id="0">
    <w:p w14:paraId="63554A6B" w14:textId="77777777" w:rsidR="00035D1D" w:rsidRDefault="00035D1D" w:rsidP="00BF70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049685" w14:textId="3A5179C1" w:rsidR="00B96701" w:rsidRDefault="00CF112E" w:rsidP="002757A3">
    <w:pPr>
      <w:pStyle w:val="Kopfzeile"/>
      <w:ind w:right="-2268"/>
      <w:jc w:val="right"/>
    </w:pPr>
    <w:r>
      <w:rPr>
        <w:noProof/>
        <w:lang w:eastAsia="de-DE"/>
      </w:rPr>
      <w:drawing>
        <wp:anchor distT="0" distB="0" distL="114300" distR="114300" simplePos="0" relativeHeight="251659264" behindDoc="0" locked="0" layoutInCell="1" allowOverlap="1" wp14:anchorId="62B8AD50" wp14:editId="61DDCBD9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1398684" cy="432550"/>
          <wp:effectExtent l="0" t="0" r="0" b="0"/>
          <wp:wrapNone/>
          <wp:docPr id="2" name="Grafik 2" descr="Ein Bild, das Zeichnung, Uhr, Schild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Epilot_Logo_Horizontal_Blue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98684" cy="432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478B7">
      <w:rPr>
        <w:noProof/>
        <w:lang w:eastAsia="de-DE"/>
      </w:rPr>
      <w:drawing>
        <wp:inline distT="0" distB="0" distL="0" distR="0" wp14:anchorId="4445E150" wp14:editId="47E183F1">
          <wp:extent cx="1758237" cy="433606"/>
          <wp:effectExtent l="0" t="0" r="0" b="508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ktvivax logo 80%k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882966" cy="46436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B96701">
      <w:rPr>
        <w:noProof/>
        <w:lang w:eastAsia="de-DE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9443E9"/>
    <w:multiLevelType w:val="hybridMultilevel"/>
    <w:tmpl w:val="DE948948"/>
    <w:lvl w:ilvl="0" w:tplc="552AB81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2"/>
  <w:proofState w:grammar="clean"/>
  <w:defaultTabStop w:val="708"/>
  <w:autoHyphenation/>
  <w:hyphenationZone w:val="425"/>
  <w:doNotHyphenateCap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C771EB9D-59BD-4437-BD18-A675BACDF941}"/>
    <w:docVar w:name="dgnword-eventsink" w:val="316488199920"/>
  </w:docVars>
  <w:rsids>
    <w:rsidRoot w:val="00E37F9E"/>
    <w:rsid w:val="00006AC0"/>
    <w:rsid w:val="0001276C"/>
    <w:rsid w:val="00026CFD"/>
    <w:rsid w:val="00035D1D"/>
    <w:rsid w:val="00037B8A"/>
    <w:rsid w:val="00054244"/>
    <w:rsid w:val="0006200B"/>
    <w:rsid w:val="00065270"/>
    <w:rsid w:val="000655B7"/>
    <w:rsid w:val="00065961"/>
    <w:rsid w:val="000678EA"/>
    <w:rsid w:val="0007688A"/>
    <w:rsid w:val="00076CE4"/>
    <w:rsid w:val="000823CF"/>
    <w:rsid w:val="000A1E6B"/>
    <w:rsid w:val="000A4C5E"/>
    <w:rsid w:val="000A4C93"/>
    <w:rsid w:val="000C2AF9"/>
    <w:rsid w:val="000C46B3"/>
    <w:rsid w:val="000C4746"/>
    <w:rsid w:val="000D4DE3"/>
    <w:rsid w:val="000E087D"/>
    <w:rsid w:val="000E7CE7"/>
    <w:rsid w:val="000F2111"/>
    <w:rsid w:val="000F4F9D"/>
    <w:rsid w:val="0010198B"/>
    <w:rsid w:val="00104674"/>
    <w:rsid w:val="00106821"/>
    <w:rsid w:val="00131142"/>
    <w:rsid w:val="0013234F"/>
    <w:rsid w:val="00132DC4"/>
    <w:rsid w:val="00135237"/>
    <w:rsid w:val="001538B1"/>
    <w:rsid w:val="00157861"/>
    <w:rsid w:val="00181FBB"/>
    <w:rsid w:val="00187FC7"/>
    <w:rsid w:val="001A14A1"/>
    <w:rsid w:val="001A7AC2"/>
    <w:rsid w:val="001C51EC"/>
    <w:rsid w:val="001D2FB7"/>
    <w:rsid w:val="001E3CB7"/>
    <w:rsid w:val="001E6755"/>
    <w:rsid w:val="001E6F47"/>
    <w:rsid w:val="001F293E"/>
    <w:rsid w:val="0020049A"/>
    <w:rsid w:val="00205941"/>
    <w:rsid w:val="00207A9F"/>
    <w:rsid w:val="00213AF7"/>
    <w:rsid w:val="00221777"/>
    <w:rsid w:val="002279AE"/>
    <w:rsid w:val="00237217"/>
    <w:rsid w:val="00255BB8"/>
    <w:rsid w:val="00262A08"/>
    <w:rsid w:val="00265589"/>
    <w:rsid w:val="00273CAA"/>
    <w:rsid w:val="002745F8"/>
    <w:rsid w:val="002757A3"/>
    <w:rsid w:val="0028558F"/>
    <w:rsid w:val="002A7D5D"/>
    <w:rsid w:val="002A7E29"/>
    <w:rsid w:val="002B36BE"/>
    <w:rsid w:val="002B3E9E"/>
    <w:rsid w:val="002D5B66"/>
    <w:rsid w:val="002D6045"/>
    <w:rsid w:val="002E0481"/>
    <w:rsid w:val="002E33BB"/>
    <w:rsid w:val="002F1BFF"/>
    <w:rsid w:val="0030091A"/>
    <w:rsid w:val="00304113"/>
    <w:rsid w:val="00314048"/>
    <w:rsid w:val="003274D8"/>
    <w:rsid w:val="00341A34"/>
    <w:rsid w:val="0035048A"/>
    <w:rsid w:val="0035256E"/>
    <w:rsid w:val="00362AE7"/>
    <w:rsid w:val="00394D5C"/>
    <w:rsid w:val="003953CA"/>
    <w:rsid w:val="003A3B30"/>
    <w:rsid w:val="003A6602"/>
    <w:rsid w:val="003B1A9C"/>
    <w:rsid w:val="003B4407"/>
    <w:rsid w:val="003B6004"/>
    <w:rsid w:val="003B69BD"/>
    <w:rsid w:val="003C0B6F"/>
    <w:rsid w:val="003C475B"/>
    <w:rsid w:val="003D63AC"/>
    <w:rsid w:val="003D7AC5"/>
    <w:rsid w:val="003E1E07"/>
    <w:rsid w:val="00402F7C"/>
    <w:rsid w:val="00406C69"/>
    <w:rsid w:val="00406EFB"/>
    <w:rsid w:val="004112BE"/>
    <w:rsid w:val="004137FD"/>
    <w:rsid w:val="00427AD2"/>
    <w:rsid w:val="004422BD"/>
    <w:rsid w:val="004467C0"/>
    <w:rsid w:val="004540FC"/>
    <w:rsid w:val="00454989"/>
    <w:rsid w:val="004638B5"/>
    <w:rsid w:val="00463FE6"/>
    <w:rsid w:val="00465CBB"/>
    <w:rsid w:val="004713E0"/>
    <w:rsid w:val="004810F6"/>
    <w:rsid w:val="00497AEF"/>
    <w:rsid w:val="004A0A33"/>
    <w:rsid w:val="004B0D7E"/>
    <w:rsid w:val="004E2A6B"/>
    <w:rsid w:val="004F5892"/>
    <w:rsid w:val="00521E6A"/>
    <w:rsid w:val="0053379A"/>
    <w:rsid w:val="00556FEE"/>
    <w:rsid w:val="005577A0"/>
    <w:rsid w:val="00557F58"/>
    <w:rsid w:val="00565D15"/>
    <w:rsid w:val="00576A90"/>
    <w:rsid w:val="00576E59"/>
    <w:rsid w:val="00582ECD"/>
    <w:rsid w:val="005926D7"/>
    <w:rsid w:val="005958C2"/>
    <w:rsid w:val="00596BC4"/>
    <w:rsid w:val="005B2C0D"/>
    <w:rsid w:val="005D3D1E"/>
    <w:rsid w:val="005F5177"/>
    <w:rsid w:val="005F63B7"/>
    <w:rsid w:val="00630497"/>
    <w:rsid w:val="00633111"/>
    <w:rsid w:val="00640EED"/>
    <w:rsid w:val="00650109"/>
    <w:rsid w:val="006563BE"/>
    <w:rsid w:val="00664FF9"/>
    <w:rsid w:val="006663C8"/>
    <w:rsid w:val="006771FA"/>
    <w:rsid w:val="00681349"/>
    <w:rsid w:val="006824CB"/>
    <w:rsid w:val="00682686"/>
    <w:rsid w:val="00682E83"/>
    <w:rsid w:val="006847AC"/>
    <w:rsid w:val="006A4784"/>
    <w:rsid w:val="006A652B"/>
    <w:rsid w:val="006B193D"/>
    <w:rsid w:val="006D38DD"/>
    <w:rsid w:val="006F2189"/>
    <w:rsid w:val="00705635"/>
    <w:rsid w:val="00710283"/>
    <w:rsid w:val="00712F91"/>
    <w:rsid w:val="00714AB5"/>
    <w:rsid w:val="00715711"/>
    <w:rsid w:val="007162A5"/>
    <w:rsid w:val="007169F8"/>
    <w:rsid w:val="00726D0D"/>
    <w:rsid w:val="00732F57"/>
    <w:rsid w:val="00742C79"/>
    <w:rsid w:val="00751621"/>
    <w:rsid w:val="00752985"/>
    <w:rsid w:val="00753CE4"/>
    <w:rsid w:val="007543B9"/>
    <w:rsid w:val="00764363"/>
    <w:rsid w:val="00766B7A"/>
    <w:rsid w:val="007730FC"/>
    <w:rsid w:val="007749DD"/>
    <w:rsid w:val="007768B7"/>
    <w:rsid w:val="00780026"/>
    <w:rsid w:val="00785A83"/>
    <w:rsid w:val="00785BC8"/>
    <w:rsid w:val="007B0E5E"/>
    <w:rsid w:val="007B40BC"/>
    <w:rsid w:val="007E4D6B"/>
    <w:rsid w:val="007F32B3"/>
    <w:rsid w:val="007F3F43"/>
    <w:rsid w:val="007F5100"/>
    <w:rsid w:val="00803966"/>
    <w:rsid w:val="00822F51"/>
    <w:rsid w:val="008457BE"/>
    <w:rsid w:val="00860C87"/>
    <w:rsid w:val="00872E24"/>
    <w:rsid w:val="008C3262"/>
    <w:rsid w:val="00915DD5"/>
    <w:rsid w:val="00937B5E"/>
    <w:rsid w:val="0094694E"/>
    <w:rsid w:val="00953399"/>
    <w:rsid w:val="0095460E"/>
    <w:rsid w:val="00972598"/>
    <w:rsid w:val="0098474D"/>
    <w:rsid w:val="00993991"/>
    <w:rsid w:val="009A5414"/>
    <w:rsid w:val="009B04A2"/>
    <w:rsid w:val="009C0CE4"/>
    <w:rsid w:val="009E6B35"/>
    <w:rsid w:val="009F0C3D"/>
    <w:rsid w:val="00A216BD"/>
    <w:rsid w:val="00A22923"/>
    <w:rsid w:val="00A25183"/>
    <w:rsid w:val="00A257D2"/>
    <w:rsid w:val="00A32BA5"/>
    <w:rsid w:val="00A339B3"/>
    <w:rsid w:val="00A409A1"/>
    <w:rsid w:val="00A461EC"/>
    <w:rsid w:val="00A462DC"/>
    <w:rsid w:val="00A549CB"/>
    <w:rsid w:val="00A551F1"/>
    <w:rsid w:val="00A55C3C"/>
    <w:rsid w:val="00A56E5A"/>
    <w:rsid w:val="00A71BF1"/>
    <w:rsid w:val="00A8365C"/>
    <w:rsid w:val="00A86E2E"/>
    <w:rsid w:val="00A909F7"/>
    <w:rsid w:val="00AB23C8"/>
    <w:rsid w:val="00AC6091"/>
    <w:rsid w:val="00AD08BE"/>
    <w:rsid w:val="00AD4250"/>
    <w:rsid w:val="00AD6123"/>
    <w:rsid w:val="00AF4385"/>
    <w:rsid w:val="00B11CFE"/>
    <w:rsid w:val="00B240B0"/>
    <w:rsid w:val="00B27B9D"/>
    <w:rsid w:val="00B43DB2"/>
    <w:rsid w:val="00B44741"/>
    <w:rsid w:val="00B46CF9"/>
    <w:rsid w:val="00B47F46"/>
    <w:rsid w:val="00B57768"/>
    <w:rsid w:val="00B71C92"/>
    <w:rsid w:val="00B753D5"/>
    <w:rsid w:val="00B819A5"/>
    <w:rsid w:val="00B857E2"/>
    <w:rsid w:val="00B96701"/>
    <w:rsid w:val="00BA51BE"/>
    <w:rsid w:val="00BB3C47"/>
    <w:rsid w:val="00BC1CCE"/>
    <w:rsid w:val="00BC3A66"/>
    <w:rsid w:val="00BD023C"/>
    <w:rsid w:val="00BE3481"/>
    <w:rsid w:val="00BE3C7C"/>
    <w:rsid w:val="00BE5009"/>
    <w:rsid w:val="00BF3BB4"/>
    <w:rsid w:val="00BF3DDF"/>
    <w:rsid w:val="00BF70FE"/>
    <w:rsid w:val="00C048D9"/>
    <w:rsid w:val="00C27553"/>
    <w:rsid w:val="00C32033"/>
    <w:rsid w:val="00C3376B"/>
    <w:rsid w:val="00C424EF"/>
    <w:rsid w:val="00C52268"/>
    <w:rsid w:val="00C61B5D"/>
    <w:rsid w:val="00C6235A"/>
    <w:rsid w:val="00C74157"/>
    <w:rsid w:val="00C84CCA"/>
    <w:rsid w:val="00C91823"/>
    <w:rsid w:val="00CA74A0"/>
    <w:rsid w:val="00CB2102"/>
    <w:rsid w:val="00CB3800"/>
    <w:rsid w:val="00CC44E9"/>
    <w:rsid w:val="00CC4D60"/>
    <w:rsid w:val="00CD3EF6"/>
    <w:rsid w:val="00CD490F"/>
    <w:rsid w:val="00CD5183"/>
    <w:rsid w:val="00CF04AC"/>
    <w:rsid w:val="00CF112E"/>
    <w:rsid w:val="00D02991"/>
    <w:rsid w:val="00D1662C"/>
    <w:rsid w:val="00D16EBD"/>
    <w:rsid w:val="00D20803"/>
    <w:rsid w:val="00D2582F"/>
    <w:rsid w:val="00D27A64"/>
    <w:rsid w:val="00D429BE"/>
    <w:rsid w:val="00D45085"/>
    <w:rsid w:val="00D52A64"/>
    <w:rsid w:val="00D572B9"/>
    <w:rsid w:val="00D63982"/>
    <w:rsid w:val="00D64707"/>
    <w:rsid w:val="00D7666E"/>
    <w:rsid w:val="00D83DBA"/>
    <w:rsid w:val="00D85B12"/>
    <w:rsid w:val="00D9728A"/>
    <w:rsid w:val="00DA183D"/>
    <w:rsid w:val="00DB3809"/>
    <w:rsid w:val="00DB7E36"/>
    <w:rsid w:val="00DC1341"/>
    <w:rsid w:val="00DC2EE2"/>
    <w:rsid w:val="00DC7658"/>
    <w:rsid w:val="00DE1235"/>
    <w:rsid w:val="00DE4605"/>
    <w:rsid w:val="00DF3864"/>
    <w:rsid w:val="00DF581E"/>
    <w:rsid w:val="00E14982"/>
    <w:rsid w:val="00E20A29"/>
    <w:rsid w:val="00E26B5E"/>
    <w:rsid w:val="00E3135E"/>
    <w:rsid w:val="00E37F9E"/>
    <w:rsid w:val="00E40C42"/>
    <w:rsid w:val="00E478B7"/>
    <w:rsid w:val="00E570C4"/>
    <w:rsid w:val="00E60782"/>
    <w:rsid w:val="00E60990"/>
    <w:rsid w:val="00E6120F"/>
    <w:rsid w:val="00E64CFD"/>
    <w:rsid w:val="00E704E3"/>
    <w:rsid w:val="00E73FD3"/>
    <w:rsid w:val="00E833E9"/>
    <w:rsid w:val="00E835B3"/>
    <w:rsid w:val="00E92706"/>
    <w:rsid w:val="00E960D2"/>
    <w:rsid w:val="00E96682"/>
    <w:rsid w:val="00EA337B"/>
    <w:rsid w:val="00EB6A45"/>
    <w:rsid w:val="00EC413B"/>
    <w:rsid w:val="00ED3254"/>
    <w:rsid w:val="00ED48B5"/>
    <w:rsid w:val="00EE0D3C"/>
    <w:rsid w:val="00EF4362"/>
    <w:rsid w:val="00F02294"/>
    <w:rsid w:val="00F05A06"/>
    <w:rsid w:val="00F36DE3"/>
    <w:rsid w:val="00F4188B"/>
    <w:rsid w:val="00F60AEE"/>
    <w:rsid w:val="00F61423"/>
    <w:rsid w:val="00F66C89"/>
    <w:rsid w:val="00F66CAF"/>
    <w:rsid w:val="00F80BB7"/>
    <w:rsid w:val="00F875B4"/>
    <w:rsid w:val="00F91B9F"/>
    <w:rsid w:val="00F94262"/>
    <w:rsid w:val="00F94264"/>
    <w:rsid w:val="00F965C4"/>
    <w:rsid w:val="00FB447B"/>
    <w:rsid w:val="00FB53D9"/>
    <w:rsid w:val="00FB62FA"/>
    <w:rsid w:val="00FB68F7"/>
    <w:rsid w:val="00FD6613"/>
    <w:rsid w:val="00FE2E90"/>
    <w:rsid w:val="00FE30BE"/>
    <w:rsid w:val="00FE72DD"/>
    <w:rsid w:val="00FF5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6DFBD88"/>
  <w15:docId w15:val="{747D9F12-AC28-2243-9B62-370EBB3D0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91B9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ett">
    <w:name w:val="Strong"/>
    <w:basedOn w:val="Absatz-Standardschriftart"/>
    <w:uiPriority w:val="22"/>
    <w:qFormat/>
    <w:rsid w:val="00557F58"/>
    <w:rPr>
      <w:b/>
      <w:bCs/>
    </w:rPr>
  </w:style>
  <w:style w:type="paragraph" w:styleId="Listenabsatz">
    <w:name w:val="List Paragraph"/>
    <w:basedOn w:val="Standard"/>
    <w:uiPriority w:val="34"/>
    <w:qFormat/>
    <w:rsid w:val="00104674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463FE6"/>
    <w:rPr>
      <w:color w:val="0563C1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BF7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F70FE"/>
  </w:style>
  <w:style w:type="paragraph" w:styleId="Fuzeile">
    <w:name w:val="footer"/>
    <w:basedOn w:val="Standard"/>
    <w:link w:val="FuzeileZchn"/>
    <w:uiPriority w:val="99"/>
    <w:unhideWhenUsed/>
    <w:rsid w:val="00BF7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F70FE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F70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F70FE"/>
    <w:rPr>
      <w:rFonts w:ascii="Segoe UI" w:hAnsi="Segoe UI" w:cs="Segoe UI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CD3EF6"/>
    <w:rPr>
      <w:color w:val="954F72" w:themeColor="followed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749DD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F91B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 w:bidi="th-TH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D3D1E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D3D1E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D3D1E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559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5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1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8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90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319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739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45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394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1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82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5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8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6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9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56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63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36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42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2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6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2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8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4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89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40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0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6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5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8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5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2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0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2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6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RelyOnCSS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kt-vivax.de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d.fieml@tkt-vivax.de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upa@press-n-relations.d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m.heinen@epilot.cloud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680</Words>
  <Characters>4205</Characters>
  <Application>Microsoft Office Word</Application>
  <DocSecurity>0</DocSecurity>
  <Lines>64</Lines>
  <Paragraphs>21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Dipl.- Ing. (FH) Dirk Fieml</dc:creator>
  <cp:keywords/>
  <dc:description/>
  <cp:lastModifiedBy>Uwe Pagel</cp:lastModifiedBy>
  <cp:revision>4</cp:revision>
  <cp:lastPrinted>2020-06-24T13:12:00Z</cp:lastPrinted>
  <dcterms:created xsi:type="dcterms:W3CDTF">2020-06-29T11:24:00Z</dcterms:created>
  <dcterms:modified xsi:type="dcterms:W3CDTF">2020-06-30T08:59:00Z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306931540</vt:i4>
  </property>
  <property fmtid="{D5CDD505-2E9C-101B-9397-08002B2CF9AE}" pid="3" name="_NewReviewCycle">
    <vt:lpwstr/>
  </property>
  <property fmtid="{D5CDD505-2E9C-101B-9397-08002B2CF9AE}" pid="4" name="_EmailSubject">
    <vt:lpwstr>Presseinfo STI Energiewirtschaft</vt:lpwstr>
  </property>
  <property fmtid="{D5CDD505-2E9C-101B-9397-08002B2CF9AE}" pid="5" name="_AuthorEmail">
    <vt:lpwstr>d.fieml@vivax-gmbh.net</vt:lpwstr>
  </property>
  <property fmtid="{D5CDD505-2E9C-101B-9397-08002B2CF9AE}" pid="6" name="_AuthorEmailDisplayName">
    <vt:lpwstr>Dirk Fieml</vt:lpwstr>
  </property>
</Properties>
</file>