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84C81" w14:textId="77777777" w:rsidR="001D70AE" w:rsidRDefault="001D70AE" w:rsidP="001D70AE">
      <w:pPr>
        <w:autoSpaceDE w:val="0"/>
        <w:autoSpaceDN w:val="0"/>
        <w:adjustRightInd w:val="0"/>
        <w:spacing w:after="0" w:line="240" w:lineRule="auto"/>
        <w:rPr>
          <w:rFonts w:ascii="Arial" w:hAnsi="Arial" w:cs="Arial"/>
          <w:b/>
          <w:color w:val="000000"/>
          <w:sz w:val="24"/>
          <w:szCs w:val="24"/>
        </w:rPr>
      </w:pPr>
    </w:p>
    <w:p w14:paraId="6F4BD604" w14:textId="77777777" w:rsidR="001D70AE" w:rsidRPr="000655B7" w:rsidRDefault="001D70AE" w:rsidP="001D70AE">
      <w:pPr>
        <w:autoSpaceDE w:val="0"/>
        <w:autoSpaceDN w:val="0"/>
        <w:adjustRightInd w:val="0"/>
        <w:spacing w:after="0" w:line="240" w:lineRule="auto"/>
        <w:rPr>
          <w:rFonts w:ascii="Arial" w:hAnsi="Arial" w:cs="Arial"/>
          <w:b/>
          <w:color w:val="000000"/>
          <w:sz w:val="24"/>
          <w:szCs w:val="24"/>
        </w:rPr>
      </w:pPr>
    </w:p>
    <w:p w14:paraId="4B5E3989" w14:textId="77777777" w:rsidR="001D70AE" w:rsidRPr="000655B7" w:rsidRDefault="001D70AE" w:rsidP="001D70A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78D20DC4" w14:textId="77777777" w:rsidR="001D70AE" w:rsidRDefault="001D70AE" w:rsidP="001D70AE">
      <w:pPr>
        <w:autoSpaceDE w:val="0"/>
        <w:autoSpaceDN w:val="0"/>
        <w:adjustRightInd w:val="0"/>
        <w:spacing w:after="0" w:line="240" w:lineRule="auto"/>
        <w:rPr>
          <w:rFonts w:ascii="Arial" w:hAnsi="Arial" w:cs="Arial"/>
          <w:color w:val="000000"/>
        </w:rPr>
      </w:pPr>
    </w:p>
    <w:p w14:paraId="2D66FF9B" w14:textId="77777777" w:rsidR="001D70AE" w:rsidRDefault="001D70AE" w:rsidP="001D70AE">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Pr>
          <w:rFonts w:ascii="Arial" w:hAnsi="Arial" w:cs="Arial"/>
        </w:rPr>
        <w:t>19</w:t>
      </w:r>
      <w:r w:rsidRPr="003A2746">
        <w:rPr>
          <w:rFonts w:ascii="Arial" w:hAnsi="Arial" w:cs="Arial"/>
        </w:rPr>
        <w:t xml:space="preserve">. </w:t>
      </w:r>
      <w:r>
        <w:rPr>
          <w:rFonts w:ascii="Arial" w:hAnsi="Arial" w:cs="Arial"/>
        </w:rPr>
        <w:t>Oktober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2</w:t>
      </w:r>
    </w:p>
    <w:p w14:paraId="6368AA42" w14:textId="77777777" w:rsidR="001D70AE" w:rsidRDefault="001D70AE" w:rsidP="001D70AE">
      <w:pPr>
        <w:autoSpaceDE w:val="0"/>
        <w:autoSpaceDN w:val="0"/>
        <w:adjustRightInd w:val="0"/>
        <w:spacing w:after="0" w:line="240" w:lineRule="auto"/>
        <w:rPr>
          <w:rFonts w:ascii="Arial" w:hAnsi="Arial" w:cs="Arial"/>
          <w:color w:val="000000"/>
        </w:rPr>
      </w:pPr>
    </w:p>
    <w:p w14:paraId="415894B9" w14:textId="77777777" w:rsidR="001D70AE" w:rsidRPr="000B5BA3" w:rsidRDefault="001D70AE" w:rsidP="001D70AE">
      <w:pPr>
        <w:autoSpaceDE w:val="0"/>
        <w:autoSpaceDN w:val="0"/>
        <w:adjustRightInd w:val="0"/>
        <w:spacing w:after="0" w:line="360" w:lineRule="auto"/>
        <w:ind w:right="-2410"/>
        <w:rPr>
          <w:rFonts w:ascii="Arial" w:hAnsi="Arial" w:cs="Arial"/>
          <w:b/>
          <w:bCs/>
          <w:color w:val="000000"/>
        </w:rPr>
      </w:pPr>
    </w:p>
    <w:p w14:paraId="7E4E4283" w14:textId="77777777" w:rsidR="001D70AE" w:rsidRPr="000A5BF7" w:rsidRDefault="001D70AE" w:rsidP="001D70AE">
      <w:pPr>
        <w:autoSpaceDE w:val="0"/>
        <w:autoSpaceDN w:val="0"/>
        <w:adjustRightInd w:val="0"/>
        <w:spacing w:after="0" w:line="360" w:lineRule="auto"/>
        <w:ind w:right="-1984"/>
        <w:rPr>
          <w:rFonts w:ascii="Arial" w:hAnsi="Arial" w:cs="Arial"/>
          <w:b/>
          <w:bCs/>
          <w:color w:val="000000"/>
          <w:sz w:val="28"/>
          <w:szCs w:val="28"/>
        </w:rPr>
      </w:pPr>
      <w:r>
        <w:rPr>
          <w:rFonts w:ascii="Arial" w:hAnsi="Arial" w:cs="Arial"/>
          <w:b/>
          <w:bCs/>
          <w:color w:val="000000"/>
          <w:sz w:val="28"/>
          <w:szCs w:val="28"/>
        </w:rPr>
        <w:t>Stopp der Graue-Flecken-Förderung absolut kontraproduktiv</w:t>
      </w:r>
    </w:p>
    <w:p w14:paraId="1B5A9C78" w14:textId="4C7F426F" w:rsidR="001D70AE" w:rsidRPr="008A663A" w:rsidRDefault="001D70AE" w:rsidP="001D70AE">
      <w:pPr>
        <w:spacing w:line="360" w:lineRule="auto"/>
        <w:ind w:right="-1701"/>
        <w:rPr>
          <w:rFonts w:ascii="Arial" w:hAnsi="Arial" w:cs="Tahoma"/>
          <w:b/>
          <w:sz w:val="20"/>
          <w:szCs w:val="20"/>
        </w:rPr>
      </w:pPr>
      <w:r>
        <w:rPr>
          <w:rFonts w:ascii="Arial" w:hAnsi="Arial" w:cs="Tahoma"/>
          <w:b/>
          <w:sz w:val="20"/>
          <w:szCs w:val="20"/>
        </w:rPr>
        <w:t>Konzept für bedarfsorientierte Förderung würde für effizientere Mittelverwendung sorgen</w:t>
      </w:r>
    </w:p>
    <w:p w14:paraId="7E316B40" w14:textId="77777777" w:rsidR="001D70AE" w:rsidRDefault="001D70AE" w:rsidP="001D70AE">
      <w:pPr>
        <w:spacing w:line="360" w:lineRule="auto"/>
        <w:rPr>
          <w:rFonts w:ascii="Arial" w:hAnsi="Arial" w:cs="Arial"/>
          <w:b/>
          <w:bCs/>
          <w:color w:val="000000"/>
          <w:sz w:val="20"/>
          <w:szCs w:val="20"/>
        </w:rPr>
      </w:pPr>
      <w:r>
        <w:rPr>
          <w:rFonts w:ascii="Arial" w:hAnsi="Arial" w:cs="Arial"/>
          <w:b/>
          <w:bCs/>
          <w:color w:val="000000"/>
          <w:sz w:val="20"/>
          <w:szCs w:val="20"/>
        </w:rPr>
        <w:t xml:space="preserve">Ohne Ankündigung hat die Bundesregierung heute das Graue-Flecken-Förderprogramm rückwirkend zum 17. Oktober 2022 eingestellt. Begründung: Die Fördermittel seien für das Jahr 2022 erschöpft. „Mit dieser Entscheidung führt das Bundesministerium für Digitales und Verkehr BMDV seine Gigabit-Strategie ad absurdum. Zumal keine Aussagen darüber getroffen wurden, welche konkreten Auswirkungen diese Entscheidung hat“, stellt Dirk </w:t>
      </w:r>
      <w:proofErr w:type="spellStart"/>
      <w:r>
        <w:rPr>
          <w:rFonts w:ascii="Arial" w:hAnsi="Arial" w:cs="Arial"/>
          <w:b/>
          <w:bCs/>
          <w:color w:val="000000"/>
          <w:sz w:val="20"/>
          <w:szCs w:val="20"/>
        </w:rPr>
        <w:t>Fieml</w:t>
      </w:r>
      <w:proofErr w:type="spellEnd"/>
      <w:r>
        <w:rPr>
          <w:rFonts w:ascii="Arial" w:hAnsi="Arial" w:cs="Arial"/>
          <w:b/>
          <w:bCs/>
          <w:color w:val="000000"/>
          <w:sz w:val="20"/>
          <w:szCs w:val="20"/>
        </w:rPr>
        <w:t xml:space="preserve">, CEO des Breitbandspezialisten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fest. „</w:t>
      </w:r>
      <w:r w:rsidRPr="00C740FC">
        <w:rPr>
          <w:rFonts w:ascii="Arial" w:hAnsi="Arial" w:cs="Arial"/>
          <w:b/>
          <w:bCs/>
          <w:color w:val="000000"/>
          <w:sz w:val="20"/>
          <w:szCs w:val="20"/>
        </w:rPr>
        <w:t>Wir gehen bisher davon aus, dass bereits gestellte Förderanträge weiterhin Gültigkeit haben und auch laufende Verfahren davon nicht betroffen sind. Inwieweit genehmigte 3.3</w:t>
      </w:r>
      <w:r>
        <w:rPr>
          <w:rFonts w:ascii="Arial" w:hAnsi="Arial" w:cs="Arial"/>
          <w:b/>
          <w:bCs/>
          <w:color w:val="000000"/>
          <w:sz w:val="20"/>
          <w:szCs w:val="20"/>
        </w:rPr>
        <w:t>-</w:t>
      </w:r>
      <w:r w:rsidRPr="00C740FC">
        <w:rPr>
          <w:rFonts w:ascii="Arial" w:hAnsi="Arial" w:cs="Arial"/>
          <w:b/>
          <w:bCs/>
          <w:color w:val="000000"/>
          <w:sz w:val="20"/>
          <w:szCs w:val="20"/>
        </w:rPr>
        <w:t>Förderbescheide, bereits durchgeführte MEVs, etc. Auswirkung darauf haben</w:t>
      </w:r>
      <w:r>
        <w:rPr>
          <w:rFonts w:ascii="Arial" w:hAnsi="Arial" w:cs="Arial"/>
          <w:b/>
          <w:bCs/>
          <w:color w:val="000000"/>
          <w:sz w:val="20"/>
          <w:szCs w:val="20"/>
        </w:rPr>
        <w:t xml:space="preserve"> und</w:t>
      </w:r>
      <w:r w:rsidRPr="00C740FC">
        <w:rPr>
          <w:rFonts w:ascii="Arial" w:hAnsi="Arial" w:cs="Arial"/>
          <w:b/>
          <w:bCs/>
          <w:color w:val="000000"/>
          <w:sz w:val="20"/>
          <w:szCs w:val="20"/>
        </w:rPr>
        <w:t xml:space="preserve"> ob hier dennoch 3.1</w:t>
      </w:r>
      <w:r>
        <w:rPr>
          <w:rFonts w:ascii="Arial" w:hAnsi="Arial" w:cs="Arial"/>
          <w:b/>
          <w:bCs/>
          <w:color w:val="000000"/>
          <w:sz w:val="20"/>
          <w:szCs w:val="20"/>
        </w:rPr>
        <w:t>-</w:t>
      </w:r>
      <w:r w:rsidRPr="00C740FC">
        <w:rPr>
          <w:rFonts w:ascii="Arial" w:hAnsi="Arial" w:cs="Arial"/>
          <w:b/>
          <w:bCs/>
          <w:color w:val="000000"/>
          <w:sz w:val="20"/>
          <w:szCs w:val="20"/>
        </w:rPr>
        <w:t xml:space="preserve"> oder 3.2</w:t>
      </w:r>
      <w:r>
        <w:rPr>
          <w:rFonts w:ascii="Arial" w:hAnsi="Arial" w:cs="Arial"/>
          <w:b/>
          <w:bCs/>
          <w:color w:val="000000"/>
          <w:sz w:val="20"/>
          <w:szCs w:val="20"/>
        </w:rPr>
        <w:t>-</w:t>
      </w:r>
      <w:r w:rsidRPr="00C740FC">
        <w:rPr>
          <w:rFonts w:ascii="Arial" w:hAnsi="Arial" w:cs="Arial"/>
          <w:b/>
          <w:bCs/>
          <w:color w:val="000000"/>
          <w:sz w:val="20"/>
          <w:szCs w:val="20"/>
        </w:rPr>
        <w:t>Anträge gestellt werden können oder nicht</w:t>
      </w:r>
      <w:r>
        <w:rPr>
          <w:rFonts w:ascii="Arial" w:hAnsi="Arial" w:cs="Arial"/>
          <w:b/>
          <w:bCs/>
          <w:color w:val="000000"/>
          <w:sz w:val="20"/>
          <w:szCs w:val="20"/>
        </w:rPr>
        <w:t xml:space="preserve"> ist leider unklar. </w:t>
      </w:r>
      <w:r w:rsidRPr="00C740FC">
        <w:rPr>
          <w:rFonts w:ascii="Arial" w:hAnsi="Arial" w:cs="Arial"/>
          <w:b/>
          <w:bCs/>
          <w:color w:val="000000"/>
          <w:sz w:val="20"/>
          <w:szCs w:val="20"/>
        </w:rPr>
        <w:t xml:space="preserve">Für uns alle ist </w:t>
      </w:r>
      <w:r>
        <w:rPr>
          <w:rFonts w:ascii="Arial" w:hAnsi="Arial" w:cs="Arial"/>
          <w:b/>
          <w:bCs/>
          <w:color w:val="000000"/>
          <w:sz w:val="20"/>
          <w:szCs w:val="20"/>
        </w:rPr>
        <w:t xml:space="preserve">aus </w:t>
      </w:r>
      <w:r w:rsidRPr="00C740FC">
        <w:rPr>
          <w:rFonts w:ascii="Arial" w:hAnsi="Arial" w:cs="Arial"/>
          <w:b/>
          <w:bCs/>
          <w:color w:val="000000"/>
          <w:sz w:val="20"/>
          <w:szCs w:val="20"/>
        </w:rPr>
        <w:t xml:space="preserve">unserer Sicht </w:t>
      </w:r>
      <w:r>
        <w:rPr>
          <w:rFonts w:ascii="Arial" w:hAnsi="Arial" w:cs="Arial"/>
          <w:b/>
          <w:bCs/>
          <w:color w:val="000000"/>
          <w:sz w:val="20"/>
          <w:szCs w:val="20"/>
        </w:rPr>
        <w:t>die</w:t>
      </w:r>
      <w:r w:rsidRPr="00C740FC">
        <w:rPr>
          <w:rFonts w:ascii="Arial" w:hAnsi="Arial" w:cs="Arial"/>
          <w:b/>
          <w:bCs/>
          <w:color w:val="000000"/>
          <w:sz w:val="20"/>
          <w:szCs w:val="20"/>
        </w:rPr>
        <w:t xml:space="preserve"> Entscheidung des Ministeriums weitreichend und hat Auswirkung auf die ganze Branche</w:t>
      </w:r>
      <w:r>
        <w:rPr>
          <w:rFonts w:ascii="Arial" w:hAnsi="Arial" w:cs="Arial"/>
          <w:b/>
          <w:bCs/>
          <w:color w:val="000000"/>
          <w:sz w:val="20"/>
          <w:szCs w:val="20"/>
        </w:rPr>
        <w:t xml:space="preserve">“, so </w:t>
      </w:r>
      <w:proofErr w:type="spellStart"/>
      <w:r>
        <w:rPr>
          <w:rFonts w:ascii="Arial" w:hAnsi="Arial" w:cs="Arial"/>
          <w:b/>
          <w:bCs/>
          <w:color w:val="000000"/>
          <w:sz w:val="20"/>
          <w:szCs w:val="20"/>
        </w:rPr>
        <w:t>Fieml</w:t>
      </w:r>
      <w:proofErr w:type="spellEnd"/>
      <w:r>
        <w:rPr>
          <w:rFonts w:ascii="Arial" w:hAnsi="Arial" w:cs="Arial"/>
          <w:b/>
          <w:bCs/>
          <w:color w:val="000000"/>
          <w:sz w:val="20"/>
          <w:szCs w:val="20"/>
        </w:rPr>
        <w:t xml:space="preserve"> weiter.</w:t>
      </w:r>
    </w:p>
    <w:p w14:paraId="48EC7747" w14:textId="77777777" w:rsidR="001D70AE" w:rsidRDefault="001D70AE" w:rsidP="001D70AE">
      <w:pPr>
        <w:spacing w:line="360" w:lineRule="auto"/>
        <w:rPr>
          <w:rFonts w:ascii="Arial" w:hAnsi="Arial" w:cs="Arial"/>
          <w:color w:val="000000"/>
          <w:sz w:val="20"/>
          <w:szCs w:val="20"/>
        </w:rPr>
      </w:pP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ist als Umsetzungspartner in zahlreichen Glasfaserprojekten in ganz Deutschland aktiv und unterstützt Kommunen und Gebietskörperschaften ebenso wie Stadtwerke beim Ausbau der Glasfasernetze. Zudem hat das Unternehmen mit dem Arbeitskreis Glasfaser Deutschland (AK GAD) eine Plattform für den Erfahrungsaustausch und den Know-how-Transfer ins Leben gerufen, um die operative Umsetzung solcher Projekte zu erleichtern. „Sowohl unsere Kunden als auch die Mitglieder des AK-GAD sind durch diese absolut unüberlegte Entscheidung zutiefst verunsichert. Es steht zu befürchten, dass deswegen viele Projekte ausgebremst werden. Zumal gerade die Stadtwerke momentan wegen der Energiekrise ohnehin vielerorts den Glasfaserausbau aus Kostengründen auf den Prüfstand stellen“, berichtet Dirk </w:t>
      </w:r>
      <w:proofErr w:type="spellStart"/>
      <w:r>
        <w:rPr>
          <w:rFonts w:ascii="Arial" w:hAnsi="Arial" w:cs="Arial"/>
          <w:color w:val="000000"/>
          <w:sz w:val="20"/>
          <w:szCs w:val="20"/>
        </w:rPr>
        <w:t>Fieml</w:t>
      </w:r>
      <w:proofErr w:type="spellEnd"/>
      <w:r>
        <w:rPr>
          <w:rFonts w:ascii="Arial" w:hAnsi="Arial" w:cs="Arial"/>
          <w:color w:val="000000"/>
          <w:sz w:val="20"/>
          <w:szCs w:val="20"/>
        </w:rPr>
        <w:t xml:space="preserve">. </w:t>
      </w:r>
    </w:p>
    <w:p w14:paraId="32A8B08A" w14:textId="77777777" w:rsidR="001D70AE" w:rsidRDefault="001D70AE" w:rsidP="001D70AE">
      <w:pPr>
        <w:spacing w:line="360" w:lineRule="auto"/>
        <w:rPr>
          <w:rFonts w:ascii="Arial" w:hAnsi="Arial" w:cs="Arial"/>
          <w:color w:val="000000"/>
          <w:sz w:val="20"/>
          <w:szCs w:val="20"/>
        </w:rPr>
      </w:pPr>
      <w:r w:rsidRPr="00C41690">
        <w:rPr>
          <w:rFonts w:ascii="Arial" w:hAnsi="Arial" w:cs="Arial"/>
          <w:b/>
          <w:bCs/>
          <w:color w:val="000000"/>
          <w:sz w:val="20"/>
          <w:szCs w:val="20"/>
        </w:rPr>
        <w:t>Bedarfsorientierte Förderung</w:t>
      </w:r>
      <w:r w:rsidRPr="00C41690">
        <w:rPr>
          <w:rFonts w:ascii="Arial" w:hAnsi="Arial" w:cs="Arial"/>
          <w:b/>
          <w:bCs/>
          <w:color w:val="000000"/>
          <w:sz w:val="20"/>
          <w:szCs w:val="20"/>
        </w:rPr>
        <w:br/>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hatte schon im Juni dieses Jahres ein Konzept für die Umstellung der Förderung auf ein bedarfsorientiertes Modell vorgelegt. Damit könnten durch </w:t>
      </w:r>
      <w:r>
        <w:rPr>
          <w:rFonts w:ascii="Arial" w:hAnsi="Arial" w:cs="Arial"/>
          <w:color w:val="000000"/>
          <w:sz w:val="20"/>
          <w:szCs w:val="20"/>
        </w:rPr>
        <w:lastRenderedPageBreak/>
        <w:t xml:space="preserve">eine deutlich gezieltere Förderung die zur Verfügung stehenden Mittel effizienter eingesetzt und auf deutlich mehr Projekte verteilt werden. Über eine intelligente Kopplung mit dem eigenwirtschaftlichen Ausbau würden die Verfahren zudem verkürzt und der Ausbau beschleunigt. „Wir stellen unser Konzept dem BMVD gerne vor, denn auf dieser Basis hätten die vorgesehenen Fördermittel für dieses Jahr sicher ausgereicht“, so </w:t>
      </w:r>
      <w:proofErr w:type="spellStart"/>
      <w:r>
        <w:rPr>
          <w:rFonts w:ascii="Arial" w:hAnsi="Arial" w:cs="Arial"/>
          <w:color w:val="000000"/>
          <w:sz w:val="20"/>
          <w:szCs w:val="20"/>
        </w:rPr>
        <w:t>Fieml</w:t>
      </w:r>
      <w:proofErr w:type="spellEnd"/>
      <w:r>
        <w:rPr>
          <w:rFonts w:ascii="Arial" w:hAnsi="Arial" w:cs="Arial"/>
          <w:color w:val="000000"/>
          <w:sz w:val="20"/>
          <w:szCs w:val="20"/>
        </w:rPr>
        <w:t>.</w:t>
      </w:r>
    </w:p>
    <w:p w14:paraId="0C897E7E" w14:textId="77777777" w:rsidR="001D70AE" w:rsidRPr="00473FBA" w:rsidRDefault="001D70AE" w:rsidP="001D70AE">
      <w:pPr>
        <w:spacing w:line="360" w:lineRule="auto"/>
        <w:rPr>
          <w:rFonts w:ascii="Arial" w:hAnsi="Arial" w:cs="Arial"/>
          <w:color w:val="000000"/>
          <w:sz w:val="20"/>
          <w:szCs w:val="20"/>
        </w:rPr>
      </w:pPr>
      <w:r>
        <w:rPr>
          <w:rFonts w:ascii="Arial" w:hAnsi="Arial" w:cs="Arial"/>
          <w:color w:val="000000"/>
          <w:sz w:val="20"/>
          <w:szCs w:val="20"/>
        </w:rPr>
        <w:t xml:space="preserve">Mehr Informationen: </w:t>
      </w:r>
      <w:hyperlink r:id="rId7" w:history="1">
        <w:r w:rsidRPr="00727485">
          <w:rPr>
            <w:rStyle w:val="Hyperlink"/>
            <w:rFonts w:ascii="Arial" w:hAnsi="Arial" w:cs="Arial"/>
            <w:sz w:val="20"/>
            <w:szCs w:val="20"/>
          </w:rPr>
          <w:t>https://www.tkt-vivax.de//kachelinhalt/tktvivax-bedarfsorientiert-fordern-statt-potenziale-analysieren</w:t>
        </w:r>
      </w:hyperlink>
    </w:p>
    <w:tbl>
      <w:tblPr>
        <w:tblW w:w="9781" w:type="dxa"/>
        <w:tblLook w:val="04A0" w:firstRow="1" w:lastRow="0" w:firstColumn="1" w:lastColumn="0" w:noHBand="0" w:noVBand="1"/>
      </w:tblPr>
      <w:tblGrid>
        <w:gridCol w:w="4962"/>
        <w:gridCol w:w="4819"/>
      </w:tblGrid>
      <w:tr w:rsidR="001D70AE" w:rsidRPr="000655B7" w14:paraId="4BB99F62" w14:textId="77777777" w:rsidTr="005F088B">
        <w:tc>
          <w:tcPr>
            <w:tcW w:w="4962" w:type="dxa"/>
            <w:shd w:val="clear" w:color="auto" w:fill="auto"/>
          </w:tcPr>
          <w:p w14:paraId="11C671E1" w14:textId="77777777" w:rsidR="001D70AE" w:rsidRDefault="001D70AE" w:rsidP="005F088B">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50B90DF" w14:textId="77777777" w:rsidR="001D70AE" w:rsidRDefault="001D70AE" w:rsidP="005F088B">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8"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9" w:history="1">
              <w:r w:rsidRPr="006233F9">
                <w:rPr>
                  <w:rStyle w:val="Hyperlink"/>
                  <w:rFonts w:ascii="Arial" w:hAnsi="Arial" w:cs="Calibri"/>
                  <w:sz w:val="16"/>
                  <w:szCs w:val="26"/>
                  <w:lang w:eastAsia="de-DE"/>
                </w:rPr>
                <w:t>www.tkt-vivax.de</w:t>
              </w:r>
            </w:hyperlink>
          </w:p>
          <w:p w14:paraId="27C15D1B" w14:textId="77777777" w:rsidR="001D70AE" w:rsidRPr="004E3948" w:rsidRDefault="001D70AE" w:rsidP="005F088B">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401DA116" w14:textId="77777777" w:rsidR="001D70AE" w:rsidRPr="000655B7" w:rsidRDefault="001D70AE" w:rsidP="005F088B">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10"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B245D00" w14:textId="77777777" w:rsidR="001D70AE" w:rsidRDefault="001D70AE" w:rsidP="001D70AE">
      <w:pPr>
        <w:widowControl w:val="0"/>
        <w:autoSpaceDE w:val="0"/>
        <w:autoSpaceDN w:val="0"/>
        <w:adjustRightInd w:val="0"/>
        <w:spacing w:line="240" w:lineRule="auto"/>
        <w:ind w:left="34" w:right="-141"/>
        <w:rPr>
          <w:rFonts w:ascii="Arial" w:hAnsi="Arial" w:cs="Calibri"/>
          <w:sz w:val="16"/>
          <w:szCs w:val="26"/>
          <w:lang w:eastAsia="de-DE"/>
        </w:rPr>
      </w:pPr>
      <w:r w:rsidRPr="00E14F96">
        <w:rPr>
          <w:rFonts w:ascii="Arial" w:hAnsi="Arial" w:cs="Calibri"/>
          <w:sz w:val="16"/>
          <w:szCs w:val="26"/>
          <w:lang w:eastAsia="de-DE"/>
        </w:rPr>
        <w:t xml:space="preserve">Mit dem Arbeitskreis Glasfaserausbau Deutschland (AK GAD) hat die </w:t>
      </w:r>
      <w:proofErr w:type="spellStart"/>
      <w:r w:rsidRPr="00E14F96">
        <w:rPr>
          <w:rFonts w:ascii="Arial" w:hAnsi="Arial" w:cs="Calibri"/>
          <w:sz w:val="16"/>
          <w:szCs w:val="26"/>
          <w:lang w:eastAsia="de-DE"/>
        </w:rPr>
        <w:t>tktVivax</w:t>
      </w:r>
      <w:proofErr w:type="spellEnd"/>
      <w:r w:rsidRPr="00E14F96">
        <w:rPr>
          <w:rFonts w:ascii="Arial" w:hAnsi="Arial" w:cs="Calibri"/>
          <w:sz w:val="16"/>
          <w:szCs w:val="26"/>
          <w:lang w:eastAsia="de-DE"/>
        </w:rPr>
        <w:t xml:space="preserve"> Group eine Initiative ins Leben gerufen, die helfen soll, den flächendeckenden Ausbau von Breitbandnetzen zu erleichtern. Im Fokus der Arbeit stehen operative Fragen rund um den Ausbau, den Betrieb und die Vermarktung von Glasfasernetzen sowie der vor- und nachgelagerten Infrastruktur. Der AK GAD agiert dabei vornehmlich als Plattform für den Informationsaustausch und den Know-how-Transfer. </w:t>
      </w:r>
    </w:p>
    <w:p w14:paraId="2D10A025" w14:textId="77777777" w:rsidR="001D70AE" w:rsidRPr="009F0F94" w:rsidRDefault="001D70AE" w:rsidP="001D70AE">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und Hamburg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71DC686E" w14:textId="77777777" w:rsidR="001D70AE" w:rsidRPr="00126EDD" w:rsidRDefault="001D70AE" w:rsidP="001D70AE"/>
    <w:p w14:paraId="2E55E5C6" w14:textId="014AD25D" w:rsidR="007749DD" w:rsidRPr="001D70AE" w:rsidRDefault="007749DD" w:rsidP="001D70AE"/>
    <w:sectPr w:rsidR="007749DD" w:rsidRPr="001D70AE" w:rsidSect="000E11A2">
      <w:headerReference w:type="default" r:id="rId11"/>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55C0F" w14:textId="77777777" w:rsidR="006D6356" w:rsidRDefault="006D6356" w:rsidP="00BF70FE">
      <w:pPr>
        <w:spacing w:after="0" w:line="240" w:lineRule="auto"/>
      </w:pPr>
      <w:r>
        <w:separator/>
      </w:r>
    </w:p>
  </w:endnote>
  <w:endnote w:type="continuationSeparator" w:id="0">
    <w:p w14:paraId="63681D9E" w14:textId="77777777" w:rsidR="006D6356" w:rsidRDefault="006D6356"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CC3B3" w14:textId="77777777" w:rsidR="006D6356" w:rsidRDefault="006D6356" w:rsidP="00BF70FE">
      <w:pPr>
        <w:spacing w:after="0" w:line="240" w:lineRule="auto"/>
      </w:pPr>
      <w:r>
        <w:separator/>
      </w:r>
    </w:p>
  </w:footnote>
  <w:footnote w:type="continuationSeparator" w:id="0">
    <w:p w14:paraId="3DAD4391" w14:textId="77777777" w:rsidR="006D6356" w:rsidRDefault="006D6356"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408027FF" w:rsidR="00B96701" w:rsidRDefault="00AE0EC0" w:rsidP="00E14F96">
    <w:pPr>
      <w:pStyle w:val="Kopfzeile"/>
      <w:tabs>
        <w:tab w:val="clear" w:pos="9072"/>
      </w:tabs>
      <w:ind w:right="-2551"/>
      <w:jc w:val="right"/>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A5BF7"/>
    <w:rsid w:val="000B5BA3"/>
    <w:rsid w:val="000C2AF9"/>
    <w:rsid w:val="000C46B3"/>
    <w:rsid w:val="000C4746"/>
    <w:rsid w:val="000D4DE3"/>
    <w:rsid w:val="000E087D"/>
    <w:rsid w:val="000E11A2"/>
    <w:rsid w:val="000E7CE7"/>
    <w:rsid w:val="000F2111"/>
    <w:rsid w:val="000F4F9D"/>
    <w:rsid w:val="00101591"/>
    <w:rsid w:val="0010198B"/>
    <w:rsid w:val="00104674"/>
    <w:rsid w:val="00104719"/>
    <w:rsid w:val="00106821"/>
    <w:rsid w:val="00121300"/>
    <w:rsid w:val="00126EDD"/>
    <w:rsid w:val="00130B66"/>
    <w:rsid w:val="00131142"/>
    <w:rsid w:val="0013234F"/>
    <w:rsid w:val="00132DC4"/>
    <w:rsid w:val="00135237"/>
    <w:rsid w:val="00143BC5"/>
    <w:rsid w:val="0014450F"/>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7838"/>
    <w:rsid w:val="001D2C4D"/>
    <w:rsid w:val="001D2FB7"/>
    <w:rsid w:val="001D70AE"/>
    <w:rsid w:val="001E3CB7"/>
    <w:rsid w:val="001E6755"/>
    <w:rsid w:val="001E6F47"/>
    <w:rsid w:val="001F293E"/>
    <w:rsid w:val="0020049A"/>
    <w:rsid w:val="00205941"/>
    <w:rsid w:val="00207A9F"/>
    <w:rsid w:val="00211928"/>
    <w:rsid w:val="00213AF7"/>
    <w:rsid w:val="00221178"/>
    <w:rsid w:val="00221777"/>
    <w:rsid w:val="00233C8C"/>
    <w:rsid w:val="00235F66"/>
    <w:rsid w:val="00236787"/>
    <w:rsid w:val="00237217"/>
    <w:rsid w:val="00244E90"/>
    <w:rsid w:val="00255BB8"/>
    <w:rsid w:val="00262A08"/>
    <w:rsid w:val="00265589"/>
    <w:rsid w:val="00274204"/>
    <w:rsid w:val="002745F8"/>
    <w:rsid w:val="002757A3"/>
    <w:rsid w:val="0028558F"/>
    <w:rsid w:val="0028717A"/>
    <w:rsid w:val="002A7D5D"/>
    <w:rsid w:val="002A7E29"/>
    <w:rsid w:val="002B1340"/>
    <w:rsid w:val="002B245C"/>
    <w:rsid w:val="002B321F"/>
    <w:rsid w:val="002B36BE"/>
    <w:rsid w:val="002B3E9E"/>
    <w:rsid w:val="002B5436"/>
    <w:rsid w:val="002C01AF"/>
    <w:rsid w:val="002D5B66"/>
    <w:rsid w:val="002D6045"/>
    <w:rsid w:val="002E0481"/>
    <w:rsid w:val="002E1504"/>
    <w:rsid w:val="002E33BB"/>
    <w:rsid w:val="002E6EA0"/>
    <w:rsid w:val="002F1BFF"/>
    <w:rsid w:val="002F66DA"/>
    <w:rsid w:val="002F6E7A"/>
    <w:rsid w:val="0030091A"/>
    <w:rsid w:val="00304113"/>
    <w:rsid w:val="00304144"/>
    <w:rsid w:val="00314048"/>
    <w:rsid w:val="00315669"/>
    <w:rsid w:val="00321DE9"/>
    <w:rsid w:val="003228B7"/>
    <w:rsid w:val="003274D8"/>
    <w:rsid w:val="00341A34"/>
    <w:rsid w:val="0035048A"/>
    <w:rsid w:val="00350A47"/>
    <w:rsid w:val="0035256E"/>
    <w:rsid w:val="00362AE7"/>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475B"/>
    <w:rsid w:val="003D63AC"/>
    <w:rsid w:val="003D642E"/>
    <w:rsid w:val="003D7AC5"/>
    <w:rsid w:val="003E1E07"/>
    <w:rsid w:val="003F5618"/>
    <w:rsid w:val="003F5E46"/>
    <w:rsid w:val="00402F7C"/>
    <w:rsid w:val="00406C69"/>
    <w:rsid w:val="00406EFB"/>
    <w:rsid w:val="004112BE"/>
    <w:rsid w:val="004137FD"/>
    <w:rsid w:val="00415B45"/>
    <w:rsid w:val="00427AD2"/>
    <w:rsid w:val="004306B3"/>
    <w:rsid w:val="00437155"/>
    <w:rsid w:val="004422BD"/>
    <w:rsid w:val="004467C0"/>
    <w:rsid w:val="004540FC"/>
    <w:rsid w:val="00454989"/>
    <w:rsid w:val="00455A88"/>
    <w:rsid w:val="004574AD"/>
    <w:rsid w:val="004638B5"/>
    <w:rsid w:val="00463FE6"/>
    <w:rsid w:val="00465527"/>
    <w:rsid w:val="00465CBB"/>
    <w:rsid w:val="004713E0"/>
    <w:rsid w:val="004731DE"/>
    <w:rsid w:val="00473FBA"/>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6FEE"/>
    <w:rsid w:val="005577A0"/>
    <w:rsid w:val="00557F58"/>
    <w:rsid w:val="00563754"/>
    <w:rsid w:val="00564676"/>
    <w:rsid w:val="00565D15"/>
    <w:rsid w:val="005739E1"/>
    <w:rsid w:val="00576A90"/>
    <w:rsid w:val="00576E59"/>
    <w:rsid w:val="00580F7D"/>
    <w:rsid w:val="00582ECD"/>
    <w:rsid w:val="00591D88"/>
    <w:rsid w:val="005926D7"/>
    <w:rsid w:val="005958C2"/>
    <w:rsid w:val="00596BC4"/>
    <w:rsid w:val="005B2C0D"/>
    <w:rsid w:val="005B3C72"/>
    <w:rsid w:val="005B50F1"/>
    <w:rsid w:val="005D3D1E"/>
    <w:rsid w:val="005D61BC"/>
    <w:rsid w:val="005E1591"/>
    <w:rsid w:val="005E204F"/>
    <w:rsid w:val="005F2DF5"/>
    <w:rsid w:val="005F5177"/>
    <w:rsid w:val="005F63B7"/>
    <w:rsid w:val="0060472D"/>
    <w:rsid w:val="00605163"/>
    <w:rsid w:val="00613B84"/>
    <w:rsid w:val="00630497"/>
    <w:rsid w:val="00632072"/>
    <w:rsid w:val="00633111"/>
    <w:rsid w:val="00640EED"/>
    <w:rsid w:val="00650109"/>
    <w:rsid w:val="00650F5E"/>
    <w:rsid w:val="006514AF"/>
    <w:rsid w:val="006563BE"/>
    <w:rsid w:val="00664FF9"/>
    <w:rsid w:val="006663C8"/>
    <w:rsid w:val="00666C16"/>
    <w:rsid w:val="0067331D"/>
    <w:rsid w:val="00674BD0"/>
    <w:rsid w:val="00681349"/>
    <w:rsid w:val="006824CB"/>
    <w:rsid w:val="00682686"/>
    <w:rsid w:val="00682E83"/>
    <w:rsid w:val="006847AC"/>
    <w:rsid w:val="006862AC"/>
    <w:rsid w:val="006966C5"/>
    <w:rsid w:val="006A1AAA"/>
    <w:rsid w:val="006A652B"/>
    <w:rsid w:val="006B4FEB"/>
    <w:rsid w:val="006D38DD"/>
    <w:rsid w:val="006D6356"/>
    <w:rsid w:val="006D6479"/>
    <w:rsid w:val="006E3A41"/>
    <w:rsid w:val="006E7E8E"/>
    <w:rsid w:val="006F2189"/>
    <w:rsid w:val="006F6690"/>
    <w:rsid w:val="00703D47"/>
    <w:rsid w:val="00705635"/>
    <w:rsid w:val="007068C1"/>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704B1"/>
    <w:rsid w:val="00770DBF"/>
    <w:rsid w:val="007749DD"/>
    <w:rsid w:val="007768B7"/>
    <w:rsid w:val="00777197"/>
    <w:rsid w:val="00780026"/>
    <w:rsid w:val="00785A83"/>
    <w:rsid w:val="00785BC8"/>
    <w:rsid w:val="007A253C"/>
    <w:rsid w:val="007B0E5E"/>
    <w:rsid w:val="007B40BC"/>
    <w:rsid w:val="007C0C1B"/>
    <w:rsid w:val="007D3F81"/>
    <w:rsid w:val="007E401A"/>
    <w:rsid w:val="007E4D6B"/>
    <w:rsid w:val="007F0DE9"/>
    <w:rsid w:val="007F32B3"/>
    <w:rsid w:val="007F3F43"/>
    <w:rsid w:val="007F45CF"/>
    <w:rsid w:val="007F4A3D"/>
    <w:rsid w:val="007F5FBA"/>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944"/>
    <w:rsid w:val="008F64E2"/>
    <w:rsid w:val="00912C77"/>
    <w:rsid w:val="00915DD5"/>
    <w:rsid w:val="009225CB"/>
    <w:rsid w:val="009234F0"/>
    <w:rsid w:val="009309DD"/>
    <w:rsid w:val="00937B5E"/>
    <w:rsid w:val="0094694E"/>
    <w:rsid w:val="00947D0B"/>
    <w:rsid w:val="00953301"/>
    <w:rsid w:val="00953399"/>
    <w:rsid w:val="0095460E"/>
    <w:rsid w:val="0095777B"/>
    <w:rsid w:val="00967913"/>
    <w:rsid w:val="00970576"/>
    <w:rsid w:val="00970F02"/>
    <w:rsid w:val="00972598"/>
    <w:rsid w:val="00977634"/>
    <w:rsid w:val="0098474D"/>
    <w:rsid w:val="00993991"/>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A41E7"/>
    <w:rsid w:val="00AA55F2"/>
    <w:rsid w:val="00AB23C8"/>
    <w:rsid w:val="00AC053B"/>
    <w:rsid w:val="00AC2478"/>
    <w:rsid w:val="00AC2BFD"/>
    <w:rsid w:val="00AC3868"/>
    <w:rsid w:val="00AC5D02"/>
    <w:rsid w:val="00AC6091"/>
    <w:rsid w:val="00AD08BE"/>
    <w:rsid w:val="00AD256F"/>
    <w:rsid w:val="00AD4250"/>
    <w:rsid w:val="00AE0DBD"/>
    <w:rsid w:val="00AE0E89"/>
    <w:rsid w:val="00AE0EC0"/>
    <w:rsid w:val="00AE22CD"/>
    <w:rsid w:val="00B001E6"/>
    <w:rsid w:val="00B11CFE"/>
    <w:rsid w:val="00B13A5F"/>
    <w:rsid w:val="00B153D5"/>
    <w:rsid w:val="00B16919"/>
    <w:rsid w:val="00B23C08"/>
    <w:rsid w:val="00B23CF9"/>
    <w:rsid w:val="00B25C51"/>
    <w:rsid w:val="00B27B9D"/>
    <w:rsid w:val="00B3624E"/>
    <w:rsid w:val="00B37700"/>
    <w:rsid w:val="00B43DB2"/>
    <w:rsid w:val="00B44741"/>
    <w:rsid w:val="00B46CF9"/>
    <w:rsid w:val="00B47F46"/>
    <w:rsid w:val="00B55BBE"/>
    <w:rsid w:val="00B57768"/>
    <w:rsid w:val="00B67EDA"/>
    <w:rsid w:val="00B71C92"/>
    <w:rsid w:val="00B753D5"/>
    <w:rsid w:val="00B819A5"/>
    <w:rsid w:val="00B82239"/>
    <w:rsid w:val="00B857E2"/>
    <w:rsid w:val="00B96701"/>
    <w:rsid w:val="00BA0B62"/>
    <w:rsid w:val="00BA0FAD"/>
    <w:rsid w:val="00BA3625"/>
    <w:rsid w:val="00BA51BE"/>
    <w:rsid w:val="00BA7304"/>
    <w:rsid w:val="00BB3C47"/>
    <w:rsid w:val="00BC042E"/>
    <w:rsid w:val="00BC1CCE"/>
    <w:rsid w:val="00BC3A66"/>
    <w:rsid w:val="00BD177C"/>
    <w:rsid w:val="00BD464F"/>
    <w:rsid w:val="00BE3481"/>
    <w:rsid w:val="00BE3C7C"/>
    <w:rsid w:val="00BF3BB4"/>
    <w:rsid w:val="00BF3DDF"/>
    <w:rsid w:val="00BF70BC"/>
    <w:rsid w:val="00BF70FE"/>
    <w:rsid w:val="00C0266F"/>
    <w:rsid w:val="00C048D9"/>
    <w:rsid w:val="00C27553"/>
    <w:rsid w:val="00C32033"/>
    <w:rsid w:val="00C3376B"/>
    <w:rsid w:val="00C41690"/>
    <w:rsid w:val="00C424EF"/>
    <w:rsid w:val="00C52268"/>
    <w:rsid w:val="00C61B5D"/>
    <w:rsid w:val="00C6235A"/>
    <w:rsid w:val="00C641A4"/>
    <w:rsid w:val="00C727E4"/>
    <w:rsid w:val="00C740FC"/>
    <w:rsid w:val="00C74157"/>
    <w:rsid w:val="00C77677"/>
    <w:rsid w:val="00C82FEA"/>
    <w:rsid w:val="00C84CCA"/>
    <w:rsid w:val="00C90B7B"/>
    <w:rsid w:val="00C91823"/>
    <w:rsid w:val="00CA7284"/>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70E0"/>
    <w:rsid w:val="00D9728A"/>
    <w:rsid w:val="00DA183D"/>
    <w:rsid w:val="00DA26CC"/>
    <w:rsid w:val="00DB7E36"/>
    <w:rsid w:val="00DC1341"/>
    <w:rsid w:val="00DC1532"/>
    <w:rsid w:val="00DC2EE2"/>
    <w:rsid w:val="00DC3629"/>
    <w:rsid w:val="00DC7658"/>
    <w:rsid w:val="00DD0093"/>
    <w:rsid w:val="00DD349E"/>
    <w:rsid w:val="00DE0A90"/>
    <w:rsid w:val="00DE2B22"/>
    <w:rsid w:val="00DE4605"/>
    <w:rsid w:val="00DE6377"/>
    <w:rsid w:val="00DF3864"/>
    <w:rsid w:val="00DF581E"/>
    <w:rsid w:val="00E029F9"/>
    <w:rsid w:val="00E14982"/>
    <w:rsid w:val="00E14F96"/>
    <w:rsid w:val="00E20A29"/>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5A39"/>
    <w:rsid w:val="00E960D2"/>
    <w:rsid w:val="00E96682"/>
    <w:rsid w:val="00EA337B"/>
    <w:rsid w:val="00EB3069"/>
    <w:rsid w:val="00EB5442"/>
    <w:rsid w:val="00EB6A45"/>
    <w:rsid w:val="00EC0FE2"/>
    <w:rsid w:val="00EC4040"/>
    <w:rsid w:val="00EC65A1"/>
    <w:rsid w:val="00EC7E20"/>
    <w:rsid w:val="00ED24D7"/>
    <w:rsid w:val="00ED3254"/>
    <w:rsid w:val="00ED48B5"/>
    <w:rsid w:val="00EE0D3C"/>
    <w:rsid w:val="00EE47A7"/>
    <w:rsid w:val="00EE7E7C"/>
    <w:rsid w:val="00EF4362"/>
    <w:rsid w:val="00EF500E"/>
    <w:rsid w:val="00EF7E0B"/>
    <w:rsid w:val="00F0224E"/>
    <w:rsid w:val="00F02294"/>
    <w:rsid w:val="00F05E79"/>
    <w:rsid w:val="00F139FA"/>
    <w:rsid w:val="00F152A7"/>
    <w:rsid w:val="00F17F2A"/>
    <w:rsid w:val="00F25235"/>
    <w:rsid w:val="00F25E8D"/>
    <w:rsid w:val="00F36DE3"/>
    <w:rsid w:val="00F40E0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 w:val="00FF125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2251216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d.fieml@tkt-vivax.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kt-vivax.de//kachelinhalt/tktvivax-bedarfsorientiert-fordern-statt-potenziale-analysiere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tkt-vivax.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4061</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2022-06-03T06:41:00Z</cp:lastPrinted>
  <dcterms:created xsi:type="dcterms:W3CDTF">2022-10-19T12:58:00Z</dcterms:created>
  <dcterms:modified xsi:type="dcterms:W3CDTF">2022-10-19T13:20:00Z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