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6ADB943" w14:textId="77777777" w:rsidR="000A752F" w:rsidRDefault="000A752F" w:rsidP="000A752F">
      <w:pPr>
        <w:autoSpaceDE w:val="0"/>
        <w:autoSpaceDN w:val="0"/>
        <w:adjustRightInd w:val="0"/>
        <w:spacing w:after="0" w:line="240" w:lineRule="auto"/>
        <w:rPr>
          <w:rFonts w:ascii="Arial" w:hAnsi="Arial" w:cs="Arial"/>
          <w:b/>
          <w:color w:val="000000"/>
          <w:sz w:val="24"/>
          <w:szCs w:val="24"/>
        </w:rPr>
      </w:pPr>
    </w:p>
    <w:p w14:paraId="41A91AD4" w14:textId="77777777" w:rsidR="000A752F" w:rsidRPr="000655B7" w:rsidRDefault="000A752F" w:rsidP="000A752F">
      <w:pPr>
        <w:autoSpaceDE w:val="0"/>
        <w:autoSpaceDN w:val="0"/>
        <w:adjustRightInd w:val="0"/>
        <w:spacing w:after="0" w:line="240" w:lineRule="auto"/>
        <w:rPr>
          <w:rFonts w:ascii="Arial" w:hAnsi="Arial" w:cs="Arial"/>
          <w:b/>
          <w:color w:val="000000"/>
          <w:sz w:val="24"/>
          <w:szCs w:val="24"/>
        </w:rPr>
      </w:pPr>
    </w:p>
    <w:p w14:paraId="0F77088A" w14:textId="77777777" w:rsidR="000A752F" w:rsidRPr="000655B7" w:rsidRDefault="000A752F" w:rsidP="000A752F">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648F6195" w14:textId="77777777" w:rsidR="000A752F" w:rsidRDefault="000A752F" w:rsidP="000A752F">
      <w:pPr>
        <w:autoSpaceDE w:val="0"/>
        <w:autoSpaceDN w:val="0"/>
        <w:adjustRightInd w:val="0"/>
        <w:spacing w:after="0" w:line="240" w:lineRule="auto"/>
        <w:rPr>
          <w:rFonts w:ascii="Arial" w:hAnsi="Arial" w:cs="Arial"/>
          <w:color w:val="000000"/>
        </w:rPr>
      </w:pPr>
    </w:p>
    <w:p w14:paraId="6B9F8DF5" w14:textId="5D28EAFA" w:rsidR="000A752F" w:rsidRDefault="000A752F" w:rsidP="000A752F">
      <w:pPr>
        <w:autoSpaceDE w:val="0"/>
        <w:autoSpaceDN w:val="0"/>
        <w:adjustRightInd w:val="0"/>
        <w:spacing w:after="0" w:line="240" w:lineRule="auto"/>
        <w:rPr>
          <w:rFonts w:ascii="Arial" w:hAnsi="Arial" w:cs="Arial"/>
          <w:color w:val="000000"/>
        </w:rPr>
      </w:pPr>
      <w:r>
        <w:rPr>
          <w:rFonts w:ascii="Arial" w:hAnsi="Arial" w:cs="Arial"/>
          <w:color w:val="000000"/>
        </w:rPr>
        <w:t>Berlin</w:t>
      </w:r>
      <w:r w:rsidRPr="000655B7">
        <w:rPr>
          <w:rFonts w:ascii="Arial" w:hAnsi="Arial" w:cs="Arial"/>
          <w:color w:val="000000"/>
        </w:rPr>
        <w:t xml:space="preserve">, </w:t>
      </w:r>
      <w:r w:rsidR="008507C4">
        <w:rPr>
          <w:rFonts w:ascii="Arial" w:hAnsi="Arial" w:cs="Arial"/>
        </w:rPr>
        <w:t>25.</w:t>
      </w:r>
      <w:r w:rsidRPr="003A2746">
        <w:rPr>
          <w:rFonts w:ascii="Arial" w:hAnsi="Arial" w:cs="Arial"/>
        </w:rPr>
        <w:t xml:space="preserve"> </w:t>
      </w:r>
      <w:r w:rsidR="00185A48">
        <w:rPr>
          <w:rFonts w:ascii="Arial" w:hAnsi="Arial" w:cs="Arial"/>
        </w:rPr>
        <w:t>September</w:t>
      </w:r>
      <w:r w:rsidRPr="003A2746">
        <w:rPr>
          <w:rFonts w:ascii="Arial" w:hAnsi="Arial" w:cs="Arial"/>
        </w:rPr>
        <w:t xml:space="preserve"> </w:t>
      </w:r>
      <w:r w:rsidRPr="00C74157">
        <w:rPr>
          <w:rFonts w:ascii="Arial" w:hAnsi="Arial" w:cs="Arial"/>
          <w:color w:val="000000"/>
        </w:rPr>
        <w:t>20</w:t>
      </w:r>
      <w:r>
        <w:rPr>
          <w:rFonts w:ascii="Arial" w:hAnsi="Arial" w:cs="Arial"/>
          <w:color w:val="000000"/>
        </w:rPr>
        <w:t>2</w:t>
      </w:r>
      <w:bookmarkStart w:id="0" w:name="OLE_LINK4"/>
      <w:bookmarkStart w:id="1" w:name="OLE_LINK5"/>
      <w:r w:rsidR="00FD28E7">
        <w:rPr>
          <w:rFonts w:ascii="Arial" w:hAnsi="Arial" w:cs="Arial"/>
          <w:color w:val="000000"/>
        </w:rPr>
        <w:t>4</w:t>
      </w:r>
    </w:p>
    <w:p w14:paraId="6315E15E" w14:textId="77777777" w:rsidR="000A752F" w:rsidRPr="008709F4" w:rsidRDefault="000A752F" w:rsidP="000A752F">
      <w:pPr>
        <w:autoSpaceDE w:val="0"/>
        <w:autoSpaceDN w:val="0"/>
        <w:adjustRightInd w:val="0"/>
        <w:spacing w:after="0" w:line="360" w:lineRule="auto"/>
        <w:ind w:right="-2410"/>
        <w:rPr>
          <w:rFonts w:ascii="Arial" w:hAnsi="Arial" w:cs="Arial"/>
          <w:b/>
          <w:bCs/>
          <w:color w:val="000000"/>
        </w:rPr>
      </w:pPr>
    </w:p>
    <w:p w14:paraId="54E87A1C" w14:textId="1B7536A7" w:rsidR="000A752F" w:rsidRPr="00F84B58" w:rsidRDefault="00555CD7" w:rsidP="00C105F2">
      <w:pPr>
        <w:autoSpaceDE w:val="0"/>
        <w:autoSpaceDN w:val="0"/>
        <w:adjustRightInd w:val="0"/>
        <w:spacing w:after="0" w:line="360" w:lineRule="auto"/>
        <w:ind w:right="-2693"/>
        <w:rPr>
          <w:rFonts w:ascii="Arial" w:hAnsi="Arial" w:cs="Arial"/>
          <w:color w:val="000000"/>
        </w:rPr>
      </w:pPr>
      <w:proofErr w:type="spellStart"/>
      <w:r>
        <w:rPr>
          <w:rFonts w:ascii="Arial" w:hAnsi="Arial" w:cs="Arial"/>
          <w:b/>
          <w:bCs/>
          <w:color w:val="000000"/>
          <w:sz w:val="28"/>
          <w:szCs w:val="28"/>
        </w:rPr>
        <w:t>Vivax</w:t>
      </w:r>
      <w:proofErr w:type="spellEnd"/>
      <w:r>
        <w:rPr>
          <w:rFonts w:ascii="Arial" w:hAnsi="Arial" w:cs="Arial"/>
          <w:b/>
          <w:bCs/>
          <w:color w:val="000000"/>
          <w:sz w:val="28"/>
          <w:szCs w:val="28"/>
        </w:rPr>
        <w:t xml:space="preserve"> </w:t>
      </w:r>
      <w:r w:rsidR="00F72DB9">
        <w:rPr>
          <w:rFonts w:ascii="Arial" w:hAnsi="Arial" w:cs="Arial"/>
          <w:b/>
          <w:bCs/>
          <w:color w:val="000000"/>
          <w:sz w:val="28"/>
          <w:szCs w:val="28"/>
        </w:rPr>
        <w:t xml:space="preserve">Analytics </w:t>
      </w:r>
      <w:proofErr w:type="spellStart"/>
      <w:r w:rsidR="00F72DB9">
        <w:rPr>
          <w:rFonts w:ascii="Arial" w:hAnsi="Arial" w:cs="Arial"/>
          <w:b/>
          <w:bCs/>
          <w:color w:val="000000"/>
          <w:sz w:val="28"/>
          <w:szCs w:val="28"/>
        </w:rPr>
        <w:t>ProCo</w:t>
      </w:r>
      <w:proofErr w:type="spellEnd"/>
      <w:r>
        <w:rPr>
          <w:rFonts w:ascii="Arial" w:hAnsi="Arial" w:cs="Arial"/>
          <w:b/>
          <w:bCs/>
          <w:color w:val="000000"/>
          <w:sz w:val="28"/>
          <w:szCs w:val="28"/>
        </w:rPr>
        <w:t xml:space="preserve">: </w:t>
      </w:r>
      <w:r w:rsidR="00F72DB9">
        <w:rPr>
          <w:rFonts w:ascii="Arial" w:hAnsi="Arial" w:cs="Arial"/>
          <w:b/>
          <w:bCs/>
          <w:color w:val="000000"/>
          <w:sz w:val="28"/>
          <w:szCs w:val="28"/>
        </w:rPr>
        <w:t>Neues Prozessmodell für TK-Unternehmen</w:t>
      </w:r>
      <w:r w:rsidR="000A752F" w:rsidRPr="00F84B58">
        <w:rPr>
          <w:rFonts w:ascii="Arial" w:hAnsi="Arial" w:cs="Arial"/>
          <w:b/>
          <w:bCs/>
          <w:color w:val="000000"/>
          <w:sz w:val="28"/>
          <w:szCs w:val="28"/>
        </w:rPr>
        <w:br/>
      </w:r>
      <w:r w:rsidR="00F72DB9">
        <w:rPr>
          <w:rFonts w:ascii="Arial" w:hAnsi="Arial" w:cs="Arial"/>
          <w:b/>
          <w:bCs/>
          <w:color w:val="000000"/>
        </w:rPr>
        <w:t>Kompatibel mit dem Branchenprozessmodell der BNetzA</w:t>
      </w:r>
      <w:r w:rsidR="006D118E">
        <w:rPr>
          <w:rFonts w:ascii="Arial" w:hAnsi="Arial" w:cs="Arial"/>
          <w:b/>
          <w:bCs/>
          <w:color w:val="000000"/>
        </w:rPr>
        <w:t xml:space="preserve"> </w:t>
      </w:r>
    </w:p>
    <w:p w14:paraId="6F04F4A1" w14:textId="77777777" w:rsidR="001C6603" w:rsidRPr="00F84B58" w:rsidRDefault="001C6603" w:rsidP="001C6603">
      <w:pPr>
        <w:autoSpaceDE w:val="0"/>
        <w:autoSpaceDN w:val="0"/>
        <w:adjustRightInd w:val="0"/>
        <w:spacing w:after="0" w:line="360" w:lineRule="auto"/>
        <w:ind w:right="-1984"/>
        <w:rPr>
          <w:rFonts w:ascii="Arial" w:hAnsi="Arial" w:cs="Arial"/>
          <w:color w:val="000000"/>
        </w:rPr>
      </w:pPr>
    </w:p>
    <w:p w14:paraId="731F7BD9" w14:textId="77777777" w:rsidR="001C6E38" w:rsidRDefault="001C6E38" w:rsidP="00A013E3">
      <w:pPr>
        <w:spacing w:line="360" w:lineRule="auto"/>
        <w:rPr>
          <w:rFonts w:ascii="Arial" w:hAnsi="Arial" w:cs="Arial"/>
          <w:b/>
          <w:bCs/>
          <w:color w:val="000000"/>
          <w:sz w:val="20"/>
          <w:szCs w:val="20"/>
        </w:rPr>
      </w:pPr>
      <w:r w:rsidRPr="0013085D">
        <w:rPr>
          <w:rFonts w:ascii="Arial" w:hAnsi="Arial" w:cs="Arial"/>
          <w:b/>
          <w:bCs/>
          <w:color w:val="000000"/>
          <w:sz w:val="20"/>
          <w:szCs w:val="20"/>
        </w:rPr>
        <w:t xml:space="preserve">Die </w:t>
      </w:r>
      <w:proofErr w:type="spellStart"/>
      <w:r w:rsidRPr="0013085D">
        <w:rPr>
          <w:rFonts w:ascii="Arial" w:hAnsi="Arial" w:cs="Arial"/>
          <w:b/>
          <w:bCs/>
          <w:color w:val="000000"/>
          <w:sz w:val="20"/>
          <w:szCs w:val="20"/>
        </w:rPr>
        <w:t>tktVivax</w:t>
      </w:r>
      <w:proofErr w:type="spellEnd"/>
      <w:r w:rsidRPr="0013085D">
        <w:rPr>
          <w:rFonts w:ascii="Arial" w:hAnsi="Arial" w:cs="Arial"/>
          <w:b/>
          <w:bCs/>
          <w:color w:val="000000"/>
          <w:sz w:val="20"/>
          <w:szCs w:val="20"/>
        </w:rPr>
        <w:t xml:space="preserve"> Group hat ihre Lösung zur softwaregestützten Prozessanalyse </w:t>
      </w:r>
      <w:proofErr w:type="spellStart"/>
      <w:r w:rsidRPr="0013085D">
        <w:rPr>
          <w:rFonts w:ascii="Arial" w:hAnsi="Arial" w:cs="Arial"/>
          <w:b/>
          <w:bCs/>
          <w:color w:val="000000"/>
          <w:sz w:val="20"/>
          <w:szCs w:val="20"/>
        </w:rPr>
        <w:t>Vivax</w:t>
      </w:r>
      <w:proofErr w:type="spellEnd"/>
      <w:r w:rsidRPr="0013085D">
        <w:rPr>
          <w:rFonts w:ascii="Arial" w:hAnsi="Arial" w:cs="Arial"/>
          <w:b/>
          <w:bCs/>
          <w:color w:val="000000"/>
          <w:sz w:val="20"/>
          <w:szCs w:val="20"/>
        </w:rPr>
        <w:t xml:space="preserve"> Analytics </w:t>
      </w:r>
      <w:proofErr w:type="spellStart"/>
      <w:r w:rsidRPr="0013085D">
        <w:rPr>
          <w:rFonts w:ascii="Arial" w:hAnsi="Arial" w:cs="Arial"/>
          <w:b/>
          <w:bCs/>
          <w:color w:val="000000"/>
          <w:sz w:val="20"/>
          <w:szCs w:val="20"/>
        </w:rPr>
        <w:t>ProCo</w:t>
      </w:r>
      <w:proofErr w:type="spellEnd"/>
      <w:r w:rsidRPr="0013085D">
        <w:rPr>
          <w:rFonts w:ascii="Arial" w:hAnsi="Arial" w:cs="Arial"/>
          <w:b/>
          <w:bCs/>
          <w:color w:val="000000"/>
          <w:sz w:val="20"/>
          <w:szCs w:val="20"/>
        </w:rPr>
        <w:t xml:space="preserve"> deutlich erweitert. Neben dem umfassenden Prozessmodell für Stadtwerke steht nun auch ein Modell für Glasfasernetzbetreiber und Telekommunikationsunternehmen zur Verfügung. Zudem wurde das Modell an die Terminologie des „Branchenprozessmodells zur Ermittlung eines angemessenen Zuschlags für leistungsmengenneutrale Gemeinkosten“ angepasst, mit dem die Bundesnetzagentur einmal jährlich die Kosteninformationen von den Netzbetreibern abfragt. </w:t>
      </w:r>
    </w:p>
    <w:p w14:paraId="19DF1DDC" w14:textId="2B9B57BA" w:rsidR="001C6E38" w:rsidRPr="0013085D" w:rsidRDefault="001C6E38" w:rsidP="00A013E3">
      <w:pPr>
        <w:spacing w:line="360" w:lineRule="auto"/>
        <w:rPr>
          <w:rFonts w:ascii="Arial" w:hAnsi="Arial" w:cs="Arial"/>
          <w:color w:val="000000"/>
          <w:sz w:val="20"/>
          <w:szCs w:val="20"/>
        </w:rPr>
      </w:pPr>
      <w:r w:rsidRPr="0013085D">
        <w:rPr>
          <w:rFonts w:ascii="Arial" w:hAnsi="Arial" w:cs="Arial"/>
          <w:color w:val="000000"/>
          <w:sz w:val="20"/>
          <w:szCs w:val="20"/>
        </w:rPr>
        <w:t xml:space="preserve">Mit </w:t>
      </w:r>
      <w:proofErr w:type="spellStart"/>
      <w:r w:rsidRPr="0013085D">
        <w:rPr>
          <w:rFonts w:ascii="Arial" w:hAnsi="Arial" w:cs="Arial"/>
          <w:color w:val="000000"/>
          <w:sz w:val="20"/>
          <w:szCs w:val="20"/>
        </w:rPr>
        <w:t>Vivax</w:t>
      </w:r>
      <w:proofErr w:type="spellEnd"/>
      <w:r w:rsidRPr="0013085D">
        <w:rPr>
          <w:rFonts w:ascii="Arial" w:hAnsi="Arial" w:cs="Arial"/>
          <w:color w:val="000000"/>
          <w:sz w:val="20"/>
          <w:szCs w:val="20"/>
        </w:rPr>
        <w:t xml:space="preserve"> Analytics </w:t>
      </w:r>
      <w:proofErr w:type="spellStart"/>
      <w:r w:rsidRPr="0013085D">
        <w:rPr>
          <w:rFonts w:ascii="Arial" w:hAnsi="Arial" w:cs="Arial"/>
          <w:color w:val="000000"/>
          <w:sz w:val="20"/>
          <w:szCs w:val="20"/>
        </w:rPr>
        <w:t>ProCo</w:t>
      </w:r>
      <w:proofErr w:type="spellEnd"/>
      <w:r w:rsidRPr="0013085D">
        <w:rPr>
          <w:rFonts w:ascii="Arial" w:hAnsi="Arial" w:cs="Arial"/>
          <w:color w:val="000000"/>
          <w:sz w:val="20"/>
          <w:szCs w:val="20"/>
        </w:rPr>
        <w:t xml:space="preserve"> ist es auf einfache Weise möglich, sämtliche Geschäftsprozesse in TK-Unternehmen organisatorisch, kosten- und kapazitätsmäßig zu bewerten</w:t>
      </w:r>
      <w:r w:rsidRPr="008507C4">
        <w:rPr>
          <w:rFonts w:ascii="Arial" w:hAnsi="Arial" w:cs="Arial"/>
          <w:color w:val="000000"/>
          <w:sz w:val="20"/>
          <w:szCs w:val="20"/>
        </w:rPr>
        <w:t xml:space="preserve">. Das neue Modell </w:t>
      </w:r>
      <w:r w:rsidR="0091384B" w:rsidRPr="008507C4">
        <w:rPr>
          <w:rFonts w:ascii="Arial" w:hAnsi="Arial" w:cs="Arial"/>
          <w:color w:val="000000"/>
          <w:sz w:val="20"/>
          <w:szCs w:val="20"/>
        </w:rPr>
        <w:t xml:space="preserve">wurde um mehr 42 TK-typische Kategorien erweitert und </w:t>
      </w:r>
      <w:r w:rsidRPr="008507C4">
        <w:rPr>
          <w:rFonts w:ascii="Arial" w:hAnsi="Arial" w:cs="Arial"/>
          <w:color w:val="000000"/>
          <w:sz w:val="20"/>
          <w:szCs w:val="20"/>
        </w:rPr>
        <w:t xml:space="preserve">umfasst </w:t>
      </w:r>
      <w:r w:rsidR="0091384B" w:rsidRPr="008507C4">
        <w:rPr>
          <w:rFonts w:ascii="Arial" w:hAnsi="Arial" w:cs="Arial"/>
          <w:color w:val="000000"/>
          <w:sz w:val="20"/>
          <w:szCs w:val="20"/>
        </w:rPr>
        <w:t>branchenübergreifend rund 7</w:t>
      </w:r>
      <w:r w:rsidRPr="008507C4">
        <w:rPr>
          <w:rFonts w:ascii="Arial" w:hAnsi="Arial" w:cs="Arial"/>
          <w:color w:val="000000"/>
          <w:sz w:val="20"/>
          <w:szCs w:val="20"/>
        </w:rPr>
        <w:t>00 Geschäftsprozesse</w:t>
      </w:r>
      <w:r w:rsidR="0091384B" w:rsidRPr="008507C4">
        <w:rPr>
          <w:rFonts w:ascii="Arial" w:hAnsi="Arial" w:cs="Arial"/>
          <w:color w:val="000000"/>
          <w:sz w:val="20"/>
          <w:szCs w:val="20"/>
        </w:rPr>
        <w:t xml:space="preserve"> mit mehr als 7</w:t>
      </w:r>
      <w:r w:rsidRPr="008507C4">
        <w:rPr>
          <w:rFonts w:ascii="Arial" w:hAnsi="Arial" w:cs="Arial"/>
          <w:color w:val="000000"/>
          <w:sz w:val="20"/>
          <w:szCs w:val="20"/>
        </w:rPr>
        <w:t>.</w:t>
      </w:r>
      <w:r w:rsidR="0091384B" w:rsidRPr="008507C4">
        <w:rPr>
          <w:rFonts w:ascii="Arial" w:hAnsi="Arial" w:cs="Arial"/>
          <w:color w:val="000000"/>
          <w:sz w:val="20"/>
          <w:szCs w:val="20"/>
        </w:rPr>
        <w:t>5</w:t>
      </w:r>
      <w:r w:rsidRPr="008507C4">
        <w:rPr>
          <w:rFonts w:ascii="Arial" w:hAnsi="Arial" w:cs="Arial"/>
          <w:color w:val="000000"/>
          <w:sz w:val="20"/>
          <w:szCs w:val="20"/>
        </w:rPr>
        <w:t>00 Aktivitäten. Alle Aktivitäten und die damit verbundenen Aufwände werd</w:t>
      </w:r>
      <w:r w:rsidRPr="0013085D">
        <w:rPr>
          <w:rFonts w:ascii="Arial" w:hAnsi="Arial" w:cs="Arial"/>
          <w:color w:val="000000"/>
          <w:sz w:val="20"/>
          <w:szCs w:val="20"/>
        </w:rPr>
        <w:t xml:space="preserve">en mit Hilfe von </w:t>
      </w:r>
      <w:proofErr w:type="spellStart"/>
      <w:r w:rsidRPr="0013085D">
        <w:rPr>
          <w:rFonts w:ascii="Arial" w:hAnsi="Arial" w:cs="Arial"/>
          <w:color w:val="000000"/>
          <w:sz w:val="20"/>
          <w:szCs w:val="20"/>
        </w:rPr>
        <w:t>Vivax</w:t>
      </w:r>
      <w:proofErr w:type="spellEnd"/>
      <w:r w:rsidRPr="0013085D">
        <w:rPr>
          <w:rFonts w:ascii="Arial" w:hAnsi="Arial" w:cs="Arial"/>
          <w:color w:val="000000"/>
          <w:sz w:val="20"/>
          <w:szCs w:val="20"/>
        </w:rPr>
        <w:t xml:space="preserve"> Analytics </w:t>
      </w:r>
      <w:proofErr w:type="spellStart"/>
      <w:r w:rsidRPr="0013085D">
        <w:rPr>
          <w:rFonts w:ascii="Arial" w:hAnsi="Arial" w:cs="Arial"/>
          <w:color w:val="000000"/>
          <w:sz w:val="20"/>
          <w:szCs w:val="20"/>
        </w:rPr>
        <w:t>ProCo</w:t>
      </w:r>
      <w:proofErr w:type="spellEnd"/>
      <w:r w:rsidRPr="0013085D">
        <w:rPr>
          <w:rFonts w:ascii="Arial" w:hAnsi="Arial" w:cs="Arial"/>
          <w:color w:val="000000"/>
          <w:sz w:val="20"/>
          <w:szCs w:val="20"/>
        </w:rPr>
        <w:t xml:space="preserve"> über eine intuitiv bedienbare Weboberfläche von den Mitarbeite</w:t>
      </w:r>
      <w:r>
        <w:rPr>
          <w:rFonts w:ascii="Arial" w:hAnsi="Arial" w:cs="Arial"/>
          <w:color w:val="000000"/>
          <w:sz w:val="20"/>
          <w:szCs w:val="20"/>
        </w:rPr>
        <w:t>nde</w:t>
      </w:r>
      <w:r w:rsidRPr="0013085D">
        <w:rPr>
          <w:rFonts w:ascii="Arial" w:hAnsi="Arial" w:cs="Arial"/>
          <w:color w:val="000000"/>
          <w:sz w:val="20"/>
          <w:szCs w:val="20"/>
        </w:rPr>
        <w:t>n selbst erfasst. Durch die anschließende Verknüpfung verschiedener Determinanten wie Sach- und Personalkosten, Prozesse, Organisationseinheiten oder Sparten können dann sehr detaillierte und vor allem dynamische Analysen durchgeführt werden. Diese Analysen machen transparent, welche Organisationseinheiten mit welchen Aufgaben und Kosten an den verschiedenen Prozessen beteiligt sind. Gleichzeitig stehen diese Kosteninformationen dann auch für die Berichterstattung an die Bundesnetzagentur zur Verfügung.</w:t>
      </w:r>
    </w:p>
    <w:p w14:paraId="1F89354D" w14:textId="7A55F2E0" w:rsidR="001C6E38" w:rsidRDefault="001C6E38" w:rsidP="001C6E38">
      <w:pPr>
        <w:spacing w:line="360" w:lineRule="auto"/>
        <w:rPr>
          <w:rFonts w:ascii="Arial" w:hAnsi="Arial" w:cs="Arial"/>
          <w:color w:val="000000"/>
          <w:sz w:val="20"/>
          <w:szCs w:val="20"/>
        </w:rPr>
      </w:pPr>
      <w:r w:rsidRPr="0013085D">
        <w:rPr>
          <w:rFonts w:ascii="Arial" w:hAnsi="Arial" w:cs="Arial"/>
          <w:color w:val="000000"/>
          <w:sz w:val="20"/>
          <w:szCs w:val="20"/>
        </w:rPr>
        <w:t xml:space="preserve">„Wie die Erfahrung aus zahlreichen von uns begleiteten Prozessanalyseprojekten zeigt, erhalten Unternehmen mit </w:t>
      </w:r>
      <w:proofErr w:type="spellStart"/>
      <w:r w:rsidRPr="0013085D">
        <w:rPr>
          <w:rFonts w:ascii="Arial" w:hAnsi="Arial" w:cs="Arial"/>
          <w:color w:val="000000"/>
          <w:sz w:val="20"/>
          <w:szCs w:val="20"/>
        </w:rPr>
        <w:t>Vivax</w:t>
      </w:r>
      <w:proofErr w:type="spellEnd"/>
      <w:r w:rsidRPr="0013085D">
        <w:rPr>
          <w:rFonts w:ascii="Arial" w:hAnsi="Arial" w:cs="Arial"/>
          <w:color w:val="000000"/>
          <w:sz w:val="20"/>
          <w:szCs w:val="20"/>
        </w:rPr>
        <w:t xml:space="preserve"> Analytics </w:t>
      </w:r>
      <w:proofErr w:type="spellStart"/>
      <w:r w:rsidRPr="0013085D">
        <w:rPr>
          <w:rFonts w:ascii="Arial" w:hAnsi="Arial" w:cs="Arial"/>
          <w:color w:val="000000"/>
          <w:sz w:val="20"/>
          <w:szCs w:val="20"/>
        </w:rPr>
        <w:t>ProCo</w:t>
      </w:r>
      <w:proofErr w:type="spellEnd"/>
      <w:r w:rsidRPr="0013085D">
        <w:rPr>
          <w:rFonts w:ascii="Arial" w:hAnsi="Arial" w:cs="Arial"/>
          <w:color w:val="000000"/>
          <w:sz w:val="20"/>
          <w:szCs w:val="20"/>
        </w:rPr>
        <w:t xml:space="preserve"> deutlich validere Ergebnisse. Und das </w:t>
      </w:r>
      <w:r>
        <w:rPr>
          <w:rFonts w:ascii="Arial" w:hAnsi="Arial" w:cs="Arial"/>
          <w:color w:val="000000"/>
          <w:sz w:val="20"/>
          <w:szCs w:val="20"/>
        </w:rPr>
        <w:t>sehr viel</w:t>
      </w:r>
      <w:r w:rsidRPr="0013085D">
        <w:rPr>
          <w:rFonts w:ascii="Arial" w:hAnsi="Arial" w:cs="Arial"/>
          <w:color w:val="000000"/>
          <w:sz w:val="20"/>
          <w:szCs w:val="20"/>
        </w:rPr>
        <w:t xml:space="preserve"> schneller und vor allem mit einem Bruchteil des Aufwands, der bei herkömmlichen Beratungsansätzen </w:t>
      </w:r>
      <w:r>
        <w:rPr>
          <w:rFonts w:ascii="Arial" w:hAnsi="Arial" w:cs="Arial"/>
          <w:color w:val="000000"/>
          <w:sz w:val="20"/>
          <w:szCs w:val="20"/>
        </w:rPr>
        <w:t>anfallen würde</w:t>
      </w:r>
      <w:r w:rsidRPr="0013085D">
        <w:rPr>
          <w:rFonts w:ascii="Arial" w:hAnsi="Arial" w:cs="Arial"/>
          <w:color w:val="000000"/>
          <w:sz w:val="20"/>
          <w:szCs w:val="20"/>
        </w:rPr>
        <w:t>. Zudem kann die Erfassung durch die Mitarbeite</w:t>
      </w:r>
      <w:r>
        <w:rPr>
          <w:rFonts w:ascii="Arial" w:hAnsi="Arial" w:cs="Arial"/>
          <w:color w:val="000000"/>
          <w:sz w:val="20"/>
          <w:szCs w:val="20"/>
        </w:rPr>
        <w:t>nden</w:t>
      </w:r>
      <w:r w:rsidRPr="0013085D">
        <w:rPr>
          <w:rFonts w:ascii="Arial" w:hAnsi="Arial" w:cs="Arial"/>
          <w:color w:val="000000"/>
          <w:sz w:val="20"/>
          <w:szCs w:val="20"/>
        </w:rPr>
        <w:t xml:space="preserve"> </w:t>
      </w:r>
      <w:r w:rsidRPr="0013085D">
        <w:rPr>
          <w:rFonts w:ascii="Arial" w:hAnsi="Arial" w:cs="Arial"/>
          <w:color w:val="000000"/>
          <w:sz w:val="20"/>
          <w:szCs w:val="20"/>
        </w:rPr>
        <w:lastRenderedPageBreak/>
        <w:t>regelmäßig wiederholt werden, so dass der Erfolg von Maßnahmen zur Prozessoptimierung gesichert</w:t>
      </w:r>
      <w:r>
        <w:rPr>
          <w:rFonts w:ascii="Arial" w:hAnsi="Arial" w:cs="Arial"/>
          <w:color w:val="000000"/>
          <w:sz w:val="20"/>
          <w:szCs w:val="20"/>
        </w:rPr>
        <w:t xml:space="preserve"> und überprüfbar</w:t>
      </w:r>
      <w:r w:rsidRPr="0013085D">
        <w:rPr>
          <w:rFonts w:ascii="Arial" w:hAnsi="Arial" w:cs="Arial"/>
          <w:color w:val="000000"/>
          <w:sz w:val="20"/>
          <w:szCs w:val="20"/>
        </w:rPr>
        <w:t xml:space="preserve"> ist</w:t>
      </w:r>
      <w:r>
        <w:rPr>
          <w:rFonts w:ascii="Arial" w:hAnsi="Arial" w:cs="Arial"/>
          <w:color w:val="000000"/>
          <w:sz w:val="20"/>
          <w:szCs w:val="20"/>
        </w:rPr>
        <w:t>“</w:t>
      </w:r>
      <w:r w:rsidRPr="0013085D">
        <w:rPr>
          <w:rFonts w:ascii="Arial" w:hAnsi="Arial" w:cs="Arial"/>
          <w:color w:val="000000"/>
          <w:sz w:val="20"/>
          <w:szCs w:val="20"/>
        </w:rPr>
        <w:t xml:space="preserve">, fasst Frank von Allwörden, COO bei der </w:t>
      </w:r>
      <w:proofErr w:type="spellStart"/>
      <w:r w:rsidRPr="0013085D">
        <w:rPr>
          <w:rFonts w:ascii="Arial" w:hAnsi="Arial" w:cs="Arial"/>
          <w:color w:val="000000"/>
          <w:sz w:val="20"/>
          <w:szCs w:val="20"/>
        </w:rPr>
        <w:t>Vivax</w:t>
      </w:r>
      <w:proofErr w:type="spellEnd"/>
      <w:r w:rsidRPr="0013085D">
        <w:rPr>
          <w:rFonts w:ascii="Arial" w:hAnsi="Arial" w:cs="Arial"/>
          <w:color w:val="000000"/>
          <w:sz w:val="20"/>
          <w:szCs w:val="20"/>
        </w:rPr>
        <w:t xml:space="preserve"> Consulting GmbH, die Vorteile zusammen.</w:t>
      </w:r>
    </w:p>
    <w:tbl>
      <w:tblPr>
        <w:tblW w:w="8080" w:type="dxa"/>
        <w:tblLook w:val="04A0" w:firstRow="1" w:lastRow="0" w:firstColumn="1" w:lastColumn="0" w:noHBand="0" w:noVBand="1"/>
      </w:tblPr>
      <w:tblGrid>
        <w:gridCol w:w="3261"/>
        <w:gridCol w:w="4819"/>
      </w:tblGrid>
      <w:tr w:rsidR="000A752F" w:rsidRPr="000655B7" w14:paraId="14BEE28C" w14:textId="77777777" w:rsidTr="008D0446">
        <w:tc>
          <w:tcPr>
            <w:tcW w:w="3261" w:type="dxa"/>
            <w:shd w:val="clear" w:color="auto" w:fill="auto"/>
          </w:tcPr>
          <w:p w14:paraId="284214D6" w14:textId="77777777" w:rsidR="000A752F" w:rsidRDefault="000A752F" w:rsidP="008D0446">
            <w:pPr>
              <w:widowControl w:val="0"/>
              <w:tabs>
                <w:tab w:val="left" w:pos="3969"/>
              </w:tabs>
              <w:autoSpaceDE w:val="0"/>
              <w:autoSpaceDN w:val="0"/>
              <w:adjustRightInd w:val="0"/>
              <w:spacing w:after="0" w:line="240" w:lineRule="auto"/>
              <w:ind w:left="-108" w:right="176"/>
              <w:rPr>
                <w:rFonts w:ascii="Arial" w:hAnsi="Arial" w:cs="Calibri"/>
                <w:b/>
                <w:sz w:val="16"/>
                <w:szCs w:val="26"/>
                <w:lang w:eastAsia="de-DE"/>
              </w:rPr>
            </w:pPr>
            <w:r w:rsidRPr="000655B7">
              <w:rPr>
                <w:rFonts w:ascii="Arial" w:hAnsi="Arial" w:cs="Calibri"/>
                <w:b/>
                <w:sz w:val="16"/>
                <w:szCs w:val="26"/>
                <w:lang w:eastAsia="de-DE"/>
              </w:rPr>
              <w:t>Kontaktdaten:</w:t>
            </w:r>
          </w:p>
          <w:p w14:paraId="0A261E34" w14:textId="77777777" w:rsidR="000A752F" w:rsidRDefault="000A752F" w:rsidP="008D0446">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proofErr w:type="spellStart"/>
            <w:r>
              <w:rPr>
                <w:rFonts w:ascii="Arial" w:hAnsi="Arial" w:cs="Calibri"/>
                <w:sz w:val="16"/>
                <w:szCs w:val="26"/>
                <w:lang w:eastAsia="de-DE"/>
              </w:rPr>
              <w:t>tkt</w:t>
            </w:r>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w:t>
            </w:r>
            <w:proofErr w:type="spellStart"/>
            <w:r w:rsidRPr="000655B7">
              <w:rPr>
                <w:rFonts w:ascii="Arial" w:hAnsi="Arial" w:cs="Calibri"/>
                <w:sz w:val="16"/>
                <w:szCs w:val="26"/>
                <w:lang w:eastAsia="de-DE"/>
              </w:rPr>
              <w:t>Fieml</w:t>
            </w:r>
            <w:proofErr w:type="spellEnd"/>
            <w:r w:rsidRPr="000655B7">
              <w:rPr>
                <w:rFonts w:ascii="Arial" w:hAnsi="Arial" w:cs="Calibri"/>
                <w:sz w:val="16"/>
                <w:szCs w:val="26"/>
                <w:lang w:eastAsia="de-DE"/>
              </w:rPr>
              <w:br/>
            </w:r>
            <w:r w:rsidRPr="00BA0B62">
              <w:rPr>
                <w:rFonts w:ascii="Arial" w:hAnsi="Arial" w:cs="Calibri"/>
                <w:sz w:val="16"/>
                <w:szCs w:val="26"/>
                <w:lang w:eastAsia="de-DE"/>
              </w:rPr>
              <w:t>Fasanenstr. 3</w:t>
            </w:r>
            <w:r>
              <w:rPr>
                <w:rFonts w:ascii="Arial" w:hAnsi="Arial" w:cs="Calibri"/>
                <w:sz w:val="16"/>
                <w:szCs w:val="26"/>
                <w:lang w:eastAsia="de-DE"/>
              </w:rPr>
              <w:t>3 –</w:t>
            </w:r>
            <w:r w:rsidRPr="007B0E5E">
              <w:rPr>
                <w:rFonts w:ascii="Arial" w:hAnsi="Arial" w:cs="Calibri"/>
                <w:sz w:val="16"/>
                <w:szCs w:val="26"/>
                <w:lang w:eastAsia="de-DE"/>
              </w:rPr>
              <w:t> 1</w:t>
            </w:r>
            <w:r>
              <w:rPr>
                <w:rFonts w:ascii="Arial" w:hAnsi="Arial" w:cs="Calibri"/>
                <w:sz w:val="16"/>
                <w:szCs w:val="26"/>
                <w:lang w:eastAsia="de-DE"/>
              </w:rPr>
              <w:t>0719</w:t>
            </w:r>
            <w:r w:rsidRPr="007B0E5E">
              <w:rPr>
                <w:rFonts w:ascii="Arial" w:hAnsi="Arial" w:cs="Calibri"/>
                <w:sz w:val="16"/>
                <w:szCs w:val="26"/>
                <w:lang w:eastAsia="de-DE"/>
              </w:rPr>
              <w:t xml:space="preserve"> Berlin</w:t>
            </w:r>
            <w:r>
              <w:rPr>
                <w:rFonts w:ascii="Arial" w:hAnsi="Arial" w:cs="Calibri"/>
                <w:sz w:val="16"/>
                <w:szCs w:val="26"/>
                <w:lang w:eastAsia="de-DE"/>
              </w:rPr>
              <w:br/>
            </w:r>
            <w:r w:rsidRPr="008457BE">
              <w:rPr>
                <w:rFonts w:ascii="Arial" w:hAnsi="Arial" w:cs="Calibri"/>
                <w:sz w:val="16"/>
                <w:szCs w:val="26"/>
                <w:lang w:eastAsia="de-DE"/>
              </w:rPr>
              <w:t xml:space="preserve">Tel: </w:t>
            </w:r>
            <w:r w:rsidRPr="00044557">
              <w:rPr>
                <w:rFonts w:ascii="Arial" w:hAnsi="Arial" w:cs="Calibri"/>
                <w:sz w:val="16"/>
                <w:szCs w:val="26"/>
                <w:lang w:eastAsia="de-DE"/>
              </w:rPr>
              <w:t>+49 30 235 919 200</w:t>
            </w:r>
            <w:r>
              <w:rPr>
                <w:rFonts w:ascii="Arial" w:hAnsi="Arial" w:cs="Calibri"/>
                <w:sz w:val="16"/>
                <w:szCs w:val="26"/>
                <w:lang w:eastAsia="de-DE"/>
              </w:rPr>
              <w:br/>
            </w:r>
            <w:hyperlink r:id="rId7"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r>
            <w:hyperlink r:id="rId8" w:history="1">
              <w:r w:rsidRPr="006233F9">
                <w:rPr>
                  <w:rStyle w:val="Hyperlink"/>
                  <w:rFonts w:ascii="Arial" w:hAnsi="Arial" w:cs="Calibri"/>
                  <w:sz w:val="16"/>
                  <w:szCs w:val="26"/>
                  <w:lang w:eastAsia="de-DE"/>
                </w:rPr>
                <w:t>www.tkt-vivax.de</w:t>
              </w:r>
            </w:hyperlink>
          </w:p>
          <w:p w14:paraId="736156CD" w14:textId="77777777" w:rsidR="000A752F" w:rsidRPr="004E3948" w:rsidRDefault="000A752F" w:rsidP="008D0446">
            <w:pPr>
              <w:widowControl w:val="0"/>
              <w:tabs>
                <w:tab w:val="left" w:pos="3969"/>
              </w:tabs>
              <w:autoSpaceDE w:val="0"/>
              <w:autoSpaceDN w:val="0"/>
              <w:adjustRightInd w:val="0"/>
              <w:spacing w:line="240" w:lineRule="auto"/>
              <w:ind w:left="-109" w:right="176"/>
              <w:rPr>
                <w:rFonts w:ascii="Arial" w:hAnsi="Arial" w:cs="Calibri"/>
                <w:b/>
                <w:sz w:val="16"/>
                <w:szCs w:val="26"/>
                <w:lang w:eastAsia="de-DE"/>
              </w:rPr>
            </w:pPr>
          </w:p>
        </w:tc>
        <w:tc>
          <w:tcPr>
            <w:tcW w:w="4819" w:type="dxa"/>
            <w:shd w:val="clear" w:color="auto" w:fill="auto"/>
          </w:tcPr>
          <w:p w14:paraId="784BF33A" w14:textId="77777777" w:rsidR="000A752F" w:rsidRPr="000655B7" w:rsidRDefault="000A752F" w:rsidP="008D0446">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9"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t>www.press-n-relations.com</w:t>
            </w:r>
          </w:p>
        </w:tc>
      </w:tr>
    </w:tbl>
    <w:bookmarkEnd w:id="0"/>
    <w:bookmarkEnd w:id="1"/>
    <w:p w14:paraId="2E55E5C6" w14:textId="6522B170" w:rsidR="007749DD" w:rsidRPr="001034C2" w:rsidRDefault="000A752F" w:rsidP="001034C2">
      <w:pPr>
        <w:widowControl w:val="0"/>
        <w:autoSpaceDE w:val="0"/>
        <w:autoSpaceDN w:val="0"/>
        <w:adjustRightInd w:val="0"/>
        <w:spacing w:line="240" w:lineRule="auto"/>
        <w:ind w:left="34" w:right="-141"/>
        <w:rPr>
          <w:rFonts w:ascii="Arial" w:hAnsi="Arial" w:cs="Calibri"/>
          <w:sz w:val="16"/>
          <w:szCs w:val="26"/>
          <w:lang w:eastAsia="de-DE"/>
        </w:rPr>
      </w:pPr>
      <w:r w:rsidRPr="004574AD">
        <w:rPr>
          <w:rFonts w:ascii="Arial" w:hAnsi="Arial" w:cs="Calibri"/>
          <w:sz w:val="16"/>
          <w:szCs w:val="26"/>
          <w:lang w:eastAsia="de-DE"/>
        </w:rPr>
        <w:t xml:space="preserve">Die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Group mit Sitz in Berlin und Niederlassungen in Stuttgart, Köln unterstützt ihre Kunden als ganzheitlicher Umsetzungsbegleiter für den Glasfaserausbau. Mit rund 150 Beschäftigten in den Gruppenunternehmen deckt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den kompletten Prozess bei der Planung und Umsetzung von Glasfaserprojekten ab. Die Palette der Leistungen reicht von der Strategiefindung, Business-Analyse und Fördermittelberatung über die Planung </w:t>
      </w:r>
      <w:r w:rsidR="001C6E38">
        <w:rPr>
          <w:rFonts w:ascii="Arial" w:hAnsi="Arial" w:cs="Calibri"/>
          <w:sz w:val="16"/>
          <w:szCs w:val="26"/>
          <w:lang w:eastAsia="de-DE"/>
        </w:rPr>
        <w:t>bis zum</w:t>
      </w:r>
      <w:r w:rsidRPr="004574AD">
        <w:rPr>
          <w:rFonts w:ascii="Arial" w:hAnsi="Arial" w:cs="Calibri"/>
          <w:sz w:val="16"/>
          <w:szCs w:val="26"/>
          <w:lang w:eastAsia="de-DE"/>
        </w:rPr>
        <w:t xml:space="preserve"> Bau von Glasfaserinfrastrukturen.</w:t>
      </w:r>
      <w:r w:rsidR="00FD28E7">
        <w:rPr>
          <w:rFonts w:ascii="Arial" w:hAnsi="Arial" w:cs="Calibri"/>
          <w:sz w:val="16"/>
          <w:szCs w:val="26"/>
          <w:lang w:eastAsia="de-DE"/>
        </w:rPr>
        <w:t xml:space="preserve"> </w:t>
      </w:r>
      <w:r w:rsidRPr="004574AD">
        <w:rPr>
          <w:rFonts w:ascii="Arial" w:hAnsi="Arial" w:cs="Calibri"/>
          <w:sz w:val="16"/>
          <w:szCs w:val="26"/>
          <w:lang w:eastAsia="de-DE"/>
        </w:rPr>
        <w:t xml:space="preserve">Unter dem Dach der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Group sind die Unternehmen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Consulting,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Engineering,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Net sowie </w:t>
      </w:r>
      <w:r>
        <w:rPr>
          <w:rFonts w:ascii="Arial" w:hAnsi="Arial" w:cs="Calibri"/>
          <w:sz w:val="16"/>
          <w:szCs w:val="26"/>
          <w:lang w:eastAsia="de-DE"/>
        </w:rPr>
        <w:t>die</w:t>
      </w:r>
      <w:r w:rsidRPr="004574AD">
        <w:rPr>
          <w:rFonts w:ascii="Arial" w:hAnsi="Arial" w:cs="Calibri"/>
          <w:sz w:val="16"/>
          <w:szCs w:val="26"/>
          <w:lang w:eastAsia="de-DE"/>
        </w:rPr>
        <w:t xml:space="preserve"> </w:t>
      </w:r>
      <w:proofErr w:type="gramStart"/>
      <w:r>
        <w:rPr>
          <w:rFonts w:ascii="Arial" w:hAnsi="Arial" w:cs="Calibri"/>
          <w:sz w:val="16"/>
          <w:szCs w:val="26"/>
          <w:lang w:eastAsia="de-DE"/>
        </w:rPr>
        <w:t>LBG B</w:t>
      </w:r>
      <w:r w:rsidRPr="004574AD">
        <w:rPr>
          <w:rFonts w:ascii="Arial" w:hAnsi="Arial" w:cs="Calibri"/>
          <w:sz w:val="16"/>
          <w:szCs w:val="26"/>
          <w:lang w:eastAsia="de-DE"/>
        </w:rPr>
        <w:t>reitbandgesellschaft</w:t>
      </w:r>
      <w:proofErr w:type="gramEnd"/>
      <w:r w:rsidRPr="004574AD">
        <w:rPr>
          <w:rFonts w:ascii="Arial" w:hAnsi="Arial" w:cs="Calibri"/>
          <w:sz w:val="16"/>
          <w:szCs w:val="26"/>
          <w:lang w:eastAsia="de-DE"/>
        </w:rPr>
        <w:t xml:space="preserve"> angesiedelt. Zielgruppe für Produkte und Dienstleistungen sind sowohl Stadtwerke, Netzbetreiber als auch Kommunalverwaltungen und Landkreise.</w:t>
      </w:r>
    </w:p>
    <w:p w14:paraId="5DF6AADB" w14:textId="77777777" w:rsidR="001213BF" w:rsidRPr="001034C2" w:rsidRDefault="001213BF">
      <w:pPr>
        <w:widowControl w:val="0"/>
        <w:autoSpaceDE w:val="0"/>
        <w:autoSpaceDN w:val="0"/>
        <w:adjustRightInd w:val="0"/>
        <w:spacing w:line="240" w:lineRule="auto"/>
        <w:ind w:left="34" w:right="-141"/>
        <w:rPr>
          <w:rFonts w:ascii="Arial" w:hAnsi="Arial" w:cs="Calibri"/>
          <w:sz w:val="16"/>
          <w:szCs w:val="26"/>
          <w:lang w:eastAsia="de-DE"/>
        </w:rPr>
      </w:pPr>
    </w:p>
    <w:sectPr w:rsidR="001213BF" w:rsidRPr="001034C2" w:rsidSect="000E11A2">
      <w:headerReference w:type="default" r:id="rId10"/>
      <w:pgSz w:w="12240" w:h="15840"/>
      <w:pgMar w:top="1799" w:right="3735" w:bottom="993"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D5B365" w14:textId="77777777" w:rsidR="00A963BF" w:rsidRDefault="00A963BF" w:rsidP="00BF70FE">
      <w:pPr>
        <w:spacing w:after="0" w:line="240" w:lineRule="auto"/>
      </w:pPr>
      <w:r>
        <w:separator/>
      </w:r>
    </w:p>
  </w:endnote>
  <w:endnote w:type="continuationSeparator" w:id="0">
    <w:p w14:paraId="6A3F5795" w14:textId="77777777" w:rsidR="00A963BF" w:rsidRDefault="00A963BF"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panose1 w:val="020B0604020202020204"/>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60B10C6" w14:textId="77777777" w:rsidR="00A963BF" w:rsidRDefault="00A963BF" w:rsidP="00BF70FE">
      <w:pPr>
        <w:spacing w:after="0" w:line="240" w:lineRule="auto"/>
      </w:pPr>
      <w:r>
        <w:separator/>
      </w:r>
    </w:p>
  </w:footnote>
  <w:footnote w:type="continuationSeparator" w:id="0">
    <w:p w14:paraId="72617DAB" w14:textId="77777777" w:rsidR="00A963BF" w:rsidRDefault="00A963BF"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049685" w14:textId="37F416E4" w:rsidR="00B96701" w:rsidRDefault="00AE0EC0" w:rsidP="00DA6A21">
    <w:pPr>
      <w:pStyle w:val="Kopfzeile"/>
      <w:tabs>
        <w:tab w:val="clear" w:pos="9072"/>
      </w:tabs>
      <w:ind w:right="-2551"/>
    </w:pPr>
    <w:r>
      <w:rPr>
        <w:noProof/>
        <w:lang w:eastAsia="de-DE"/>
      </w:rPr>
      <w:tab/>
    </w:r>
    <w:r w:rsidR="00E14F96">
      <w:rPr>
        <w:noProof/>
        <w:lang w:eastAsia="de-DE"/>
      </w:rPr>
      <w:t xml:space="preserve">        </w:t>
    </w:r>
    <w:r w:rsidR="00E14F96">
      <w:rPr>
        <w:noProof/>
        <w:lang w:eastAsia="de-DE"/>
      </w:rPr>
      <w:tab/>
    </w:r>
    <w:r w:rsidR="00E14F96">
      <w:rPr>
        <w:noProof/>
        <w:lang w:eastAsia="de-DE"/>
      </w:rPr>
      <w:tab/>
    </w:r>
    <w:r w:rsidR="00E14F96">
      <w:rPr>
        <w:noProof/>
        <w:lang w:eastAsia="de-DE"/>
      </w:rPr>
      <w:tab/>
    </w:r>
    <w:r w:rsidR="004F0E10">
      <w:rPr>
        <w:noProof/>
        <w:lang w:eastAsia="de-DE"/>
      </w:rPr>
      <w:drawing>
        <wp:inline distT="0" distB="0" distL="0" distR="0" wp14:anchorId="5DFE89A5" wp14:editId="08F35A48">
          <wp:extent cx="2040475" cy="588245"/>
          <wp:effectExtent l="0" t="0" r="4445" b="0"/>
          <wp:docPr id="1" name="Grafik 1"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ClipArt enthält.&#10;&#10;Automatisch generierte Beschreibung"/>
                  <pic:cNvPicPr/>
                </pic:nvPicPr>
                <pic:blipFill>
                  <a:blip r:embed="rId1"/>
                  <a:stretch>
                    <a:fillRect/>
                  </a:stretch>
                </pic:blipFill>
                <pic:spPr>
                  <a:xfrm>
                    <a:off x="0" y="0"/>
                    <a:ext cx="2083477" cy="600642"/>
                  </a:xfrm>
                  <a:prstGeom prst="rect">
                    <a:avLst/>
                  </a:prstGeom>
                </pic:spPr>
              </pic:pic>
            </a:graphicData>
          </a:graphic>
        </wp:inline>
      </w:drawing>
    </w:r>
    <w:r w:rsidR="00A201A5">
      <w:rPr>
        <w:noProof/>
        <w:lang w:eastAsia="de-DE"/>
      </w:rPr>
      <w:t xml:space="preserve"> </w:t>
    </w:r>
    <w:r w:rsidR="00A201A5">
      <w:rPr>
        <w:noProof/>
        <w:lang w:eastAsia="de-DE"/>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0063961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229"/>
  <w:proofState w:spelling="clean" w:grammar="clean"/>
  <w:defaultTabStop w:val="708"/>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041E"/>
    <w:rsid w:val="00003497"/>
    <w:rsid w:val="00006AC0"/>
    <w:rsid w:val="0001276C"/>
    <w:rsid w:val="00013970"/>
    <w:rsid w:val="000141B3"/>
    <w:rsid w:val="00026CFD"/>
    <w:rsid w:val="00037481"/>
    <w:rsid w:val="00037B8A"/>
    <w:rsid w:val="00040DBA"/>
    <w:rsid w:val="00041A6A"/>
    <w:rsid w:val="00044557"/>
    <w:rsid w:val="00046762"/>
    <w:rsid w:val="00047718"/>
    <w:rsid w:val="000541F5"/>
    <w:rsid w:val="00054244"/>
    <w:rsid w:val="000551FD"/>
    <w:rsid w:val="0006200B"/>
    <w:rsid w:val="000637E0"/>
    <w:rsid w:val="0006513A"/>
    <w:rsid w:val="00065270"/>
    <w:rsid w:val="0006543F"/>
    <w:rsid w:val="000655B7"/>
    <w:rsid w:val="0006582C"/>
    <w:rsid w:val="00065961"/>
    <w:rsid w:val="000678EA"/>
    <w:rsid w:val="0006791F"/>
    <w:rsid w:val="00073249"/>
    <w:rsid w:val="00074594"/>
    <w:rsid w:val="0007688A"/>
    <w:rsid w:val="00076CE4"/>
    <w:rsid w:val="000823CF"/>
    <w:rsid w:val="0008686C"/>
    <w:rsid w:val="00091E09"/>
    <w:rsid w:val="00095595"/>
    <w:rsid w:val="0009573A"/>
    <w:rsid w:val="00095A30"/>
    <w:rsid w:val="000A0F03"/>
    <w:rsid w:val="000A126E"/>
    <w:rsid w:val="000A1C71"/>
    <w:rsid w:val="000A1E6B"/>
    <w:rsid w:val="000A4C5E"/>
    <w:rsid w:val="000A4C93"/>
    <w:rsid w:val="000A5BF7"/>
    <w:rsid w:val="000A752F"/>
    <w:rsid w:val="000A7E9E"/>
    <w:rsid w:val="000B5BA3"/>
    <w:rsid w:val="000B6A65"/>
    <w:rsid w:val="000C2AF9"/>
    <w:rsid w:val="000C36F7"/>
    <w:rsid w:val="000C46B3"/>
    <w:rsid w:val="000C4746"/>
    <w:rsid w:val="000C5BF6"/>
    <w:rsid w:val="000D4DE3"/>
    <w:rsid w:val="000D5EDF"/>
    <w:rsid w:val="000E087D"/>
    <w:rsid w:val="000E11A2"/>
    <w:rsid w:val="000E6FF0"/>
    <w:rsid w:val="000E7CE7"/>
    <w:rsid w:val="000E7DB1"/>
    <w:rsid w:val="000F2111"/>
    <w:rsid w:val="000F4F9D"/>
    <w:rsid w:val="00101591"/>
    <w:rsid w:val="001018E8"/>
    <w:rsid w:val="0010198B"/>
    <w:rsid w:val="001034C2"/>
    <w:rsid w:val="00104674"/>
    <w:rsid w:val="00104719"/>
    <w:rsid w:val="00106821"/>
    <w:rsid w:val="00121300"/>
    <w:rsid w:val="001213BF"/>
    <w:rsid w:val="0012558C"/>
    <w:rsid w:val="00126EDD"/>
    <w:rsid w:val="0013085D"/>
    <w:rsid w:val="00131142"/>
    <w:rsid w:val="0013234F"/>
    <w:rsid w:val="00132DC4"/>
    <w:rsid w:val="001338A5"/>
    <w:rsid w:val="00135237"/>
    <w:rsid w:val="00137B1A"/>
    <w:rsid w:val="00143BC5"/>
    <w:rsid w:val="0014450F"/>
    <w:rsid w:val="001449F6"/>
    <w:rsid w:val="001457D5"/>
    <w:rsid w:val="00154551"/>
    <w:rsid w:val="00155C24"/>
    <w:rsid w:val="00155D50"/>
    <w:rsid w:val="00157861"/>
    <w:rsid w:val="00162140"/>
    <w:rsid w:val="001700C4"/>
    <w:rsid w:val="00170B30"/>
    <w:rsid w:val="00172009"/>
    <w:rsid w:val="001751F7"/>
    <w:rsid w:val="00181FBB"/>
    <w:rsid w:val="001849A2"/>
    <w:rsid w:val="00185A48"/>
    <w:rsid w:val="001869C1"/>
    <w:rsid w:val="00187FC7"/>
    <w:rsid w:val="00194EEC"/>
    <w:rsid w:val="00196421"/>
    <w:rsid w:val="00196D43"/>
    <w:rsid w:val="001A14A1"/>
    <w:rsid w:val="001A220F"/>
    <w:rsid w:val="001B01DF"/>
    <w:rsid w:val="001C51EC"/>
    <w:rsid w:val="001C6603"/>
    <w:rsid w:val="001C6E38"/>
    <w:rsid w:val="001C7838"/>
    <w:rsid w:val="001D2C4D"/>
    <w:rsid w:val="001D2FB7"/>
    <w:rsid w:val="001D7D3B"/>
    <w:rsid w:val="001E3CB7"/>
    <w:rsid w:val="001E6755"/>
    <w:rsid w:val="001E6F47"/>
    <w:rsid w:val="001F293E"/>
    <w:rsid w:val="00200031"/>
    <w:rsid w:val="0020049A"/>
    <w:rsid w:val="00205941"/>
    <w:rsid w:val="00207A9F"/>
    <w:rsid w:val="00211928"/>
    <w:rsid w:val="00213AF7"/>
    <w:rsid w:val="00221178"/>
    <w:rsid w:val="00221777"/>
    <w:rsid w:val="002230DC"/>
    <w:rsid w:val="00226C07"/>
    <w:rsid w:val="00233C8C"/>
    <w:rsid w:val="00235F66"/>
    <w:rsid w:val="00236787"/>
    <w:rsid w:val="00237217"/>
    <w:rsid w:val="00243944"/>
    <w:rsid w:val="00244E90"/>
    <w:rsid w:val="002507D4"/>
    <w:rsid w:val="00255BB8"/>
    <w:rsid w:val="00262A08"/>
    <w:rsid w:val="00265589"/>
    <w:rsid w:val="00272427"/>
    <w:rsid w:val="00274204"/>
    <w:rsid w:val="002745F8"/>
    <w:rsid w:val="00274B29"/>
    <w:rsid w:val="002757A3"/>
    <w:rsid w:val="002811BF"/>
    <w:rsid w:val="00281AAA"/>
    <w:rsid w:val="00283C35"/>
    <w:rsid w:val="0028558F"/>
    <w:rsid w:val="0028717A"/>
    <w:rsid w:val="002913EC"/>
    <w:rsid w:val="002944A2"/>
    <w:rsid w:val="002A0F06"/>
    <w:rsid w:val="002A7D5D"/>
    <w:rsid w:val="002A7E29"/>
    <w:rsid w:val="002B1340"/>
    <w:rsid w:val="002B245C"/>
    <w:rsid w:val="002B36BE"/>
    <w:rsid w:val="002B3E9E"/>
    <w:rsid w:val="002B4B75"/>
    <w:rsid w:val="002B5436"/>
    <w:rsid w:val="002C01AF"/>
    <w:rsid w:val="002C0624"/>
    <w:rsid w:val="002C6BB8"/>
    <w:rsid w:val="002D5B66"/>
    <w:rsid w:val="002D6045"/>
    <w:rsid w:val="002E0481"/>
    <w:rsid w:val="002E1504"/>
    <w:rsid w:val="002E33BB"/>
    <w:rsid w:val="002E6EA0"/>
    <w:rsid w:val="002F1BFF"/>
    <w:rsid w:val="002F247A"/>
    <w:rsid w:val="002F66DA"/>
    <w:rsid w:val="002F6E7A"/>
    <w:rsid w:val="0030091A"/>
    <w:rsid w:val="00304113"/>
    <w:rsid w:val="00304144"/>
    <w:rsid w:val="00304800"/>
    <w:rsid w:val="00314048"/>
    <w:rsid w:val="00314A20"/>
    <w:rsid w:val="00315669"/>
    <w:rsid w:val="00321DE9"/>
    <w:rsid w:val="003228B7"/>
    <w:rsid w:val="003274D8"/>
    <w:rsid w:val="00330BBD"/>
    <w:rsid w:val="003314C5"/>
    <w:rsid w:val="00336373"/>
    <w:rsid w:val="00341679"/>
    <w:rsid w:val="00341A34"/>
    <w:rsid w:val="0035048A"/>
    <w:rsid w:val="00350A47"/>
    <w:rsid w:val="0035256E"/>
    <w:rsid w:val="00362AE7"/>
    <w:rsid w:val="00371C61"/>
    <w:rsid w:val="00372B06"/>
    <w:rsid w:val="00376AF8"/>
    <w:rsid w:val="00381049"/>
    <w:rsid w:val="00381FF0"/>
    <w:rsid w:val="0038556F"/>
    <w:rsid w:val="003902A0"/>
    <w:rsid w:val="003911B7"/>
    <w:rsid w:val="00394D5C"/>
    <w:rsid w:val="003953CA"/>
    <w:rsid w:val="003A2601"/>
    <w:rsid w:val="003A2746"/>
    <w:rsid w:val="003A3B30"/>
    <w:rsid w:val="003A43CA"/>
    <w:rsid w:val="003A5125"/>
    <w:rsid w:val="003A6602"/>
    <w:rsid w:val="003A6E32"/>
    <w:rsid w:val="003A770A"/>
    <w:rsid w:val="003A7B0C"/>
    <w:rsid w:val="003B1A9C"/>
    <w:rsid w:val="003B4407"/>
    <w:rsid w:val="003B6004"/>
    <w:rsid w:val="003B69BD"/>
    <w:rsid w:val="003C0B6F"/>
    <w:rsid w:val="003C0FC2"/>
    <w:rsid w:val="003C12F5"/>
    <w:rsid w:val="003C475B"/>
    <w:rsid w:val="003D557E"/>
    <w:rsid w:val="003D63AC"/>
    <w:rsid w:val="003D642E"/>
    <w:rsid w:val="003D7AC5"/>
    <w:rsid w:val="003E1E07"/>
    <w:rsid w:val="003F5618"/>
    <w:rsid w:val="003F589B"/>
    <w:rsid w:val="003F5E46"/>
    <w:rsid w:val="00402F7C"/>
    <w:rsid w:val="00406C69"/>
    <w:rsid w:val="00406EFB"/>
    <w:rsid w:val="004112BE"/>
    <w:rsid w:val="004112CC"/>
    <w:rsid w:val="0041201C"/>
    <w:rsid w:val="004137FD"/>
    <w:rsid w:val="00415B45"/>
    <w:rsid w:val="00427AD2"/>
    <w:rsid w:val="004306B3"/>
    <w:rsid w:val="00432B1F"/>
    <w:rsid w:val="00437155"/>
    <w:rsid w:val="004422BD"/>
    <w:rsid w:val="004467C0"/>
    <w:rsid w:val="004540FC"/>
    <w:rsid w:val="00454989"/>
    <w:rsid w:val="00455A88"/>
    <w:rsid w:val="004574AD"/>
    <w:rsid w:val="004627D8"/>
    <w:rsid w:val="00462DE7"/>
    <w:rsid w:val="004638B5"/>
    <w:rsid w:val="00463FE6"/>
    <w:rsid w:val="00465527"/>
    <w:rsid w:val="00465CBB"/>
    <w:rsid w:val="00466471"/>
    <w:rsid w:val="004713E0"/>
    <w:rsid w:val="004731DE"/>
    <w:rsid w:val="00473FBA"/>
    <w:rsid w:val="004771FE"/>
    <w:rsid w:val="00477F22"/>
    <w:rsid w:val="004810F6"/>
    <w:rsid w:val="00482B5B"/>
    <w:rsid w:val="00485A86"/>
    <w:rsid w:val="0049799F"/>
    <w:rsid w:val="00497AEF"/>
    <w:rsid w:val="004A1382"/>
    <w:rsid w:val="004A425F"/>
    <w:rsid w:val="004A7502"/>
    <w:rsid w:val="004B0D7E"/>
    <w:rsid w:val="004B3A46"/>
    <w:rsid w:val="004C06EE"/>
    <w:rsid w:val="004D73D6"/>
    <w:rsid w:val="004E2673"/>
    <w:rsid w:val="004E3948"/>
    <w:rsid w:val="004E3F39"/>
    <w:rsid w:val="004E5801"/>
    <w:rsid w:val="004E5B2F"/>
    <w:rsid w:val="004E5F9E"/>
    <w:rsid w:val="004F09E6"/>
    <w:rsid w:val="004F0E10"/>
    <w:rsid w:val="004F25A7"/>
    <w:rsid w:val="004F4FB4"/>
    <w:rsid w:val="004F5892"/>
    <w:rsid w:val="005048EC"/>
    <w:rsid w:val="005071AD"/>
    <w:rsid w:val="00521E6A"/>
    <w:rsid w:val="00525CC8"/>
    <w:rsid w:val="005308AD"/>
    <w:rsid w:val="005322F6"/>
    <w:rsid w:val="00532602"/>
    <w:rsid w:val="00532783"/>
    <w:rsid w:val="0053379A"/>
    <w:rsid w:val="00534D80"/>
    <w:rsid w:val="005424FE"/>
    <w:rsid w:val="00543BF4"/>
    <w:rsid w:val="005504C9"/>
    <w:rsid w:val="0055265A"/>
    <w:rsid w:val="00555CD7"/>
    <w:rsid w:val="00556FEE"/>
    <w:rsid w:val="005577A0"/>
    <w:rsid w:val="00557F58"/>
    <w:rsid w:val="00563754"/>
    <w:rsid w:val="00564676"/>
    <w:rsid w:val="00565D15"/>
    <w:rsid w:val="005739E1"/>
    <w:rsid w:val="005743A2"/>
    <w:rsid w:val="00576A90"/>
    <w:rsid w:val="00576E59"/>
    <w:rsid w:val="00577F31"/>
    <w:rsid w:val="00580B67"/>
    <w:rsid w:val="00580F7D"/>
    <w:rsid w:val="00582EC1"/>
    <w:rsid w:val="00582ECD"/>
    <w:rsid w:val="005845F6"/>
    <w:rsid w:val="00587AD3"/>
    <w:rsid w:val="00591D88"/>
    <w:rsid w:val="005926D7"/>
    <w:rsid w:val="005958C2"/>
    <w:rsid w:val="00596BC4"/>
    <w:rsid w:val="005A1828"/>
    <w:rsid w:val="005B2C0D"/>
    <w:rsid w:val="005B3C72"/>
    <w:rsid w:val="005B50F1"/>
    <w:rsid w:val="005C1147"/>
    <w:rsid w:val="005D1AA8"/>
    <w:rsid w:val="005D3D1E"/>
    <w:rsid w:val="005D5E32"/>
    <w:rsid w:val="005D61BC"/>
    <w:rsid w:val="005E1591"/>
    <w:rsid w:val="005E204F"/>
    <w:rsid w:val="005E5E93"/>
    <w:rsid w:val="005F2DF5"/>
    <w:rsid w:val="005F5177"/>
    <w:rsid w:val="005F63B7"/>
    <w:rsid w:val="005F6F05"/>
    <w:rsid w:val="00600833"/>
    <w:rsid w:val="0060472D"/>
    <w:rsid w:val="00605163"/>
    <w:rsid w:val="00613B84"/>
    <w:rsid w:val="006166CF"/>
    <w:rsid w:val="00630497"/>
    <w:rsid w:val="00632072"/>
    <w:rsid w:val="00632BA3"/>
    <w:rsid w:val="00633111"/>
    <w:rsid w:val="00640EED"/>
    <w:rsid w:val="00650109"/>
    <w:rsid w:val="00650F5E"/>
    <w:rsid w:val="006514AF"/>
    <w:rsid w:val="00653201"/>
    <w:rsid w:val="006563BE"/>
    <w:rsid w:val="00664FF9"/>
    <w:rsid w:val="006663C8"/>
    <w:rsid w:val="00666C16"/>
    <w:rsid w:val="006721DA"/>
    <w:rsid w:val="0067331D"/>
    <w:rsid w:val="00673F12"/>
    <w:rsid w:val="00674BD0"/>
    <w:rsid w:val="00681349"/>
    <w:rsid w:val="006824CB"/>
    <w:rsid w:val="00682686"/>
    <w:rsid w:val="00682E83"/>
    <w:rsid w:val="006847AC"/>
    <w:rsid w:val="006862AC"/>
    <w:rsid w:val="006966C5"/>
    <w:rsid w:val="006A1AAA"/>
    <w:rsid w:val="006A30BD"/>
    <w:rsid w:val="006A652B"/>
    <w:rsid w:val="006B38E4"/>
    <w:rsid w:val="006B4049"/>
    <w:rsid w:val="006B4FEB"/>
    <w:rsid w:val="006D118E"/>
    <w:rsid w:val="006D2116"/>
    <w:rsid w:val="006D38DD"/>
    <w:rsid w:val="006D5955"/>
    <w:rsid w:val="006D6479"/>
    <w:rsid w:val="006E3A41"/>
    <w:rsid w:val="006E3EF8"/>
    <w:rsid w:val="006E7E8E"/>
    <w:rsid w:val="006F2189"/>
    <w:rsid w:val="006F6690"/>
    <w:rsid w:val="006F7DEC"/>
    <w:rsid w:val="00703CD0"/>
    <w:rsid w:val="00703D47"/>
    <w:rsid w:val="00705635"/>
    <w:rsid w:val="00706A13"/>
    <w:rsid w:val="00710978"/>
    <w:rsid w:val="00711122"/>
    <w:rsid w:val="007116E8"/>
    <w:rsid w:val="00712F91"/>
    <w:rsid w:val="00714AB5"/>
    <w:rsid w:val="00715711"/>
    <w:rsid w:val="007162A5"/>
    <w:rsid w:val="0071697E"/>
    <w:rsid w:val="007169F8"/>
    <w:rsid w:val="00717155"/>
    <w:rsid w:val="007232AF"/>
    <w:rsid w:val="007234F3"/>
    <w:rsid w:val="00726D0D"/>
    <w:rsid w:val="00732AF9"/>
    <w:rsid w:val="00732F57"/>
    <w:rsid w:val="007408FB"/>
    <w:rsid w:val="007410A9"/>
    <w:rsid w:val="00742C79"/>
    <w:rsid w:val="00743904"/>
    <w:rsid w:val="007448A8"/>
    <w:rsid w:val="00751621"/>
    <w:rsid w:val="00751A87"/>
    <w:rsid w:val="00752985"/>
    <w:rsid w:val="00753CE4"/>
    <w:rsid w:val="007543B9"/>
    <w:rsid w:val="007568C5"/>
    <w:rsid w:val="00764363"/>
    <w:rsid w:val="00766B7A"/>
    <w:rsid w:val="00766DB4"/>
    <w:rsid w:val="007704B1"/>
    <w:rsid w:val="00770DBF"/>
    <w:rsid w:val="007749DD"/>
    <w:rsid w:val="007768B7"/>
    <w:rsid w:val="00777197"/>
    <w:rsid w:val="00780026"/>
    <w:rsid w:val="00785A83"/>
    <w:rsid w:val="00785BC8"/>
    <w:rsid w:val="007A253C"/>
    <w:rsid w:val="007A3E9E"/>
    <w:rsid w:val="007B0E5E"/>
    <w:rsid w:val="007B40BC"/>
    <w:rsid w:val="007B561B"/>
    <w:rsid w:val="007B59E3"/>
    <w:rsid w:val="007C0C1B"/>
    <w:rsid w:val="007C19F4"/>
    <w:rsid w:val="007D3F81"/>
    <w:rsid w:val="007E21C4"/>
    <w:rsid w:val="007E401A"/>
    <w:rsid w:val="007E4D6B"/>
    <w:rsid w:val="007F0DE9"/>
    <w:rsid w:val="007F32B3"/>
    <w:rsid w:val="007F3F43"/>
    <w:rsid w:val="007F45CF"/>
    <w:rsid w:val="007F4A3D"/>
    <w:rsid w:val="007F5FBA"/>
    <w:rsid w:val="007F6F27"/>
    <w:rsid w:val="00802DFA"/>
    <w:rsid w:val="0080388E"/>
    <w:rsid w:val="00803966"/>
    <w:rsid w:val="0081727B"/>
    <w:rsid w:val="00822F51"/>
    <w:rsid w:val="00825564"/>
    <w:rsid w:val="00825E47"/>
    <w:rsid w:val="0082641D"/>
    <w:rsid w:val="00841C40"/>
    <w:rsid w:val="008457BE"/>
    <w:rsid w:val="008507C4"/>
    <w:rsid w:val="00860C87"/>
    <w:rsid w:val="008627A4"/>
    <w:rsid w:val="00870824"/>
    <w:rsid w:val="008709F4"/>
    <w:rsid w:val="00872E24"/>
    <w:rsid w:val="0088232C"/>
    <w:rsid w:val="00883CE3"/>
    <w:rsid w:val="0089252B"/>
    <w:rsid w:val="008956CD"/>
    <w:rsid w:val="008A0DBF"/>
    <w:rsid w:val="008A484E"/>
    <w:rsid w:val="008A52B6"/>
    <w:rsid w:val="008A6550"/>
    <w:rsid w:val="008A663A"/>
    <w:rsid w:val="008B2353"/>
    <w:rsid w:val="008B464E"/>
    <w:rsid w:val="008B5FAE"/>
    <w:rsid w:val="008C3262"/>
    <w:rsid w:val="008D0D7C"/>
    <w:rsid w:val="008E08D3"/>
    <w:rsid w:val="008E0B37"/>
    <w:rsid w:val="008E363F"/>
    <w:rsid w:val="008E3944"/>
    <w:rsid w:val="008F64E2"/>
    <w:rsid w:val="00902E3D"/>
    <w:rsid w:val="0091231A"/>
    <w:rsid w:val="00912C77"/>
    <w:rsid w:val="0091384B"/>
    <w:rsid w:val="00913D33"/>
    <w:rsid w:val="0091465C"/>
    <w:rsid w:val="009154DD"/>
    <w:rsid w:val="00915DD5"/>
    <w:rsid w:val="009223A3"/>
    <w:rsid w:val="009225CB"/>
    <w:rsid w:val="009234F0"/>
    <w:rsid w:val="00927ED0"/>
    <w:rsid w:val="009309DD"/>
    <w:rsid w:val="0093421C"/>
    <w:rsid w:val="00937B5E"/>
    <w:rsid w:val="00942F7E"/>
    <w:rsid w:val="0094694E"/>
    <w:rsid w:val="00947D0B"/>
    <w:rsid w:val="00951C71"/>
    <w:rsid w:val="00953301"/>
    <w:rsid w:val="00953399"/>
    <w:rsid w:val="00953B73"/>
    <w:rsid w:val="0095460E"/>
    <w:rsid w:val="009568A3"/>
    <w:rsid w:val="0095777B"/>
    <w:rsid w:val="00961A9F"/>
    <w:rsid w:val="00967913"/>
    <w:rsid w:val="00970576"/>
    <w:rsid w:val="00970F02"/>
    <w:rsid w:val="00972598"/>
    <w:rsid w:val="00977634"/>
    <w:rsid w:val="0098474D"/>
    <w:rsid w:val="009927B4"/>
    <w:rsid w:val="00993991"/>
    <w:rsid w:val="009A21D7"/>
    <w:rsid w:val="009A2BF1"/>
    <w:rsid w:val="009A5414"/>
    <w:rsid w:val="009B04A2"/>
    <w:rsid w:val="009B2F63"/>
    <w:rsid w:val="009B3042"/>
    <w:rsid w:val="009B3976"/>
    <w:rsid w:val="009B6FBC"/>
    <w:rsid w:val="009B7074"/>
    <w:rsid w:val="009C0CE4"/>
    <w:rsid w:val="009D30A6"/>
    <w:rsid w:val="009D4DFD"/>
    <w:rsid w:val="009E32E3"/>
    <w:rsid w:val="009E44F0"/>
    <w:rsid w:val="009E6B35"/>
    <w:rsid w:val="009F013E"/>
    <w:rsid w:val="009F0C3D"/>
    <w:rsid w:val="009F0F94"/>
    <w:rsid w:val="00A075DD"/>
    <w:rsid w:val="00A12A50"/>
    <w:rsid w:val="00A12FF7"/>
    <w:rsid w:val="00A13DAF"/>
    <w:rsid w:val="00A1469E"/>
    <w:rsid w:val="00A201A5"/>
    <w:rsid w:val="00A22923"/>
    <w:rsid w:val="00A25183"/>
    <w:rsid w:val="00A257D2"/>
    <w:rsid w:val="00A2689F"/>
    <w:rsid w:val="00A32BA5"/>
    <w:rsid w:val="00A339B3"/>
    <w:rsid w:val="00A367E8"/>
    <w:rsid w:val="00A37435"/>
    <w:rsid w:val="00A409A1"/>
    <w:rsid w:val="00A40D7D"/>
    <w:rsid w:val="00A43049"/>
    <w:rsid w:val="00A4343F"/>
    <w:rsid w:val="00A461EC"/>
    <w:rsid w:val="00A462DC"/>
    <w:rsid w:val="00A50D16"/>
    <w:rsid w:val="00A549CB"/>
    <w:rsid w:val="00A551F1"/>
    <w:rsid w:val="00A55C3C"/>
    <w:rsid w:val="00A56E5A"/>
    <w:rsid w:val="00A57C12"/>
    <w:rsid w:val="00A636C0"/>
    <w:rsid w:val="00A71BF1"/>
    <w:rsid w:val="00A72FA1"/>
    <w:rsid w:val="00A8365C"/>
    <w:rsid w:val="00A86E2E"/>
    <w:rsid w:val="00A909F7"/>
    <w:rsid w:val="00A90FA9"/>
    <w:rsid w:val="00A93908"/>
    <w:rsid w:val="00A963BF"/>
    <w:rsid w:val="00AA41E7"/>
    <w:rsid w:val="00AA55F2"/>
    <w:rsid w:val="00AA7551"/>
    <w:rsid w:val="00AB1EDE"/>
    <w:rsid w:val="00AB23C8"/>
    <w:rsid w:val="00AB55A0"/>
    <w:rsid w:val="00AC053B"/>
    <w:rsid w:val="00AC2478"/>
    <w:rsid w:val="00AC2BFD"/>
    <w:rsid w:val="00AC3868"/>
    <w:rsid w:val="00AC5D02"/>
    <w:rsid w:val="00AC6091"/>
    <w:rsid w:val="00AD08BE"/>
    <w:rsid w:val="00AD256F"/>
    <w:rsid w:val="00AD4250"/>
    <w:rsid w:val="00AD6AC7"/>
    <w:rsid w:val="00AE0DBD"/>
    <w:rsid w:val="00AE0E89"/>
    <w:rsid w:val="00AE0EC0"/>
    <w:rsid w:val="00AE22CD"/>
    <w:rsid w:val="00AE3FFD"/>
    <w:rsid w:val="00AE7DD0"/>
    <w:rsid w:val="00AF0672"/>
    <w:rsid w:val="00B001E6"/>
    <w:rsid w:val="00B11CFE"/>
    <w:rsid w:val="00B13A5F"/>
    <w:rsid w:val="00B153D5"/>
    <w:rsid w:val="00B16919"/>
    <w:rsid w:val="00B23CF9"/>
    <w:rsid w:val="00B24980"/>
    <w:rsid w:val="00B25C51"/>
    <w:rsid w:val="00B27B9D"/>
    <w:rsid w:val="00B3624E"/>
    <w:rsid w:val="00B37700"/>
    <w:rsid w:val="00B42D74"/>
    <w:rsid w:val="00B43DB2"/>
    <w:rsid w:val="00B44741"/>
    <w:rsid w:val="00B454A3"/>
    <w:rsid w:val="00B46CF9"/>
    <w:rsid w:val="00B47754"/>
    <w:rsid w:val="00B47F46"/>
    <w:rsid w:val="00B55BBE"/>
    <w:rsid w:val="00B57768"/>
    <w:rsid w:val="00B6453C"/>
    <w:rsid w:val="00B67EDA"/>
    <w:rsid w:val="00B7163B"/>
    <w:rsid w:val="00B71C92"/>
    <w:rsid w:val="00B753D5"/>
    <w:rsid w:val="00B819A5"/>
    <w:rsid w:val="00B82239"/>
    <w:rsid w:val="00B857E2"/>
    <w:rsid w:val="00B871C2"/>
    <w:rsid w:val="00B91939"/>
    <w:rsid w:val="00B96701"/>
    <w:rsid w:val="00BA0B62"/>
    <w:rsid w:val="00BA0FAD"/>
    <w:rsid w:val="00BA3625"/>
    <w:rsid w:val="00BA48AC"/>
    <w:rsid w:val="00BA51BE"/>
    <w:rsid w:val="00BA7304"/>
    <w:rsid w:val="00BB3C47"/>
    <w:rsid w:val="00BB728C"/>
    <w:rsid w:val="00BC042E"/>
    <w:rsid w:val="00BC1CCE"/>
    <w:rsid w:val="00BC3A66"/>
    <w:rsid w:val="00BD177C"/>
    <w:rsid w:val="00BD30B2"/>
    <w:rsid w:val="00BD464F"/>
    <w:rsid w:val="00BD5694"/>
    <w:rsid w:val="00BD7836"/>
    <w:rsid w:val="00BE3481"/>
    <w:rsid w:val="00BE3C7C"/>
    <w:rsid w:val="00BF1EA1"/>
    <w:rsid w:val="00BF3BB4"/>
    <w:rsid w:val="00BF3DDF"/>
    <w:rsid w:val="00BF70BC"/>
    <w:rsid w:val="00BF70FE"/>
    <w:rsid w:val="00C0266F"/>
    <w:rsid w:val="00C03892"/>
    <w:rsid w:val="00C048D9"/>
    <w:rsid w:val="00C105F2"/>
    <w:rsid w:val="00C1759A"/>
    <w:rsid w:val="00C27553"/>
    <w:rsid w:val="00C32033"/>
    <w:rsid w:val="00C3376B"/>
    <w:rsid w:val="00C353A0"/>
    <w:rsid w:val="00C3665C"/>
    <w:rsid w:val="00C41C60"/>
    <w:rsid w:val="00C424EF"/>
    <w:rsid w:val="00C52268"/>
    <w:rsid w:val="00C61B5D"/>
    <w:rsid w:val="00C6235A"/>
    <w:rsid w:val="00C641A4"/>
    <w:rsid w:val="00C727E4"/>
    <w:rsid w:val="00C74157"/>
    <w:rsid w:val="00C759EF"/>
    <w:rsid w:val="00C75CEA"/>
    <w:rsid w:val="00C77677"/>
    <w:rsid w:val="00C80A24"/>
    <w:rsid w:val="00C82FEA"/>
    <w:rsid w:val="00C836B4"/>
    <w:rsid w:val="00C84CCA"/>
    <w:rsid w:val="00C851CB"/>
    <w:rsid w:val="00C90B7B"/>
    <w:rsid w:val="00C91823"/>
    <w:rsid w:val="00CA1601"/>
    <w:rsid w:val="00CB17AD"/>
    <w:rsid w:val="00CB2102"/>
    <w:rsid w:val="00CB3800"/>
    <w:rsid w:val="00CB4314"/>
    <w:rsid w:val="00CC44E9"/>
    <w:rsid w:val="00CC4D60"/>
    <w:rsid w:val="00CD21DB"/>
    <w:rsid w:val="00CD26B7"/>
    <w:rsid w:val="00CD3EF6"/>
    <w:rsid w:val="00CD417B"/>
    <w:rsid w:val="00CD490F"/>
    <w:rsid w:val="00CD5183"/>
    <w:rsid w:val="00CE391E"/>
    <w:rsid w:val="00CF04AC"/>
    <w:rsid w:val="00CF1E1B"/>
    <w:rsid w:val="00CF3ACA"/>
    <w:rsid w:val="00CF3F7D"/>
    <w:rsid w:val="00CF6D14"/>
    <w:rsid w:val="00D0005C"/>
    <w:rsid w:val="00D02991"/>
    <w:rsid w:val="00D1662C"/>
    <w:rsid w:val="00D16EBD"/>
    <w:rsid w:val="00D2023B"/>
    <w:rsid w:val="00D205C5"/>
    <w:rsid w:val="00D20803"/>
    <w:rsid w:val="00D2265A"/>
    <w:rsid w:val="00D23074"/>
    <w:rsid w:val="00D2582F"/>
    <w:rsid w:val="00D27A64"/>
    <w:rsid w:val="00D3083D"/>
    <w:rsid w:val="00D40D6F"/>
    <w:rsid w:val="00D429BE"/>
    <w:rsid w:val="00D44930"/>
    <w:rsid w:val="00D45085"/>
    <w:rsid w:val="00D45EBD"/>
    <w:rsid w:val="00D46770"/>
    <w:rsid w:val="00D52A64"/>
    <w:rsid w:val="00D5306F"/>
    <w:rsid w:val="00D572B9"/>
    <w:rsid w:val="00D61E26"/>
    <w:rsid w:val="00D63982"/>
    <w:rsid w:val="00D64707"/>
    <w:rsid w:val="00D64AA2"/>
    <w:rsid w:val="00D7666E"/>
    <w:rsid w:val="00D77478"/>
    <w:rsid w:val="00D812F6"/>
    <w:rsid w:val="00D83DBA"/>
    <w:rsid w:val="00D8580C"/>
    <w:rsid w:val="00D859A0"/>
    <w:rsid w:val="00D85B12"/>
    <w:rsid w:val="00D90956"/>
    <w:rsid w:val="00D923E2"/>
    <w:rsid w:val="00D95662"/>
    <w:rsid w:val="00D970E0"/>
    <w:rsid w:val="00D9728A"/>
    <w:rsid w:val="00DA183D"/>
    <w:rsid w:val="00DA1CFB"/>
    <w:rsid w:val="00DA26CC"/>
    <w:rsid w:val="00DA6A21"/>
    <w:rsid w:val="00DB0C55"/>
    <w:rsid w:val="00DB7E36"/>
    <w:rsid w:val="00DC1341"/>
    <w:rsid w:val="00DC1532"/>
    <w:rsid w:val="00DC2EE2"/>
    <w:rsid w:val="00DC3629"/>
    <w:rsid w:val="00DC7658"/>
    <w:rsid w:val="00DD0093"/>
    <w:rsid w:val="00DD349E"/>
    <w:rsid w:val="00DE0A90"/>
    <w:rsid w:val="00DE2B22"/>
    <w:rsid w:val="00DE2BF2"/>
    <w:rsid w:val="00DE3A4C"/>
    <w:rsid w:val="00DE4605"/>
    <w:rsid w:val="00DE6377"/>
    <w:rsid w:val="00DF3864"/>
    <w:rsid w:val="00DF581E"/>
    <w:rsid w:val="00DF5E79"/>
    <w:rsid w:val="00DF7BB7"/>
    <w:rsid w:val="00E01AB6"/>
    <w:rsid w:val="00E029F9"/>
    <w:rsid w:val="00E14982"/>
    <w:rsid w:val="00E14F96"/>
    <w:rsid w:val="00E20A29"/>
    <w:rsid w:val="00E22C87"/>
    <w:rsid w:val="00E230D4"/>
    <w:rsid w:val="00E230E2"/>
    <w:rsid w:val="00E26A43"/>
    <w:rsid w:val="00E26B5E"/>
    <w:rsid w:val="00E305B4"/>
    <w:rsid w:val="00E3135E"/>
    <w:rsid w:val="00E32BE1"/>
    <w:rsid w:val="00E362CF"/>
    <w:rsid w:val="00E37AB8"/>
    <w:rsid w:val="00E37F9E"/>
    <w:rsid w:val="00E40C42"/>
    <w:rsid w:val="00E40FB7"/>
    <w:rsid w:val="00E4556D"/>
    <w:rsid w:val="00E478B7"/>
    <w:rsid w:val="00E554C7"/>
    <w:rsid w:val="00E56401"/>
    <w:rsid w:val="00E56500"/>
    <w:rsid w:val="00E570C4"/>
    <w:rsid w:val="00E57C0A"/>
    <w:rsid w:val="00E60782"/>
    <w:rsid w:val="00E60990"/>
    <w:rsid w:val="00E6120F"/>
    <w:rsid w:val="00E62D7E"/>
    <w:rsid w:val="00E64CFD"/>
    <w:rsid w:val="00E66715"/>
    <w:rsid w:val="00E67610"/>
    <w:rsid w:val="00E7002A"/>
    <w:rsid w:val="00E704E3"/>
    <w:rsid w:val="00E73FD3"/>
    <w:rsid w:val="00E74375"/>
    <w:rsid w:val="00E77A35"/>
    <w:rsid w:val="00E833E9"/>
    <w:rsid w:val="00E835B3"/>
    <w:rsid w:val="00E92706"/>
    <w:rsid w:val="00E95A39"/>
    <w:rsid w:val="00E960D2"/>
    <w:rsid w:val="00E96682"/>
    <w:rsid w:val="00EA337B"/>
    <w:rsid w:val="00EA7EFF"/>
    <w:rsid w:val="00EB3069"/>
    <w:rsid w:val="00EB5442"/>
    <w:rsid w:val="00EB6A45"/>
    <w:rsid w:val="00EC0FE2"/>
    <w:rsid w:val="00EC4040"/>
    <w:rsid w:val="00EC65A1"/>
    <w:rsid w:val="00EC7E20"/>
    <w:rsid w:val="00ED24D7"/>
    <w:rsid w:val="00ED3254"/>
    <w:rsid w:val="00ED48B5"/>
    <w:rsid w:val="00EE0AB2"/>
    <w:rsid w:val="00EE0D3C"/>
    <w:rsid w:val="00EE3692"/>
    <w:rsid w:val="00EE49A1"/>
    <w:rsid w:val="00EE7E7C"/>
    <w:rsid w:val="00EF4362"/>
    <w:rsid w:val="00EF500E"/>
    <w:rsid w:val="00EF7E0B"/>
    <w:rsid w:val="00F0224E"/>
    <w:rsid w:val="00F02294"/>
    <w:rsid w:val="00F047D8"/>
    <w:rsid w:val="00F05D27"/>
    <w:rsid w:val="00F05E79"/>
    <w:rsid w:val="00F139FA"/>
    <w:rsid w:val="00F152A7"/>
    <w:rsid w:val="00F17F2A"/>
    <w:rsid w:val="00F25235"/>
    <w:rsid w:val="00F25E8D"/>
    <w:rsid w:val="00F31351"/>
    <w:rsid w:val="00F3605E"/>
    <w:rsid w:val="00F36632"/>
    <w:rsid w:val="00F36DE3"/>
    <w:rsid w:val="00F40E03"/>
    <w:rsid w:val="00F4188B"/>
    <w:rsid w:val="00F42643"/>
    <w:rsid w:val="00F45322"/>
    <w:rsid w:val="00F469CA"/>
    <w:rsid w:val="00F53665"/>
    <w:rsid w:val="00F60AEE"/>
    <w:rsid w:val="00F61423"/>
    <w:rsid w:val="00F62891"/>
    <w:rsid w:val="00F6520C"/>
    <w:rsid w:val="00F66C89"/>
    <w:rsid w:val="00F66CAF"/>
    <w:rsid w:val="00F72DB9"/>
    <w:rsid w:val="00F80BB7"/>
    <w:rsid w:val="00F826DC"/>
    <w:rsid w:val="00F84B58"/>
    <w:rsid w:val="00F875B4"/>
    <w:rsid w:val="00F91B9F"/>
    <w:rsid w:val="00F93B14"/>
    <w:rsid w:val="00F94262"/>
    <w:rsid w:val="00F94264"/>
    <w:rsid w:val="00F965C4"/>
    <w:rsid w:val="00FA18A4"/>
    <w:rsid w:val="00FA2217"/>
    <w:rsid w:val="00FA5332"/>
    <w:rsid w:val="00FA63B2"/>
    <w:rsid w:val="00FA7A48"/>
    <w:rsid w:val="00FB447B"/>
    <w:rsid w:val="00FB53D9"/>
    <w:rsid w:val="00FB57DD"/>
    <w:rsid w:val="00FB68F7"/>
    <w:rsid w:val="00FD28E7"/>
    <w:rsid w:val="00FD6613"/>
    <w:rsid w:val="00FE1AA1"/>
    <w:rsid w:val="00FE2E90"/>
    <w:rsid w:val="00FE30BE"/>
    <w:rsid w:val="00FE4B3C"/>
    <w:rsid w:val="00FF0FAD"/>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 w:type="paragraph" w:styleId="Kommentarthema">
    <w:name w:val="annotation subject"/>
    <w:basedOn w:val="Kommentartext"/>
    <w:next w:val="Kommentartext"/>
    <w:link w:val="KommentarthemaZchn"/>
    <w:uiPriority w:val="99"/>
    <w:semiHidden/>
    <w:unhideWhenUsed/>
    <w:rsid w:val="000E11A2"/>
    <w:rPr>
      <w:b/>
      <w:bCs/>
    </w:rPr>
  </w:style>
  <w:style w:type="character" w:customStyle="1" w:styleId="KommentarthemaZchn">
    <w:name w:val="Kommentarthema Zchn"/>
    <w:basedOn w:val="KommentartextZchn"/>
    <w:link w:val="Kommentarthema"/>
    <w:uiPriority w:val="99"/>
    <w:semiHidden/>
    <w:rsid w:val="000E11A2"/>
    <w:rPr>
      <w:b/>
      <w:bCs/>
      <w:sz w:val="20"/>
      <w:szCs w:val="20"/>
    </w:rPr>
  </w:style>
  <w:style w:type="paragraph" w:styleId="berarbeitung">
    <w:name w:val="Revision"/>
    <w:hidden/>
    <w:uiPriority w:val="99"/>
    <w:semiHidden/>
    <w:rsid w:val="005739E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106244142">
      <w:bodyDiv w:val="1"/>
      <w:marLeft w:val="0"/>
      <w:marRight w:val="0"/>
      <w:marTop w:val="0"/>
      <w:marBottom w:val="0"/>
      <w:divBdr>
        <w:top w:val="none" w:sz="0" w:space="0" w:color="auto"/>
        <w:left w:val="none" w:sz="0" w:space="0" w:color="auto"/>
        <w:bottom w:val="none" w:sz="0" w:space="0" w:color="auto"/>
        <w:right w:val="none" w:sz="0" w:space="0" w:color="auto"/>
      </w:divBdr>
    </w:div>
    <w:div w:id="108470636">
      <w:bodyDiv w:val="1"/>
      <w:marLeft w:val="0"/>
      <w:marRight w:val="0"/>
      <w:marTop w:val="0"/>
      <w:marBottom w:val="0"/>
      <w:divBdr>
        <w:top w:val="none" w:sz="0" w:space="0" w:color="auto"/>
        <w:left w:val="none" w:sz="0" w:space="0" w:color="auto"/>
        <w:bottom w:val="none" w:sz="0" w:space="0" w:color="auto"/>
        <w:right w:val="none" w:sz="0" w:space="0" w:color="auto"/>
      </w:divBdr>
      <w:divsChild>
        <w:div w:id="7763660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96825560">
              <w:marLeft w:val="0"/>
              <w:marRight w:val="0"/>
              <w:marTop w:val="0"/>
              <w:marBottom w:val="0"/>
              <w:divBdr>
                <w:top w:val="none" w:sz="0" w:space="0" w:color="auto"/>
                <w:left w:val="none" w:sz="0" w:space="0" w:color="auto"/>
                <w:bottom w:val="none" w:sz="0" w:space="0" w:color="auto"/>
                <w:right w:val="none" w:sz="0" w:space="0" w:color="auto"/>
              </w:divBdr>
              <w:divsChild>
                <w:div w:id="1101535657">
                  <w:marLeft w:val="0"/>
                  <w:marRight w:val="0"/>
                  <w:marTop w:val="0"/>
                  <w:marBottom w:val="0"/>
                  <w:divBdr>
                    <w:top w:val="none" w:sz="0" w:space="0" w:color="auto"/>
                    <w:left w:val="none" w:sz="0" w:space="0" w:color="auto"/>
                    <w:bottom w:val="none" w:sz="0" w:space="0" w:color="auto"/>
                    <w:right w:val="none" w:sz="0" w:space="0" w:color="auto"/>
                  </w:divBdr>
                  <w:divsChild>
                    <w:div w:id="3477597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6236084">
                          <w:marLeft w:val="0"/>
                          <w:marRight w:val="0"/>
                          <w:marTop w:val="0"/>
                          <w:marBottom w:val="0"/>
                          <w:divBdr>
                            <w:top w:val="none" w:sz="0" w:space="0" w:color="auto"/>
                            <w:left w:val="none" w:sz="0" w:space="0" w:color="auto"/>
                            <w:bottom w:val="none" w:sz="0" w:space="0" w:color="auto"/>
                            <w:right w:val="none" w:sz="0" w:space="0" w:color="auto"/>
                          </w:divBdr>
                          <w:divsChild>
                            <w:div w:id="395325826">
                              <w:marLeft w:val="0"/>
                              <w:marRight w:val="0"/>
                              <w:marTop w:val="0"/>
                              <w:marBottom w:val="0"/>
                              <w:divBdr>
                                <w:top w:val="none" w:sz="0" w:space="0" w:color="auto"/>
                                <w:left w:val="none" w:sz="0" w:space="0" w:color="auto"/>
                                <w:bottom w:val="none" w:sz="0" w:space="0" w:color="auto"/>
                                <w:right w:val="none" w:sz="0" w:space="0" w:color="auto"/>
                              </w:divBdr>
                              <w:divsChild>
                                <w:div w:id="4107420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509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0752805">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345861689">
      <w:bodyDiv w:val="1"/>
      <w:marLeft w:val="0"/>
      <w:marRight w:val="0"/>
      <w:marTop w:val="0"/>
      <w:marBottom w:val="0"/>
      <w:divBdr>
        <w:top w:val="none" w:sz="0" w:space="0" w:color="auto"/>
        <w:left w:val="none" w:sz="0" w:space="0" w:color="auto"/>
        <w:bottom w:val="none" w:sz="0" w:space="0" w:color="auto"/>
        <w:right w:val="none" w:sz="0" w:space="0" w:color="auto"/>
      </w:divBdr>
    </w:div>
    <w:div w:id="379326713">
      <w:bodyDiv w:val="1"/>
      <w:marLeft w:val="0"/>
      <w:marRight w:val="0"/>
      <w:marTop w:val="0"/>
      <w:marBottom w:val="0"/>
      <w:divBdr>
        <w:top w:val="none" w:sz="0" w:space="0" w:color="auto"/>
        <w:left w:val="none" w:sz="0" w:space="0" w:color="auto"/>
        <w:bottom w:val="none" w:sz="0" w:space="0" w:color="auto"/>
        <w:right w:val="none" w:sz="0" w:space="0" w:color="auto"/>
      </w:divBdr>
    </w:div>
    <w:div w:id="401374902">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450394519">
      <w:bodyDiv w:val="1"/>
      <w:marLeft w:val="0"/>
      <w:marRight w:val="0"/>
      <w:marTop w:val="0"/>
      <w:marBottom w:val="0"/>
      <w:divBdr>
        <w:top w:val="none" w:sz="0" w:space="0" w:color="auto"/>
        <w:left w:val="none" w:sz="0" w:space="0" w:color="auto"/>
        <w:bottom w:val="none" w:sz="0" w:space="0" w:color="auto"/>
        <w:right w:val="none" w:sz="0" w:space="0" w:color="auto"/>
      </w:divBdr>
    </w:div>
    <w:div w:id="470489490">
      <w:bodyDiv w:val="1"/>
      <w:marLeft w:val="0"/>
      <w:marRight w:val="0"/>
      <w:marTop w:val="0"/>
      <w:marBottom w:val="0"/>
      <w:divBdr>
        <w:top w:val="none" w:sz="0" w:space="0" w:color="auto"/>
        <w:left w:val="none" w:sz="0" w:space="0" w:color="auto"/>
        <w:bottom w:val="none" w:sz="0" w:space="0" w:color="auto"/>
        <w:right w:val="none" w:sz="0" w:space="0" w:color="auto"/>
      </w:divBdr>
    </w:div>
    <w:div w:id="507604191">
      <w:bodyDiv w:val="1"/>
      <w:marLeft w:val="0"/>
      <w:marRight w:val="0"/>
      <w:marTop w:val="0"/>
      <w:marBottom w:val="0"/>
      <w:divBdr>
        <w:top w:val="none" w:sz="0" w:space="0" w:color="auto"/>
        <w:left w:val="none" w:sz="0" w:space="0" w:color="auto"/>
        <w:bottom w:val="none" w:sz="0" w:space="0" w:color="auto"/>
        <w:right w:val="none" w:sz="0" w:space="0" w:color="auto"/>
      </w:divBdr>
    </w:div>
    <w:div w:id="516384029">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568810888">
      <w:bodyDiv w:val="1"/>
      <w:marLeft w:val="0"/>
      <w:marRight w:val="0"/>
      <w:marTop w:val="0"/>
      <w:marBottom w:val="0"/>
      <w:divBdr>
        <w:top w:val="none" w:sz="0" w:space="0" w:color="auto"/>
        <w:left w:val="none" w:sz="0" w:space="0" w:color="auto"/>
        <w:bottom w:val="none" w:sz="0" w:space="0" w:color="auto"/>
        <w:right w:val="none" w:sz="0" w:space="0" w:color="auto"/>
      </w:divBdr>
    </w:div>
    <w:div w:id="62135057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691615086">
      <w:bodyDiv w:val="1"/>
      <w:marLeft w:val="0"/>
      <w:marRight w:val="0"/>
      <w:marTop w:val="0"/>
      <w:marBottom w:val="0"/>
      <w:divBdr>
        <w:top w:val="none" w:sz="0" w:space="0" w:color="auto"/>
        <w:left w:val="none" w:sz="0" w:space="0" w:color="auto"/>
        <w:bottom w:val="none" w:sz="0" w:space="0" w:color="auto"/>
        <w:right w:val="none" w:sz="0" w:space="0" w:color="auto"/>
      </w:divBdr>
    </w:div>
    <w:div w:id="725682862">
      <w:bodyDiv w:val="1"/>
      <w:marLeft w:val="0"/>
      <w:marRight w:val="0"/>
      <w:marTop w:val="0"/>
      <w:marBottom w:val="0"/>
      <w:divBdr>
        <w:top w:val="none" w:sz="0" w:space="0" w:color="auto"/>
        <w:left w:val="none" w:sz="0" w:space="0" w:color="auto"/>
        <w:bottom w:val="none" w:sz="0" w:space="0" w:color="auto"/>
        <w:right w:val="none" w:sz="0" w:space="0" w:color="auto"/>
      </w:divBdr>
    </w:div>
    <w:div w:id="762531500">
      <w:bodyDiv w:val="1"/>
      <w:marLeft w:val="0"/>
      <w:marRight w:val="0"/>
      <w:marTop w:val="0"/>
      <w:marBottom w:val="0"/>
      <w:divBdr>
        <w:top w:val="none" w:sz="0" w:space="0" w:color="auto"/>
        <w:left w:val="none" w:sz="0" w:space="0" w:color="auto"/>
        <w:bottom w:val="none" w:sz="0" w:space="0" w:color="auto"/>
        <w:right w:val="none" w:sz="0" w:space="0" w:color="auto"/>
      </w:divBdr>
    </w:div>
    <w:div w:id="793525654">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00197441">
      <w:bodyDiv w:val="1"/>
      <w:marLeft w:val="0"/>
      <w:marRight w:val="0"/>
      <w:marTop w:val="0"/>
      <w:marBottom w:val="0"/>
      <w:divBdr>
        <w:top w:val="none" w:sz="0" w:space="0" w:color="auto"/>
        <w:left w:val="none" w:sz="0" w:space="0" w:color="auto"/>
        <w:bottom w:val="none" w:sz="0" w:space="0" w:color="auto"/>
        <w:right w:val="none" w:sz="0" w:space="0" w:color="auto"/>
      </w:divBdr>
    </w:div>
    <w:div w:id="814370231">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844979809">
      <w:bodyDiv w:val="1"/>
      <w:marLeft w:val="0"/>
      <w:marRight w:val="0"/>
      <w:marTop w:val="0"/>
      <w:marBottom w:val="0"/>
      <w:divBdr>
        <w:top w:val="none" w:sz="0" w:space="0" w:color="auto"/>
        <w:left w:val="none" w:sz="0" w:space="0" w:color="auto"/>
        <w:bottom w:val="none" w:sz="0" w:space="0" w:color="auto"/>
        <w:right w:val="none" w:sz="0" w:space="0" w:color="auto"/>
      </w:divBdr>
      <w:divsChild>
        <w:div w:id="975767630">
          <w:marLeft w:val="806"/>
          <w:marRight w:val="0"/>
          <w:marTop w:val="200"/>
          <w:marBottom w:val="0"/>
          <w:divBdr>
            <w:top w:val="none" w:sz="0" w:space="0" w:color="auto"/>
            <w:left w:val="none" w:sz="0" w:space="0" w:color="auto"/>
            <w:bottom w:val="none" w:sz="0" w:space="0" w:color="auto"/>
            <w:right w:val="none" w:sz="0" w:space="0" w:color="auto"/>
          </w:divBdr>
        </w:div>
      </w:divsChild>
    </w:div>
    <w:div w:id="899290195">
      <w:bodyDiv w:val="1"/>
      <w:marLeft w:val="0"/>
      <w:marRight w:val="0"/>
      <w:marTop w:val="0"/>
      <w:marBottom w:val="0"/>
      <w:divBdr>
        <w:top w:val="none" w:sz="0" w:space="0" w:color="auto"/>
        <w:left w:val="none" w:sz="0" w:space="0" w:color="auto"/>
        <w:bottom w:val="none" w:sz="0" w:space="0" w:color="auto"/>
        <w:right w:val="none" w:sz="0" w:space="0" w:color="auto"/>
      </w:divBdr>
    </w:div>
    <w:div w:id="945891201">
      <w:bodyDiv w:val="1"/>
      <w:marLeft w:val="0"/>
      <w:marRight w:val="0"/>
      <w:marTop w:val="0"/>
      <w:marBottom w:val="0"/>
      <w:divBdr>
        <w:top w:val="none" w:sz="0" w:space="0" w:color="auto"/>
        <w:left w:val="none" w:sz="0" w:space="0" w:color="auto"/>
        <w:bottom w:val="none" w:sz="0" w:space="0" w:color="auto"/>
        <w:right w:val="none" w:sz="0" w:space="0" w:color="auto"/>
      </w:divBdr>
      <w:divsChild>
        <w:div w:id="1976712117">
          <w:marLeft w:val="0"/>
          <w:marRight w:val="0"/>
          <w:marTop w:val="0"/>
          <w:marBottom w:val="0"/>
          <w:divBdr>
            <w:top w:val="none" w:sz="0" w:space="0" w:color="auto"/>
            <w:left w:val="none" w:sz="0" w:space="0" w:color="auto"/>
            <w:bottom w:val="none" w:sz="0" w:space="0" w:color="auto"/>
            <w:right w:val="none" w:sz="0" w:space="0" w:color="auto"/>
          </w:divBdr>
          <w:divsChild>
            <w:div w:id="831289178">
              <w:marLeft w:val="0"/>
              <w:marRight w:val="0"/>
              <w:marTop w:val="0"/>
              <w:marBottom w:val="0"/>
              <w:divBdr>
                <w:top w:val="none" w:sz="0" w:space="0" w:color="auto"/>
                <w:left w:val="none" w:sz="0" w:space="0" w:color="auto"/>
                <w:bottom w:val="none" w:sz="0" w:space="0" w:color="auto"/>
                <w:right w:val="none" w:sz="0" w:space="0" w:color="auto"/>
              </w:divBdr>
              <w:divsChild>
                <w:div w:id="1986154576">
                  <w:marLeft w:val="0"/>
                  <w:marRight w:val="0"/>
                  <w:marTop w:val="0"/>
                  <w:marBottom w:val="0"/>
                  <w:divBdr>
                    <w:top w:val="none" w:sz="0" w:space="0" w:color="auto"/>
                    <w:left w:val="none" w:sz="0" w:space="0" w:color="auto"/>
                    <w:bottom w:val="none" w:sz="0" w:space="0" w:color="auto"/>
                    <w:right w:val="none" w:sz="0" w:space="0" w:color="auto"/>
                  </w:divBdr>
                  <w:divsChild>
                    <w:div w:id="167352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67337856">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189100991">
      <w:bodyDiv w:val="1"/>
      <w:marLeft w:val="0"/>
      <w:marRight w:val="0"/>
      <w:marTop w:val="0"/>
      <w:marBottom w:val="0"/>
      <w:divBdr>
        <w:top w:val="none" w:sz="0" w:space="0" w:color="auto"/>
        <w:left w:val="none" w:sz="0" w:space="0" w:color="auto"/>
        <w:bottom w:val="none" w:sz="0" w:space="0" w:color="auto"/>
        <w:right w:val="none" w:sz="0" w:space="0" w:color="auto"/>
      </w:divBdr>
    </w:div>
    <w:div w:id="1205944158">
      <w:bodyDiv w:val="1"/>
      <w:marLeft w:val="0"/>
      <w:marRight w:val="0"/>
      <w:marTop w:val="0"/>
      <w:marBottom w:val="0"/>
      <w:divBdr>
        <w:top w:val="none" w:sz="0" w:space="0" w:color="auto"/>
        <w:left w:val="none" w:sz="0" w:space="0" w:color="auto"/>
        <w:bottom w:val="none" w:sz="0" w:space="0" w:color="auto"/>
        <w:right w:val="none" w:sz="0" w:space="0" w:color="auto"/>
      </w:divBdr>
    </w:div>
    <w:div w:id="1246694072">
      <w:bodyDiv w:val="1"/>
      <w:marLeft w:val="0"/>
      <w:marRight w:val="0"/>
      <w:marTop w:val="0"/>
      <w:marBottom w:val="0"/>
      <w:divBdr>
        <w:top w:val="none" w:sz="0" w:space="0" w:color="auto"/>
        <w:left w:val="none" w:sz="0" w:space="0" w:color="auto"/>
        <w:bottom w:val="none" w:sz="0" w:space="0" w:color="auto"/>
        <w:right w:val="none" w:sz="0" w:space="0" w:color="auto"/>
      </w:divBdr>
      <w:divsChild>
        <w:div w:id="563874969">
          <w:marLeft w:val="0"/>
          <w:marRight w:val="0"/>
          <w:marTop w:val="0"/>
          <w:marBottom w:val="0"/>
          <w:divBdr>
            <w:top w:val="none" w:sz="0" w:space="0" w:color="auto"/>
            <w:left w:val="none" w:sz="0" w:space="0" w:color="auto"/>
            <w:bottom w:val="none" w:sz="0" w:space="0" w:color="auto"/>
            <w:right w:val="none" w:sz="0" w:space="0" w:color="auto"/>
          </w:divBdr>
          <w:divsChild>
            <w:div w:id="1258902264">
              <w:marLeft w:val="0"/>
              <w:marRight w:val="0"/>
              <w:marTop w:val="0"/>
              <w:marBottom w:val="0"/>
              <w:divBdr>
                <w:top w:val="none" w:sz="0" w:space="0" w:color="auto"/>
                <w:left w:val="none" w:sz="0" w:space="0" w:color="auto"/>
                <w:bottom w:val="none" w:sz="0" w:space="0" w:color="auto"/>
                <w:right w:val="none" w:sz="0" w:space="0" w:color="auto"/>
              </w:divBdr>
              <w:divsChild>
                <w:div w:id="509489367">
                  <w:marLeft w:val="0"/>
                  <w:marRight w:val="0"/>
                  <w:marTop w:val="0"/>
                  <w:marBottom w:val="0"/>
                  <w:divBdr>
                    <w:top w:val="none" w:sz="0" w:space="0" w:color="auto"/>
                    <w:left w:val="none" w:sz="0" w:space="0" w:color="auto"/>
                    <w:bottom w:val="none" w:sz="0" w:space="0" w:color="auto"/>
                    <w:right w:val="none" w:sz="0" w:space="0" w:color="auto"/>
                  </w:divBdr>
                  <w:divsChild>
                    <w:div w:id="244458217">
                      <w:marLeft w:val="0"/>
                      <w:marRight w:val="0"/>
                      <w:marTop w:val="0"/>
                      <w:marBottom w:val="0"/>
                      <w:divBdr>
                        <w:top w:val="none" w:sz="0" w:space="0" w:color="auto"/>
                        <w:left w:val="none" w:sz="0" w:space="0" w:color="auto"/>
                        <w:bottom w:val="none" w:sz="0" w:space="0" w:color="auto"/>
                        <w:right w:val="none" w:sz="0" w:space="0" w:color="auto"/>
                      </w:divBdr>
                    </w:div>
                    <w:div w:id="122972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8150083">
      <w:bodyDiv w:val="1"/>
      <w:marLeft w:val="0"/>
      <w:marRight w:val="0"/>
      <w:marTop w:val="0"/>
      <w:marBottom w:val="0"/>
      <w:divBdr>
        <w:top w:val="none" w:sz="0" w:space="0" w:color="auto"/>
        <w:left w:val="none" w:sz="0" w:space="0" w:color="auto"/>
        <w:bottom w:val="none" w:sz="0" w:space="0" w:color="auto"/>
        <w:right w:val="none" w:sz="0" w:space="0" w:color="auto"/>
      </w:divBdr>
    </w:div>
    <w:div w:id="1285622801">
      <w:bodyDiv w:val="1"/>
      <w:marLeft w:val="0"/>
      <w:marRight w:val="0"/>
      <w:marTop w:val="0"/>
      <w:marBottom w:val="0"/>
      <w:divBdr>
        <w:top w:val="none" w:sz="0" w:space="0" w:color="auto"/>
        <w:left w:val="none" w:sz="0" w:space="0" w:color="auto"/>
        <w:bottom w:val="none" w:sz="0" w:space="0" w:color="auto"/>
        <w:right w:val="none" w:sz="0" w:space="0" w:color="auto"/>
      </w:divBdr>
    </w:div>
    <w:div w:id="1287397008">
      <w:bodyDiv w:val="1"/>
      <w:marLeft w:val="0"/>
      <w:marRight w:val="0"/>
      <w:marTop w:val="0"/>
      <w:marBottom w:val="0"/>
      <w:divBdr>
        <w:top w:val="none" w:sz="0" w:space="0" w:color="auto"/>
        <w:left w:val="none" w:sz="0" w:space="0" w:color="auto"/>
        <w:bottom w:val="none" w:sz="0" w:space="0" w:color="auto"/>
        <w:right w:val="none" w:sz="0" w:space="0" w:color="auto"/>
      </w:divBdr>
    </w:div>
    <w:div w:id="1298604717">
      <w:bodyDiv w:val="1"/>
      <w:marLeft w:val="0"/>
      <w:marRight w:val="0"/>
      <w:marTop w:val="0"/>
      <w:marBottom w:val="0"/>
      <w:divBdr>
        <w:top w:val="none" w:sz="0" w:space="0" w:color="auto"/>
        <w:left w:val="none" w:sz="0" w:space="0" w:color="auto"/>
        <w:bottom w:val="none" w:sz="0" w:space="0" w:color="auto"/>
        <w:right w:val="none" w:sz="0" w:space="0" w:color="auto"/>
      </w:divBdr>
    </w:div>
    <w:div w:id="1300497764">
      <w:bodyDiv w:val="1"/>
      <w:marLeft w:val="0"/>
      <w:marRight w:val="0"/>
      <w:marTop w:val="0"/>
      <w:marBottom w:val="0"/>
      <w:divBdr>
        <w:top w:val="none" w:sz="0" w:space="0" w:color="auto"/>
        <w:left w:val="none" w:sz="0" w:space="0" w:color="auto"/>
        <w:bottom w:val="none" w:sz="0" w:space="0" w:color="auto"/>
        <w:right w:val="none" w:sz="0" w:space="0" w:color="auto"/>
      </w:divBdr>
      <w:divsChild>
        <w:div w:id="1794250652">
          <w:marLeft w:val="806"/>
          <w:marRight w:val="0"/>
          <w:marTop w:val="200"/>
          <w:marBottom w:val="0"/>
          <w:divBdr>
            <w:top w:val="none" w:sz="0" w:space="0" w:color="auto"/>
            <w:left w:val="none" w:sz="0" w:space="0" w:color="auto"/>
            <w:bottom w:val="none" w:sz="0" w:space="0" w:color="auto"/>
            <w:right w:val="none" w:sz="0" w:space="0" w:color="auto"/>
          </w:divBdr>
        </w:div>
      </w:divsChild>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02756598">
      <w:bodyDiv w:val="1"/>
      <w:marLeft w:val="0"/>
      <w:marRight w:val="0"/>
      <w:marTop w:val="0"/>
      <w:marBottom w:val="0"/>
      <w:divBdr>
        <w:top w:val="none" w:sz="0" w:space="0" w:color="auto"/>
        <w:left w:val="none" w:sz="0" w:space="0" w:color="auto"/>
        <w:bottom w:val="none" w:sz="0" w:space="0" w:color="auto"/>
        <w:right w:val="none" w:sz="0" w:space="0" w:color="auto"/>
      </w:divBdr>
      <w:divsChild>
        <w:div w:id="1879584847">
          <w:marLeft w:val="806"/>
          <w:marRight w:val="0"/>
          <w:marTop w:val="200"/>
          <w:marBottom w:val="0"/>
          <w:divBdr>
            <w:top w:val="none" w:sz="0" w:space="0" w:color="auto"/>
            <w:left w:val="none" w:sz="0" w:space="0" w:color="auto"/>
            <w:bottom w:val="none" w:sz="0" w:space="0" w:color="auto"/>
            <w:right w:val="none" w:sz="0" w:space="0" w:color="auto"/>
          </w:divBdr>
        </w:div>
      </w:divsChild>
    </w:div>
    <w:div w:id="1403480151">
      <w:bodyDiv w:val="1"/>
      <w:marLeft w:val="0"/>
      <w:marRight w:val="0"/>
      <w:marTop w:val="0"/>
      <w:marBottom w:val="0"/>
      <w:divBdr>
        <w:top w:val="none" w:sz="0" w:space="0" w:color="auto"/>
        <w:left w:val="none" w:sz="0" w:space="0" w:color="auto"/>
        <w:bottom w:val="none" w:sz="0" w:space="0" w:color="auto"/>
        <w:right w:val="none" w:sz="0" w:space="0" w:color="auto"/>
      </w:divBdr>
    </w:div>
    <w:div w:id="1419324509">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465152990">
      <w:bodyDiv w:val="1"/>
      <w:marLeft w:val="0"/>
      <w:marRight w:val="0"/>
      <w:marTop w:val="0"/>
      <w:marBottom w:val="0"/>
      <w:divBdr>
        <w:top w:val="none" w:sz="0" w:space="0" w:color="auto"/>
        <w:left w:val="none" w:sz="0" w:space="0" w:color="auto"/>
        <w:bottom w:val="none" w:sz="0" w:space="0" w:color="auto"/>
        <w:right w:val="none" w:sz="0" w:space="0" w:color="auto"/>
      </w:divBdr>
      <w:divsChild>
        <w:div w:id="1956138260">
          <w:marLeft w:val="806"/>
          <w:marRight w:val="0"/>
          <w:marTop w:val="200"/>
          <w:marBottom w:val="0"/>
          <w:divBdr>
            <w:top w:val="none" w:sz="0" w:space="0" w:color="auto"/>
            <w:left w:val="none" w:sz="0" w:space="0" w:color="auto"/>
            <w:bottom w:val="none" w:sz="0" w:space="0" w:color="auto"/>
            <w:right w:val="none" w:sz="0" w:space="0" w:color="auto"/>
          </w:divBdr>
        </w:div>
        <w:div w:id="281495448">
          <w:marLeft w:val="806"/>
          <w:marRight w:val="0"/>
          <w:marTop w:val="200"/>
          <w:marBottom w:val="0"/>
          <w:divBdr>
            <w:top w:val="none" w:sz="0" w:space="0" w:color="auto"/>
            <w:left w:val="none" w:sz="0" w:space="0" w:color="auto"/>
            <w:bottom w:val="none" w:sz="0" w:space="0" w:color="auto"/>
            <w:right w:val="none" w:sz="0" w:space="0" w:color="auto"/>
          </w:divBdr>
        </w:div>
        <w:div w:id="2146845888">
          <w:marLeft w:val="806"/>
          <w:marRight w:val="0"/>
          <w:marTop w:val="200"/>
          <w:marBottom w:val="0"/>
          <w:divBdr>
            <w:top w:val="none" w:sz="0" w:space="0" w:color="auto"/>
            <w:left w:val="none" w:sz="0" w:space="0" w:color="auto"/>
            <w:bottom w:val="none" w:sz="0" w:space="0" w:color="auto"/>
            <w:right w:val="none" w:sz="0" w:space="0" w:color="auto"/>
          </w:divBdr>
        </w:div>
        <w:div w:id="1594631453">
          <w:marLeft w:val="806"/>
          <w:marRight w:val="0"/>
          <w:marTop w:val="200"/>
          <w:marBottom w:val="0"/>
          <w:divBdr>
            <w:top w:val="none" w:sz="0" w:space="0" w:color="auto"/>
            <w:left w:val="none" w:sz="0" w:space="0" w:color="auto"/>
            <w:bottom w:val="none" w:sz="0" w:space="0" w:color="auto"/>
            <w:right w:val="none" w:sz="0" w:space="0" w:color="auto"/>
          </w:divBdr>
        </w:div>
      </w:divsChild>
    </w:div>
    <w:div w:id="1506743893">
      <w:bodyDiv w:val="1"/>
      <w:marLeft w:val="0"/>
      <w:marRight w:val="0"/>
      <w:marTop w:val="0"/>
      <w:marBottom w:val="0"/>
      <w:divBdr>
        <w:top w:val="none" w:sz="0" w:space="0" w:color="auto"/>
        <w:left w:val="none" w:sz="0" w:space="0" w:color="auto"/>
        <w:bottom w:val="none" w:sz="0" w:space="0" w:color="auto"/>
        <w:right w:val="none" w:sz="0" w:space="0" w:color="auto"/>
      </w:divBdr>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542815740">
      <w:bodyDiv w:val="1"/>
      <w:marLeft w:val="0"/>
      <w:marRight w:val="0"/>
      <w:marTop w:val="0"/>
      <w:marBottom w:val="0"/>
      <w:divBdr>
        <w:top w:val="none" w:sz="0" w:space="0" w:color="auto"/>
        <w:left w:val="none" w:sz="0" w:space="0" w:color="auto"/>
        <w:bottom w:val="none" w:sz="0" w:space="0" w:color="auto"/>
        <w:right w:val="none" w:sz="0" w:space="0" w:color="auto"/>
      </w:divBdr>
    </w:div>
    <w:div w:id="1614821845">
      <w:bodyDiv w:val="1"/>
      <w:marLeft w:val="0"/>
      <w:marRight w:val="0"/>
      <w:marTop w:val="0"/>
      <w:marBottom w:val="0"/>
      <w:divBdr>
        <w:top w:val="none" w:sz="0" w:space="0" w:color="auto"/>
        <w:left w:val="none" w:sz="0" w:space="0" w:color="auto"/>
        <w:bottom w:val="none" w:sz="0" w:space="0" w:color="auto"/>
        <w:right w:val="none" w:sz="0" w:space="0" w:color="auto"/>
      </w:divBdr>
    </w:div>
    <w:div w:id="1649555257">
      <w:bodyDiv w:val="1"/>
      <w:marLeft w:val="0"/>
      <w:marRight w:val="0"/>
      <w:marTop w:val="0"/>
      <w:marBottom w:val="0"/>
      <w:divBdr>
        <w:top w:val="none" w:sz="0" w:space="0" w:color="auto"/>
        <w:left w:val="none" w:sz="0" w:space="0" w:color="auto"/>
        <w:bottom w:val="none" w:sz="0" w:space="0" w:color="auto"/>
        <w:right w:val="none" w:sz="0" w:space="0" w:color="auto"/>
      </w:divBdr>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705983787">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44643434">
      <w:bodyDiv w:val="1"/>
      <w:marLeft w:val="0"/>
      <w:marRight w:val="0"/>
      <w:marTop w:val="0"/>
      <w:marBottom w:val="0"/>
      <w:divBdr>
        <w:top w:val="none" w:sz="0" w:space="0" w:color="auto"/>
        <w:left w:val="none" w:sz="0" w:space="0" w:color="auto"/>
        <w:bottom w:val="none" w:sz="0" w:space="0" w:color="auto"/>
        <w:right w:val="none" w:sz="0" w:space="0" w:color="auto"/>
      </w:divBdr>
      <w:divsChild>
        <w:div w:id="540628143">
          <w:marLeft w:val="0"/>
          <w:marRight w:val="0"/>
          <w:marTop w:val="0"/>
          <w:marBottom w:val="0"/>
          <w:divBdr>
            <w:top w:val="none" w:sz="0" w:space="0" w:color="auto"/>
            <w:left w:val="none" w:sz="0" w:space="0" w:color="auto"/>
            <w:bottom w:val="none" w:sz="0" w:space="0" w:color="auto"/>
            <w:right w:val="none" w:sz="0" w:space="0" w:color="auto"/>
          </w:divBdr>
          <w:divsChild>
            <w:div w:id="1805152612">
              <w:marLeft w:val="0"/>
              <w:marRight w:val="0"/>
              <w:marTop w:val="0"/>
              <w:marBottom w:val="0"/>
              <w:divBdr>
                <w:top w:val="none" w:sz="0" w:space="0" w:color="auto"/>
                <w:left w:val="none" w:sz="0" w:space="0" w:color="auto"/>
                <w:bottom w:val="none" w:sz="0" w:space="0" w:color="auto"/>
                <w:right w:val="none" w:sz="0" w:space="0" w:color="auto"/>
              </w:divBdr>
              <w:divsChild>
                <w:div w:id="1808010654">
                  <w:marLeft w:val="0"/>
                  <w:marRight w:val="0"/>
                  <w:marTop w:val="0"/>
                  <w:marBottom w:val="0"/>
                  <w:divBdr>
                    <w:top w:val="none" w:sz="0" w:space="0" w:color="auto"/>
                    <w:left w:val="none" w:sz="0" w:space="0" w:color="auto"/>
                    <w:bottom w:val="none" w:sz="0" w:space="0" w:color="auto"/>
                    <w:right w:val="none" w:sz="0" w:space="0" w:color="auto"/>
                  </w:divBdr>
                  <w:divsChild>
                    <w:div w:id="65761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61830677">
      <w:bodyDiv w:val="1"/>
      <w:marLeft w:val="0"/>
      <w:marRight w:val="0"/>
      <w:marTop w:val="0"/>
      <w:marBottom w:val="0"/>
      <w:divBdr>
        <w:top w:val="none" w:sz="0" w:space="0" w:color="auto"/>
        <w:left w:val="none" w:sz="0" w:space="0" w:color="auto"/>
        <w:bottom w:val="none" w:sz="0" w:space="0" w:color="auto"/>
        <w:right w:val="none" w:sz="0" w:space="0" w:color="auto"/>
      </w:divBdr>
    </w:div>
    <w:div w:id="1765303845">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12285129">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75789725">
      <w:bodyDiv w:val="1"/>
      <w:marLeft w:val="0"/>
      <w:marRight w:val="0"/>
      <w:marTop w:val="0"/>
      <w:marBottom w:val="0"/>
      <w:divBdr>
        <w:top w:val="none" w:sz="0" w:space="0" w:color="auto"/>
        <w:left w:val="none" w:sz="0" w:space="0" w:color="auto"/>
        <w:bottom w:val="none" w:sz="0" w:space="0" w:color="auto"/>
        <w:right w:val="none" w:sz="0" w:space="0" w:color="auto"/>
      </w:divBdr>
    </w:div>
    <w:div w:id="1977105367">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 w:id="2102070365">
      <w:bodyDiv w:val="1"/>
      <w:marLeft w:val="0"/>
      <w:marRight w:val="0"/>
      <w:marTop w:val="0"/>
      <w:marBottom w:val="0"/>
      <w:divBdr>
        <w:top w:val="none" w:sz="0" w:space="0" w:color="auto"/>
        <w:left w:val="none" w:sz="0" w:space="0" w:color="auto"/>
        <w:bottom w:val="none" w:sz="0" w:space="0" w:color="auto"/>
        <w:right w:val="none" w:sz="0" w:space="0" w:color="auto"/>
      </w:divBdr>
      <w:divsChild>
        <w:div w:id="1874153234">
          <w:marLeft w:val="0"/>
          <w:marRight w:val="0"/>
          <w:marTop w:val="0"/>
          <w:marBottom w:val="0"/>
          <w:divBdr>
            <w:top w:val="none" w:sz="0" w:space="0" w:color="auto"/>
            <w:left w:val="none" w:sz="0" w:space="0" w:color="auto"/>
            <w:bottom w:val="none" w:sz="0" w:space="0" w:color="auto"/>
            <w:right w:val="none" w:sz="0" w:space="0" w:color="auto"/>
          </w:divBdr>
          <w:divsChild>
            <w:div w:id="1596402707">
              <w:marLeft w:val="0"/>
              <w:marRight w:val="0"/>
              <w:marTop w:val="0"/>
              <w:marBottom w:val="0"/>
              <w:divBdr>
                <w:top w:val="none" w:sz="0" w:space="0" w:color="auto"/>
                <w:left w:val="none" w:sz="0" w:space="0" w:color="auto"/>
                <w:bottom w:val="none" w:sz="0" w:space="0" w:color="auto"/>
                <w:right w:val="none" w:sz="0" w:space="0" w:color="auto"/>
              </w:divBdr>
              <w:divsChild>
                <w:div w:id="1698966880">
                  <w:marLeft w:val="0"/>
                  <w:marRight w:val="0"/>
                  <w:marTop w:val="0"/>
                  <w:marBottom w:val="0"/>
                  <w:divBdr>
                    <w:top w:val="none" w:sz="0" w:space="0" w:color="auto"/>
                    <w:left w:val="none" w:sz="0" w:space="0" w:color="auto"/>
                    <w:bottom w:val="none" w:sz="0" w:space="0" w:color="auto"/>
                    <w:right w:val="none" w:sz="0" w:space="0" w:color="auto"/>
                  </w:divBdr>
                  <w:divsChild>
                    <w:div w:id="166234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379196">
      <w:bodyDiv w:val="1"/>
      <w:marLeft w:val="0"/>
      <w:marRight w:val="0"/>
      <w:marTop w:val="0"/>
      <w:marBottom w:val="0"/>
      <w:divBdr>
        <w:top w:val="none" w:sz="0" w:space="0" w:color="auto"/>
        <w:left w:val="none" w:sz="0" w:space="0" w:color="auto"/>
        <w:bottom w:val="none" w:sz="0" w:space="0" w:color="auto"/>
        <w:right w:val="none" w:sz="0" w:space="0" w:color="auto"/>
      </w:divBdr>
    </w:div>
    <w:div w:id="2111655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http://www.tkt-vivax.de" TargetMode="External"/><Relationship Id="rId3" Type="http://schemas.openxmlformats.org/officeDocument/2006/relationships/settings" Target="settings.xml"/><Relationship Id="rId7" Type="http://schemas.openxmlformats.org/officeDocument/2006/relationships/hyperlink" Target="mailto:d.fieml@tkt-vivax.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470</Words>
  <Characters>2968</Characters>
  <Application>Microsoft Office Word</Application>
  <DocSecurity>0</DocSecurity>
  <Lines>24</Lines>
  <Paragraphs>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3</cp:revision>
  <cp:lastPrinted>2022-06-03T06:41:00Z</cp:lastPrinted>
  <dcterms:created xsi:type="dcterms:W3CDTF">2024-09-24T11:13:00Z</dcterms:created>
  <dcterms:modified xsi:type="dcterms:W3CDTF">2024-09-24T11:13:00Z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