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2F05F78" w14:textId="5112695D" w:rsidR="005D3D1E" w:rsidRPr="00C7415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Pr="000655B7">
        <w:rPr>
          <w:rFonts w:ascii="Arial" w:hAnsi="Arial" w:cs="Arial"/>
          <w:color w:val="000000"/>
        </w:rPr>
        <w:t xml:space="preserve">, </w:t>
      </w:r>
      <w:r w:rsidR="00715711">
        <w:rPr>
          <w:rFonts w:ascii="Arial" w:hAnsi="Arial" w:cs="Arial"/>
          <w:color w:val="000000"/>
        </w:rPr>
        <w:t>20</w:t>
      </w:r>
      <w:r w:rsidRPr="000655B7">
        <w:rPr>
          <w:rFonts w:ascii="Arial" w:hAnsi="Arial" w:cs="Arial"/>
          <w:color w:val="000000"/>
        </w:rPr>
        <w:t xml:space="preserve">. </w:t>
      </w:r>
      <w:r w:rsidR="00715711" w:rsidRPr="00C74157">
        <w:rPr>
          <w:rFonts w:ascii="Arial" w:hAnsi="Arial" w:cs="Arial"/>
          <w:color w:val="000000"/>
        </w:rPr>
        <w:t>Nove</w:t>
      </w:r>
      <w:r w:rsidR="00CC4D60" w:rsidRPr="00C74157">
        <w:rPr>
          <w:rFonts w:ascii="Arial" w:hAnsi="Arial" w:cs="Arial"/>
          <w:color w:val="000000"/>
        </w:rPr>
        <w:t>mber</w:t>
      </w:r>
      <w:r w:rsidRPr="00C74157">
        <w:rPr>
          <w:rFonts w:ascii="Arial" w:hAnsi="Arial" w:cs="Arial"/>
          <w:color w:val="000000"/>
        </w:rPr>
        <w:t xml:space="preserve"> 201</w:t>
      </w:r>
      <w:r w:rsidR="00131142" w:rsidRPr="00C74157">
        <w:rPr>
          <w:rFonts w:ascii="Arial" w:hAnsi="Arial" w:cs="Arial"/>
          <w:color w:val="000000"/>
        </w:rPr>
        <w:t>9</w:t>
      </w:r>
    </w:p>
    <w:p w14:paraId="3A8B5942" w14:textId="77777777" w:rsidR="005D3D1E" w:rsidRPr="00C7415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EEC0A94" w14:textId="77777777" w:rsidR="005D3D1E" w:rsidRPr="00C74157" w:rsidRDefault="005D3D1E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105E7BD4" w14:textId="09296C52" w:rsidR="005D3D1E" w:rsidRPr="00715711" w:rsidRDefault="00715711" w:rsidP="003A6602">
      <w:pPr>
        <w:autoSpaceDE w:val="0"/>
        <w:autoSpaceDN w:val="0"/>
        <w:adjustRightInd w:val="0"/>
        <w:spacing w:after="0" w:line="360" w:lineRule="auto"/>
        <w:ind w:right="-2268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Vivax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Analytics: Volle Transparenz bei den </w:t>
      </w:r>
      <w:r w:rsidRPr="00715711">
        <w:rPr>
          <w:rFonts w:ascii="Arial" w:hAnsi="Arial" w:cs="Arial"/>
          <w:b/>
          <w:color w:val="000000"/>
          <w:sz w:val="28"/>
          <w:szCs w:val="28"/>
        </w:rPr>
        <w:t>IT- und Prozesskosten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</w:p>
    <w:bookmarkEnd w:id="0"/>
    <w:bookmarkEnd w:id="1"/>
    <w:p w14:paraId="5ED81553" w14:textId="38DB63E9" w:rsidR="00006AC0" w:rsidRDefault="00715711" w:rsidP="00AB23C8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  <w:proofErr w:type="spellStart"/>
      <w:r>
        <w:rPr>
          <w:rFonts w:ascii="Arial" w:hAnsi="Arial" w:cs="Tahoma"/>
          <w:b/>
          <w:sz w:val="20"/>
          <w:szCs w:val="20"/>
        </w:rPr>
        <w:t>Vivax</w:t>
      </w:r>
      <w:proofErr w:type="spellEnd"/>
      <w:r>
        <w:rPr>
          <w:rFonts w:ascii="Arial" w:hAnsi="Arial" w:cs="Tahoma"/>
          <w:b/>
          <w:sz w:val="20"/>
          <w:szCs w:val="20"/>
        </w:rPr>
        <w:t xml:space="preserve"> PROCO</w:t>
      </w:r>
      <w:r w:rsidR="00AB23C8">
        <w:rPr>
          <w:rFonts w:ascii="Arial" w:hAnsi="Arial" w:cs="Tahoma"/>
          <w:b/>
          <w:sz w:val="20"/>
          <w:szCs w:val="20"/>
        </w:rPr>
        <w:t xml:space="preserve"> 2.1</w:t>
      </w:r>
      <w:r>
        <w:rPr>
          <w:rFonts w:ascii="Arial" w:hAnsi="Arial" w:cs="Tahoma"/>
          <w:b/>
          <w:sz w:val="20"/>
          <w:szCs w:val="20"/>
        </w:rPr>
        <w:t xml:space="preserve"> und </w:t>
      </w:r>
      <w:proofErr w:type="spellStart"/>
      <w:r>
        <w:rPr>
          <w:rFonts w:ascii="Arial" w:hAnsi="Arial" w:cs="Tahoma"/>
          <w:b/>
          <w:sz w:val="20"/>
          <w:szCs w:val="20"/>
        </w:rPr>
        <w:t>Vivax</w:t>
      </w:r>
      <w:proofErr w:type="spellEnd"/>
      <w:r>
        <w:rPr>
          <w:rFonts w:ascii="Arial" w:hAnsi="Arial" w:cs="Tahoma"/>
          <w:b/>
          <w:sz w:val="20"/>
          <w:szCs w:val="20"/>
        </w:rPr>
        <w:t xml:space="preserve"> ITA </w:t>
      </w:r>
      <w:r w:rsidR="00AB23C8">
        <w:rPr>
          <w:rFonts w:ascii="Arial" w:hAnsi="Arial" w:cs="Tahoma"/>
          <w:b/>
          <w:sz w:val="20"/>
          <w:szCs w:val="20"/>
        </w:rPr>
        <w:t>liefern Basis für Optimierung der Unternehmensorganisation</w:t>
      </w:r>
    </w:p>
    <w:p w14:paraId="5394B1BE" w14:textId="0A73A689" w:rsidR="006A652B" w:rsidRDefault="006A652B" w:rsidP="00AB23C8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099B379C" w14:textId="5F088C21" w:rsidR="00006AC0" w:rsidRPr="00715711" w:rsidRDefault="006A652B" w:rsidP="003A6602">
      <w:pPr>
        <w:spacing w:line="360" w:lineRule="auto"/>
        <w:rPr>
          <w:rFonts w:ascii="Arial" w:hAnsi="Arial" w:cs="Tahoma"/>
          <w:b/>
          <w:bCs/>
          <w:sz w:val="20"/>
          <w:szCs w:val="20"/>
        </w:rPr>
      </w:pPr>
      <w:bookmarkStart w:id="2" w:name="_GoBack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Die wenigsten Versorgungsunternehmen wissen, welche Prozesse mit welchen Kosten verbunden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 xml:space="preserve">sind 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 xml:space="preserve">und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wo genau wie viele Kapazitäten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benötigt werden</w:t>
      </w:r>
      <w:r>
        <w:rPr>
          <w:rFonts w:ascii="Arial" w:hAnsi="Arial" w:cs="Arial"/>
          <w:b/>
          <w:bCs/>
          <w:color w:val="000000"/>
          <w:sz w:val="20"/>
          <w:szCs w:val="20"/>
        </w:rPr>
        <w:t>. Dazu kommt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 xml:space="preserve"> oftmals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eine Vielzahl von installierten Software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systemen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bei denen nicht immer bekannt ist, wer sie tatsächlich einsetzt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und wie sie in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die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Prozes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>ss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truktur eingebunden 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>sind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. Mit dem neuen Anwendungspaket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Analytics sorgt der Digitalisierungsexperte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 xml:space="preserve">hier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jetzt für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 xml:space="preserve">volle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Transparenz.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PROCO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 xml:space="preserve"> 2.1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das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>Softwaresystem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für die Prozesskostenanalyse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proofErr w:type="gramStart"/>
      <w:r w:rsidR="004112BE">
        <w:rPr>
          <w:rFonts w:ascii="Arial" w:hAnsi="Arial" w:cs="Arial"/>
          <w:b/>
          <w:bCs/>
          <w:color w:val="000000"/>
          <w:sz w:val="20"/>
          <w:szCs w:val="20"/>
        </w:rPr>
        <w:t>er</w:t>
      </w:r>
      <w:r>
        <w:rPr>
          <w:rFonts w:ascii="Arial" w:hAnsi="Arial" w:cs="Arial"/>
          <w:b/>
          <w:bCs/>
          <w:color w:val="000000"/>
          <w:sz w:val="20"/>
          <w:szCs w:val="20"/>
        </w:rPr>
        <w:t>möglich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t es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, sämtliche Unternehmensprozesse aus Orga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isations-, Kosten- und Kapazitätssicht zu bewerten. Die Grundlage dafür ist ein Prozessmodell, in dem 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bereits </w:t>
      </w:r>
      <w:r w:rsidR="004638B5">
        <w:rPr>
          <w:rFonts w:ascii="Arial" w:hAnsi="Arial" w:cs="Arial"/>
          <w:b/>
          <w:bCs/>
          <w:color w:val="000000"/>
          <w:sz w:val="20"/>
          <w:szCs w:val="20"/>
        </w:rPr>
        <w:t>rund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4638B5">
        <w:rPr>
          <w:rFonts w:ascii="Arial" w:hAnsi="Arial" w:cs="Arial"/>
          <w:b/>
          <w:bCs/>
          <w:color w:val="000000"/>
          <w:sz w:val="20"/>
          <w:szCs w:val="20"/>
        </w:rPr>
        <w:t>6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>00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versorgungstypische 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>Geschäftsp</w:t>
      </w:r>
      <w:r>
        <w:rPr>
          <w:rFonts w:ascii="Arial" w:hAnsi="Arial" w:cs="Arial"/>
          <w:b/>
          <w:bCs/>
          <w:color w:val="000000"/>
          <w:sz w:val="20"/>
          <w:szCs w:val="20"/>
        </w:rPr>
        <w:t>rozesse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 mit </w:t>
      </w:r>
      <w:r w:rsidR="004638B5">
        <w:rPr>
          <w:rFonts w:ascii="Arial" w:hAnsi="Arial" w:cs="Arial"/>
          <w:b/>
          <w:bCs/>
          <w:color w:val="000000"/>
          <w:sz w:val="20"/>
          <w:szCs w:val="20"/>
        </w:rPr>
        <w:t>etwa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>6</w:t>
      </w:r>
      <w:r>
        <w:rPr>
          <w:rFonts w:ascii="Arial" w:hAnsi="Arial" w:cs="Arial"/>
          <w:b/>
          <w:bCs/>
          <w:color w:val="000000"/>
          <w:sz w:val="20"/>
          <w:szCs w:val="20"/>
        </w:rPr>
        <w:t>.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>0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00 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zugeordneten </w:t>
      </w:r>
      <w:r>
        <w:rPr>
          <w:rFonts w:ascii="Arial" w:hAnsi="Arial" w:cs="Arial"/>
          <w:b/>
          <w:bCs/>
          <w:color w:val="000000"/>
          <w:sz w:val="20"/>
          <w:szCs w:val="20"/>
        </w:rPr>
        <w:t>Tätigkeiten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065961">
        <w:rPr>
          <w:rFonts w:ascii="Arial" w:hAnsi="Arial" w:cs="Arial"/>
          <w:b/>
          <w:bCs/>
          <w:color w:val="000000"/>
          <w:sz w:val="20"/>
          <w:szCs w:val="20"/>
        </w:rPr>
        <w:t xml:space="preserve">je </w:t>
      </w:r>
      <w:r w:rsidR="004638B5">
        <w:rPr>
          <w:rFonts w:ascii="Arial" w:hAnsi="Arial" w:cs="Arial"/>
          <w:b/>
          <w:bCs/>
          <w:color w:val="000000"/>
          <w:sz w:val="20"/>
          <w:szCs w:val="20"/>
        </w:rPr>
        <w:t xml:space="preserve">Sparte </w:t>
      </w:r>
      <w:r w:rsidR="00065961">
        <w:rPr>
          <w:rFonts w:ascii="Arial" w:hAnsi="Arial" w:cs="Arial"/>
          <w:b/>
          <w:bCs/>
          <w:color w:val="000000"/>
          <w:sz w:val="20"/>
          <w:szCs w:val="20"/>
        </w:rPr>
        <w:t xml:space="preserve">und Bereich 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>hinterlegt sind</w:t>
      </w:r>
      <w:r w:rsidR="00065961">
        <w:rPr>
          <w:rFonts w:ascii="Arial" w:hAnsi="Arial" w:cs="Arial"/>
          <w:b/>
          <w:bCs/>
          <w:color w:val="000000"/>
          <w:sz w:val="20"/>
          <w:szCs w:val="20"/>
        </w:rPr>
        <w:t xml:space="preserve">. Dazu gehören </w:t>
      </w:r>
      <w:r w:rsidR="00065961" w:rsidRPr="00065961">
        <w:rPr>
          <w:rFonts w:ascii="Arial" w:hAnsi="Arial" w:cs="Arial"/>
          <w:b/>
          <w:bCs/>
          <w:color w:val="000000"/>
          <w:sz w:val="20"/>
          <w:szCs w:val="20"/>
        </w:rPr>
        <w:t>Strom, Gas, Wasser, Abwasser, Freizeiteinrichtungen, Telekommunikation, Parkierung, Photovoltaik, Straßenbeleuchtung, Wärme, ÖPNV und Dienstleistungen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Ü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ber einen Buchungsimport 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können diesen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 Prozessen die mit ihnen verbundenen Kosten zu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ge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>ordne</w:t>
      </w:r>
      <w:r w:rsidR="004112BE">
        <w:rPr>
          <w:rFonts w:ascii="Arial" w:hAnsi="Arial" w:cs="Arial"/>
          <w:b/>
          <w:bCs/>
          <w:color w:val="000000"/>
          <w:sz w:val="20"/>
          <w:szCs w:val="20"/>
        </w:rPr>
        <w:t>t werden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. Auf diese Weise erhält das Unternehmen eine genaue 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 xml:space="preserve">Landkarte der 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Prozesskosten. Diese kann durch eine softwaregestützte Tätigkeitsanalyse weiter 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>verfeinert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 werden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>, bei der die einzelnen Mitarbeiter</w:t>
      </w:r>
      <w:r w:rsidR="00F36DE3">
        <w:rPr>
          <w:rFonts w:ascii="Arial" w:hAnsi="Arial" w:cs="Arial"/>
          <w:b/>
          <w:bCs/>
          <w:color w:val="000000"/>
          <w:sz w:val="20"/>
          <w:szCs w:val="20"/>
        </w:rPr>
        <w:t xml:space="preserve"> auf 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>Sparten</w:t>
      </w:r>
      <w:r w:rsidR="00F36DE3">
        <w:rPr>
          <w:rFonts w:ascii="Arial" w:hAnsi="Arial" w:cs="Arial"/>
          <w:b/>
          <w:bCs/>
          <w:color w:val="000000"/>
          <w:sz w:val="20"/>
          <w:szCs w:val="20"/>
        </w:rPr>
        <w:t>-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="00F36DE3">
        <w:rPr>
          <w:rFonts w:ascii="Arial" w:hAnsi="Arial" w:cs="Arial"/>
          <w:b/>
          <w:bCs/>
          <w:color w:val="000000"/>
          <w:sz w:val="20"/>
          <w:szCs w:val="20"/>
        </w:rPr>
        <w:t xml:space="preserve">und 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>Aufgaben</w:t>
      </w:r>
      <w:r w:rsidR="00F36DE3">
        <w:rPr>
          <w:rFonts w:ascii="Arial" w:hAnsi="Arial" w:cs="Arial"/>
          <w:b/>
          <w:bCs/>
          <w:color w:val="000000"/>
          <w:sz w:val="20"/>
          <w:szCs w:val="20"/>
        </w:rPr>
        <w:t>ebene erfassen, wie</w:t>
      </w:r>
      <w:r w:rsidR="001F293E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F36DE3">
        <w:rPr>
          <w:rFonts w:ascii="Arial" w:hAnsi="Arial" w:cs="Arial"/>
          <w:b/>
          <w:bCs/>
          <w:color w:val="000000"/>
          <w:sz w:val="20"/>
          <w:szCs w:val="20"/>
        </w:rPr>
        <w:t>viel Zeit sie für die einzelnen Tätigkeiten aufwenden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. Über das </w:t>
      </w:r>
      <w:r w:rsidR="00C74157">
        <w:rPr>
          <w:rFonts w:ascii="Arial" w:hAnsi="Arial" w:cs="Arial"/>
          <w:b/>
          <w:bCs/>
          <w:color w:val="000000"/>
          <w:sz w:val="20"/>
          <w:szCs w:val="20"/>
        </w:rPr>
        <w:t>M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odul </w:t>
      </w:r>
      <w:proofErr w:type="spellStart"/>
      <w:r w:rsidR="00A8365C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 ITA können die Mitarbeiter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 xml:space="preserve"> dabei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650109">
        <w:rPr>
          <w:rFonts w:ascii="Arial" w:hAnsi="Arial" w:cs="Arial"/>
          <w:b/>
          <w:bCs/>
          <w:color w:val="000000"/>
          <w:sz w:val="20"/>
          <w:szCs w:val="20"/>
        </w:rPr>
        <w:t>parallel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F36DE3">
        <w:rPr>
          <w:rFonts w:ascii="Arial" w:hAnsi="Arial" w:cs="Arial"/>
          <w:b/>
          <w:bCs/>
          <w:color w:val="000000"/>
          <w:sz w:val="20"/>
          <w:szCs w:val="20"/>
        </w:rPr>
        <w:t>angeben</w:t>
      </w:r>
      <w:r w:rsidR="00A8365C">
        <w:rPr>
          <w:rFonts w:ascii="Arial" w:hAnsi="Arial" w:cs="Arial"/>
          <w:b/>
          <w:bCs/>
          <w:color w:val="000000"/>
          <w:sz w:val="20"/>
          <w:szCs w:val="20"/>
        </w:rPr>
        <w:t>, welche IT-Werkzeuge für welchen Arbeitsschritt genutzt werden</w:t>
      </w:r>
      <w:r w:rsidR="00F36DE3">
        <w:rPr>
          <w:rFonts w:ascii="Arial" w:hAnsi="Arial" w:cs="Arial"/>
          <w:b/>
          <w:bCs/>
          <w:color w:val="000000"/>
          <w:sz w:val="20"/>
          <w:szCs w:val="20"/>
        </w:rPr>
        <w:t xml:space="preserve"> – Informationen, die für eine durchgängige Digitalisierung und Optimierung der IT-Infrastruktur unverzichtbar sind.</w:t>
      </w:r>
    </w:p>
    <w:p w14:paraId="46443953" w14:textId="3B2773CD" w:rsidR="00F36DE3" w:rsidRDefault="00650109" w:rsidP="00065961">
      <w:pPr>
        <w:spacing w:line="360" w:lineRule="auto"/>
        <w:rPr>
          <w:rFonts w:ascii="Arial" w:hAnsi="Arial" w:cs="Tahoma"/>
          <w:sz w:val="20"/>
          <w:szCs w:val="20"/>
        </w:rPr>
      </w:pPr>
      <w:r w:rsidRPr="00650109">
        <w:rPr>
          <w:rFonts w:ascii="Arial" w:hAnsi="Arial" w:cs="Tahoma"/>
          <w:sz w:val="20"/>
          <w:szCs w:val="20"/>
        </w:rPr>
        <w:t xml:space="preserve">Durch die softwarebasierte Prozesskostenanalyse </w:t>
      </w:r>
      <w:r>
        <w:rPr>
          <w:rFonts w:ascii="Arial" w:hAnsi="Arial" w:cs="Tahoma"/>
          <w:sz w:val="20"/>
          <w:szCs w:val="20"/>
        </w:rPr>
        <w:t xml:space="preserve">mit </w:t>
      </w:r>
      <w:proofErr w:type="spellStart"/>
      <w:r>
        <w:rPr>
          <w:rFonts w:ascii="Arial" w:hAnsi="Arial" w:cs="Tahoma"/>
          <w:sz w:val="20"/>
          <w:szCs w:val="20"/>
        </w:rPr>
        <w:t>Vivax</w:t>
      </w:r>
      <w:proofErr w:type="spellEnd"/>
      <w:r>
        <w:rPr>
          <w:rFonts w:ascii="Arial" w:hAnsi="Arial" w:cs="Tahoma"/>
          <w:sz w:val="20"/>
          <w:szCs w:val="20"/>
        </w:rPr>
        <w:t xml:space="preserve"> PROCO</w:t>
      </w:r>
      <w:r w:rsidRPr="00650109">
        <w:rPr>
          <w:rFonts w:ascii="Arial" w:hAnsi="Arial" w:cs="Tahoma"/>
          <w:sz w:val="20"/>
          <w:szCs w:val="20"/>
        </w:rPr>
        <w:t xml:space="preserve"> </w:t>
      </w:r>
      <w:r w:rsidR="00132DC4">
        <w:rPr>
          <w:rFonts w:ascii="Arial" w:hAnsi="Arial" w:cs="Tahoma"/>
          <w:sz w:val="20"/>
          <w:szCs w:val="20"/>
        </w:rPr>
        <w:t xml:space="preserve">2.1 </w:t>
      </w:r>
      <w:r w:rsidR="004638B5">
        <w:rPr>
          <w:rFonts w:ascii="Arial" w:hAnsi="Arial" w:cs="Tahoma"/>
          <w:sz w:val="20"/>
          <w:szCs w:val="20"/>
        </w:rPr>
        <w:t xml:space="preserve">und ITA </w:t>
      </w:r>
      <w:r w:rsidRPr="00650109">
        <w:rPr>
          <w:rFonts w:ascii="Arial" w:hAnsi="Arial" w:cs="Tahoma"/>
          <w:sz w:val="20"/>
          <w:szCs w:val="20"/>
        </w:rPr>
        <w:t xml:space="preserve">sind Versorgungsunternehmen in der Lage, die Effekte von Optimierungsmaßnahmen sofort zu überprüfen und gegebenenfalls </w:t>
      </w:r>
      <w:proofErr w:type="spellStart"/>
      <w:r w:rsidRPr="00650109">
        <w:rPr>
          <w:rFonts w:ascii="Arial" w:hAnsi="Arial" w:cs="Tahoma"/>
          <w:sz w:val="20"/>
          <w:szCs w:val="20"/>
        </w:rPr>
        <w:t>nachzujustieren</w:t>
      </w:r>
      <w:proofErr w:type="spellEnd"/>
      <w:r w:rsidRPr="00650109">
        <w:rPr>
          <w:rFonts w:ascii="Arial" w:hAnsi="Arial" w:cs="Tahoma"/>
          <w:sz w:val="20"/>
          <w:szCs w:val="20"/>
        </w:rPr>
        <w:t xml:space="preserve">. Denn sie können die Erfassung der Daten jederzeit eigenständig wiederholen und </w:t>
      </w:r>
      <w:r w:rsidR="00F36DE3">
        <w:rPr>
          <w:rFonts w:ascii="Arial" w:hAnsi="Arial" w:cs="Tahoma"/>
          <w:sz w:val="20"/>
          <w:szCs w:val="20"/>
        </w:rPr>
        <w:t xml:space="preserve">so </w:t>
      </w:r>
      <w:r w:rsidR="00F36DE3">
        <w:rPr>
          <w:rFonts w:ascii="Arial" w:hAnsi="Arial" w:cs="Tahoma"/>
          <w:sz w:val="20"/>
          <w:szCs w:val="20"/>
        </w:rPr>
        <w:lastRenderedPageBreak/>
        <w:t xml:space="preserve">die </w:t>
      </w:r>
      <w:r w:rsidR="00F36DE3" w:rsidRPr="00F36DE3">
        <w:rPr>
          <w:rFonts w:ascii="Arial" w:hAnsi="Arial" w:cs="Tahoma"/>
          <w:sz w:val="20"/>
          <w:szCs w:val="20"/>
        </w:rPr>
        <w:t>Prozesskosten auf Tätigkeits-, Prozess- oder Bereichsebene</w:t>
      </w:r>
      <w:r w:rsidR="00C74157">
        <w:rPr>
          <w:rFonts w:ascii="Arial" w:hAnsi="Arial" w:cs="Tahoma"/>
          <w:sz w:val="20"/>
          <w:szCs w:val="20"/>
        </w:rPr>
        <w:t xml:space="preserve"> regelmäßig</w:t>
      </w:r>
      <w:r w:rsidR="00F36DE3">
        <w:rPr>
          <w:rFonts w:ascii="Arial" w:hAnsi="Arial" w:cs="Tahoma"/>
          <w:sz w:val="20"/>
          <w:szCs w:val="20"/>
        </w:rPr>
        <w:t xml:space="preserve"> auswerten</w:t>
      </w:r>
      <w:r w:rsidRPr="00650109">
        <w:rPr>
          <w:rFonts w:ascii="Arial" w:hAnsi="Arial" w:cs="Tahoma"/>
          <w:sz w:val="20"/>
          <w:szCs w:val="20"/>
        </w:rPr>
        <w:t xml:space="preserve">. Mithilfe des </w:t>
      </w:r>
      <w:proofErr w:type="spellStart"/>
      <w:r w:rsidRPr="00650109">
        <w:rPr>
          <w:rFonts w:ascii="Arial" w:hAnsi="Arial" w:cs="Tahoma"/>
          <w:sz w:val="20"/>
          <w:szCs w:val="20"/>
        </w:rPr>
        <w:t>Vivax</w:t>
      </w:r>
      <w:proofErr w:type="spellEnd"/>
      <w:r w:rsidRPr="00650109">
        <w:rPr>
          <w:rFonts w:ascii="Arial" w:hAnsi="Arial" w:cs="Tahoma"/>
          <w:sz w:val="20"/>
          <w:szCs w:val="20"/>
        </w:rPr>
        <w:t xml:space="preserve">-Prozessmodells ist es </w:t>
      </w:r>
      <w:r w:rsidR="00F36DE3">
        <w:rPr>
          <w:rFonts w:ascii="Arial" w:hAnsi="Arial" w:cs="Tahoma"/>
          <w:sz w:val="20"/>
          <w:szCs w:val="20"/>
        </w:rPr>
        <w:t>so</w:t>
      </w:r>
      <w:r w:rsidRPr="00650109">
        <w:rPr>
          <w:rFonts w:ascii="Arial" w:hAnsi="Arial" w:cs="Tahoma"/>
          <w:sz w:val="20"/>
          <w:szCs w:val="20"/>
        </w:rPr>
        <w:t xml:space="preserve"> möglich, einen kontinuierlichen Verbesserungsprozess aufzusetzen und so die Wettbewerbsfähigkeit immer weiter zu steigern</w:t>
      </w:r>
      <w:r w:rsidR="00F36DE3">
        <w:rPr>
          <w:rFonts w:ascii="Arial" w:hAnsi="Arial" w:cs="Tahoma"/>
          <w:sz w:val="20"/>
          <w:szCs w:val="20"/>
        </w:rPr>
        <w:t xml:space="preserve"> </w:t>
      </w:r>
      <w:r w:rsidR="001F293E">
        <w:rPr>
          <w:rFonts w:ascii="Arial" w:hAnsi="Arial" w:cs="Tahoma"/>
          <w:sz w:val="20"/>
          <w:szCs w:val="20"/>
        </w:rPr>
        <w:t>–</w:t>
      </w:r>
      <w:r w:rsidR="00F36DE3">
        <w:rPr>
          <w:rFonts w:ascii="Arial" w:hAnsi="Arial" w:cs="Tahoma"/>
          <w:sz w:val="20"/>
          <w:szCs w:val="20"/>
        </w:rPr>
        <w:t xml:space="preserve"> </w:t>
      </w:r>
      <w:r w:rsidR="00F36DE3" w:rsidRPr="00F36DE3">
        <w:rPr>
          <w:rFonts w:ascii="Arial" w:hAnsi="Arial" w:cs="Tahoma"/>
          <w:sz w:val="20"/>
          <w:szCs w:val="20"/>
        </w:rPr>
        <w:t xml:space="preserve">und dies für alle Sparten wie </w:t>
      </w:r>
      <w:r w:rsidR="00065961" w:rsidRPr="00065961">
        <w:rPr>
          <w:rFonts w:ascii="Arial" w:hAnsi="Arial" w:cs="Tahoma"/>
          <w:sz w:val="20"/>
          <w:szCs w:val="20"/>
        </w:rPr>
        <w:t>Strom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Gas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Wasser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Abwasser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Freizeiteinrichtungen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Telekommunikation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Parkierung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Photovoltaik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Straßenbeleuchtung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Wärme</w:t>
      </w:r>
      <w:r w:rsidR="00065961">
        <w:rPr>
          <w:rFonts w:ascii="Arial" w:hAnsi="Arial" w:cs="Tahoma"/>
          <w:sz w:val="20"/>
          <w:szCs w:val="20"/>
        </w:rPr>
        <w:t xml:space="preserve">, </w:t>
      </w:r>
      <w:r w:rsidR="00065961" w:rsidRPr="00065961">
        <w:rPr>
          <w:rFonts w:ascii="Arial" w:hAnsi="Arial" w:cs="Tahoma"/>
          <w:sz w:val="20"/>
          <w:szCs w:val="20"/>
        </w:rPr>
        <w:t>ÖPNV</w:t>
      </w:r>
      <w:r w:rsidR="00065961">
        <w:rPr>
          <w:rFonts w:ascii="Arial" w:hAnsi="Arial" w:cs="Tahoma"/>
          <w:sz w:val="20"/>
          <w:szCs w:val="20"/>
        </w:rPr>
        <w:t xml:space="preserve"> und Dienstleistungen.</w:t>
      </w:r>
    </w:p>
    <w:p w14:paraId="4403B1C6" w14:textId="08B8F07B" w:rsidR="00F36DE3" w:rsidRDefault="00F36DE3" w:rsidP="00650109">
      <w:pPr>
        <w:spacing w:line="360" w:lineRule="auto"/>
        <w:rPr>
          <w:rFonts w:ascii="Arial" w:hAnsi="Arial" w:cs="Tahoma"/>
          <w:sz w:val="20"/>
          <w:szCs w:val="20"/>
        </w:rPr>
      </w:pPr>
      <w:r w:rsidRPr="00F36DE3">
        <w:rPr>
          <w:rFonts w:ascii="Arial" w:hAnsi="Arial" w:cs="Tahoma"/>
          <w:sz w:val="20"/>
          <w:szCs w:val="20"/>
        </w:rPr>
        <w:t xml:space="preserve">Die Erfassung der Tätigkeiten erfolgt </w:t>
      </w:r>
      <w:r>
        <w:rPr>
          <w:rFonts w:ascii="Arial" w:hAnsi="Arial" w:cs="Tahoma"/>
          <w:sz w:val="20"/>
          <w:szCs w:val="20"/>
        </w:rPr>
        <w:t>softwareunterstützt</w:t>
      </w:r>
      <w:r w:rsidRPr="00F36DE3">
        <w:rPr>
          <w:rFonts w:ascii="Arial" w:hAnsi="Arial" w:cs="Tahoma"/>
          <w:sz w:val="20"/>
          <w:szCs w:val="20"/>
        </w:rPr>
        <w:t xml:space="preserve"> durch die Mitarbeiter selbst. Auf diese Weise kann die erforderliche Datenbasis ohne großen Zusatzaufwand innerhalb von </w:t>
      </w:r>
      <w:r w:rsidR="003B1A9C">
        <w:rPr>
          <w:rFonts w:ascii="Arial" w:hAnsi="Arial" w:cs="Tahoma"/>
          <w:sz w:val="20"/>
          <w:szCs w:val="20"/>
        </w:rPr>
        <w:t xml:space="preserve">kurzer Zeit </w:t>
      </w:r>
      <w:r w:rsidRPr="00F36DE3">
        <w:rPr>
          <w:rFonts w:ascii="Arial" w:hAnsi="Arial" w:cs="Tahoma"/>
          <w:sz w:val="20"/>
          <w:szCs w:val="20"/>
        </w:rPr>
        <w:t>aufgebaut werden. Die dazugehörigen Kosteninformationen werden aus den betriebswirtschaftlichen Anwendungen übernommen.</w:t>
      </w:r>
    </w:p>
    <w:p w14:paraId="52441EC3" w14:textId="108C263F" w:rsidR="00650109" w:rsidRPr="00650109" w:rsidRDefault="00650109" w:rsidP="00650109">
      <w:pPr>
        <w:spacing w:line="360" w:lineRule="auto"/>
        <w:rPr>
          <w:rFonts w:ascii="Arial" w:hAnsi="Arial" w:cs="Tahoma"/>
          <w:sz w:val="20"/>
          <w:szCs w:val="20"/>
        </w:rPr>
      </w:pPr>
      <w:proofErr w:type="spellStart"/>
      <w:r>
        <w:rPr>
          <w:rFonts w:ascii="Arial" w:hAnsi="Arial" w:cs="Tahoma"/>
          <w:sz w:val="20"/>
          <w:szCs w:val="20"/>
        </w:rPr>
        <w:t>Vivax</w:t>
      </w:r>
      <w:proofErr w:type="spellEnd"/>
      <w:r>
        <w:rPr>
          <w:rFonts w:ascii="Arial" w:hAnsi="Arial" w:cs="Tahoma"/>
          <w:sz w:val="20"/>
          <w:szCs w:val="20"/>
        </w:rPr>
        <w:t xml:space="preserve"> Analytics wird sowohl „on-premise“ </w:t>
      </w:r>
      <w:r w:rsidR="003B1A9C">
        <w:rPr>
          <w:rFonts w:ascii="Arial" w:hAnsi="Arial" w:cs="Tahoma"/>
          <w:sz w:val="20"/>
          <w:szCs w:val="20"/>
        </w:rPr>
        <w:t xml:space="preserve">wie auch als Cloud-Anwendung </w:t>
      </w:r>
      <w:r>
        <w:rPr>
          <w:rFonts w:ascii="Arial" w:hAnsi="Arial" w:cs="Tahoma"/>
          <w:sz w:val="20"/>
          <w:szCs w:val="20"/>
        </w:rPr>
        <w:t xml:space="preserve">angeboten. Die cloudbasierte Version </w:t>
      </w:r>
      <w:r w:rsidR="003B1A9C" w:rsidRPr="003B1A9C">
        <w:rPr>
          <w:rFonts w:ascii="Arial" w:hAnsi="Arial" w:cs="Tahoma"/>
          <w:sz w:val="20"/>
          <w:szCs w:val="20"/>
        </w:rPr>
        <w:t xml:space="preserve">liefert </w:t>
      </w:r>
      <w:r w:rsidR="00C74157">
        <w:rPr>
          <w:rFonts w:ascii="Arial" w:hAnsi="Arial" w:cs="Tahoma"/>
          <w:sz w:val="20"/>
          <w:szCs w:val="20"/>
        </w:rPr>
        <w:t xml:space="preserve">künftig </w:t>
      </w:r>
      <w:r w:rsidR="003B1A9C">
        <w:rPr>
          <w:rFonts w:ascii="Arial" w:hAnsi="Arial" w:cs="Tahoma"/>
          <w:sz w:val="20"/>
          <w:szCs w:val="20"/>
        </w:rPr>
        <w:t>zudem</w:t>
      </w:r>
      <w:r w:rsidR="003B1A9C" w:rsidRPr="003B1A9C">
        <w:rPr>
          <w:rFonts w:ascii="Arial" w:hAnsi="Arial" w:cs="Tahoma"/>
          <w:sz w:val="20"/>
          <w:szCs w:val="20"/>
        </w:rPr>
        <w:t xml:space="preserve"> die </w:t>
      </w:r>
      <w:r w:rsidR="003B1A9C">
        <w:rPr>
          <w:rFonts w:ascii="Arial" w:hAnsi="Arial" w:cs="Tahoma"/>
          <w:sz w:val="20"/>
          <w:szCs w:val="20"/>
        </w:rPr>
        <w:t>Basis</w:t>
      </w:r>
      <w:r w:rsidR="003B1A9C" w:rsidRPr="003B1A9C">
        <w:rPr>
          <w:rFonts w:ascii="Arial" w:hAnsi="Arial" w:cs="Tahoma"/>
          <w:sz w:val="20"/>
          <w:szCs w:val="20"/>
        </w:rPr>
        <w:t xml:space="preserve"> für ein umfangreiches Benchmarking. Damit sehen die Unternehmen nicht nur, wo sie selbst stehen, sondern auch, wo im Vergleich zu ähnlich strukturierten Versorgern weitere Optimierungspotenziale </w:t>
      </w:r>
      <w:r w:rsidR="001F293E">
        <w:rPr>
          <w:rFonts w:ascii="Arial" w:hAnsi="Arial" w:cs="Tahoma"/>
          <w:sz w:val="20"/>
          <w:szCs w:val="20"/>
        </w:rPr>
        <w:t>liegen</w:t>
      </w:r>
      <w:r>
        <w:rPr>
          <w:rFonts w:ascii="Arial" w:hAnsi="Arial" w:cs="Tahoma"/>
          <w:sz w:val="20"/>
          <w:szCs w:val="20"/>
        </w:rPr>
        <w:t xml:space="preserve">. In Arbeit ist zudem ein internes Benchmark-Verfahren, </w:t>
      </w:r>
      <w:r w:rsidR="00F36DE3">
        <w:rPr>
          <w:rFonts w:ascii="Arial" w:hAnsi="Arial" w:cs="Tahoma"/>
          <w:sz w:val="20"/>
          <w:szCs w:val="20"/>
        </w:rPr>
        <w:t>mit dem</w:t>
      </w:r>
      <w:r>
        <w:rPr>
          <w:rFonts w:ascii="Arial" w:hAnsi="Arial" w:cs="Tahoma"/>
          <w:sz w:val="20"/>
          <w:szCs w:val="20"/>
        </w:rPr>
        <w:t xml:space="preserve"> die Entwicklung des eigenen Unternehmens über die Jahre hinweg sichtbar </w:t>
      </w:r>
      <w:r w:rsidR="00F36DE3">
        <w:rPr>
          <w:rFonts w:ascii="Arial" w:hAnsi="Arial" w:cs="Tahoma"/>
          <w:sz w:val="20"/>
          <w:szCs w:val="20"/>
        </w:rPr>
        <w:t>gemacht werden kann</w:t>
      </w:r>
      <w:r>
        <w:rPr>
          <w:rFonts w:ascii="Arial" w:hAnsi="Arial" w:cs="Tahoma"/>
          <w:sz w:val="20"/>
          <w:szCs w:val="20"/>
        </w:rPr>
        <w:t>.</w:t>
      </w:r>
    </w:p>
    <w:p w14:paraId="43D8735C" w14:textId="77777777" w:rsidR="00C61B5D" w:rsidRPr="00AB23C8" w:rsidRDefault="00C61B5D" w:rsidP="005D3D1E">
      <w:pPr>
        <w:spacing w:line="360" w:lineRule="auto"/>
        <w:rPr>
          <w:rFonts w:ascii="Arial" w:hAnsi="Arial" w:cs="Tahoma"/>
          <w:sz w:val="20"/>
          <w:szCs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357997F4" w14:textId="5F6FB02B" w:rsidR="005D3D1E" w:rsidRPr="008457BE" w:rsidRDefault="005D3D1E" w:rsidP="00B714E4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Kurfürstendamm 194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10707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="003B6004">
              <w:rPr>
                <w:rFonts w:ascii="Arial" w:hAnsi="Arial" w:cs="Calibri"/>
                <w:sz w:val="16"/>
                <w:szCs w:val="26"/>
                <w:lang w:eastAsia="de-DE"/>
              </w:rPr>
              <w:t>-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vivax.de</w:t>
            </w:r>
          </w:p>
          <w:p w14:paraId="14C72989" w14:textId="77777777" w:rsidR="005D3D1E" w:rsidRPr="008457BE" w:rsidRDefault="005D3D1E" w:rsidP="00B714E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37912198" w14:textId="77777777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61393E74" w14:textId="77777777" w:rsidR="001E3CB7" w:rsidRPr="005D3D1E" w:rsidRDefault="001E3CB7" w:rsidP="001E3CB7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und Niederlassungen in Stuttgart (Backnang), Köln und Potsdam, unterstützt ihre Kunden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sowie mit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Kommunalverwaltungen.</w:t>
      </w:r>
    </w:p>
    <w:bookmarkEnd w:id="2"/>
    <w:p w14:paraId="2E55E5C6" w14:textId="7E857728" w:rsidR="007749DD" w:rsidRPr="005D3D1E" w:rsidRDefault="007749DD" w:rsidP="001E3CB7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</w:p>
    <w:sectPr w:rsidR="007749DD" w:rsidRPr="005D3D1E" w:rsidSect="000655B7">
      <w:headerReference w:type="default" r:id="rId9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DC45B1" w14:textId="77777777" w:rsidR="00640EED" w:rsidRDefault="00640EED" w:rsidP="00BF70FE">
      <w:pPr>
        <w:spacing w:after="0" w:line="240" w:lineRule="auto"/>
      </w:pPr>
      <w:r>
        <w:separator/>
      </w:r>
    </w:p>
  </w:endnote>
  <w:endnote w:type="continuationSeparator" w:id="0">
    <w:p w14:paraId="58D72287" w14:textId="77777777" w:rsidR="00640EED" w:rsidRDefault="00640EED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FA5D35" w14:textId="77777777" w:rsidR="00640EED" w:rsidRDefault="00640EED" w:rsidP="00BF70FE">
      <w:pPr>
        <w:spacing w:after="0" w:line="240" w:lineRule="auto"/>
      </w:pPr>
      <w:r>
        <w:separator/>
      </w:r>
    </w:p>
  </w:footnote>
  <w:footnote w:type="continuationSeparator" w:id="0">
    <w:p w14:paraId="21AE3ADD" w14:textId="77777777" w:rsidR="00640EED" w:rsidRDefault="00640EED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49685" w14:textId="318F9223" w:rsidR="00B96701" w:rsidRDefault="00E478B7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0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26CFD"/>
    <w:rsid w:val="00037B8A"/>
    <w:rsid w:val="0006200B"/>
    <w:rsid w:val="00065270"/>
    <w:rsid w:val="000655B7"/>
    <w:rsid w:val="00065961"/>
    <w:rsid w:val="0007688A"/>
    <w:rsid w:val="000823CF"/>
    <w:rsid w:val="000A1E6B"/>
    <w:rsid w:val="000A4C5E"/>
    <w:rsid w:val="000A4C93"/>
    <w:rsid w:val="000C4746"/>
    <w:rsid w:val="000D4DE3"/>
    <w:rsid w:val="000E087D"/>
    <w:rsid w:val="000E7CE7"/>
    <w:rsid w:val="000F2111"/>
    <w:rsid w:val="000F4F9D"/>
    <w:rsid w:val="0010198B"/>
    <w:rsid w:val="00104674"/>
    <w:rsid w:val="00106821"/>
    <w:rsid w:val="00131142"/>
    <w:rsid w:val="0013234F"/>
    <w:rsid w:val="00132DC4"/>
    <w:rsid w:val="00135237"/>
    <w:rsid w:val="00157861"/>
    <w:rsid w:val="00181FBB"/>
    <w:rsid w:val="00187FC7"/>
    <w:rsid w:val="001C51EC"/>
    <w:rsid w:val="001D2FB7"/>
    <w:rsid w:val="001E3CB7"/>
    <w:rsid w:val="001E6755"/>
    <w:rsid w:val="001E6F47"/>
    <w:rsid w:val="001F293E"/>
    <w:rsid w:val="00205941"/>
    <w:rsid w:val="00207A9F"/>
    <w:rsid w:val="00213AF7"/>
    <w:rsid w:val="00221777"/>
    <w:rsid w:val="00237217"/>
    <w:rsid w:val="00262A08"/>
    <w:rsid w:val="00265589"/>
    <w:rsid w:val="002745F8"/>
    <w:rsid w:val="002757A3"/>
    <w:rsid w:val="0028558F"/>
    <w:rsid w:val="002A7E29"/>
    <w:rsid w:val="002B36BE"/>
    <w:rsid w:val="002B3E9E"/>
    <w:rsid w:val="002D5B66"/>
    <w:rsid w:val="002D6045"/>
    <w:rsid w:val="002E0481"/>
    <w:rsid w:val="002F1BFF"/>
    <w:rsid w:val="0030091A"/>
    <w:rsid w:val="00304113"/>
    <w:rsid w:val="00314048"/>
    <w:rsid w:val="003274D8"/>
    <w:rsid w:val="00341A34"/>
    <w:rsid w:val="0035256E"/>
    <w:rsid w:val="00362AE7"/>
    <w:rsid w:val="00394D5C"/>
    <w:rsid w:val="003953CA"/>
    <w:rsid w:val="003A3B30"/>
    <w:rsid w:val="003A6602"/>
    <w:rsid w:val="003B1A9C"/>
    <w:rsid w:val="003B4407"/>
    <w:rsid w:val="003B6004"/>
    <w:rsid w:val="003B69BD"/>
    <w:rsid w:val="003C0B6F"/>
    <w:rsid w:val="003C475B"/>
    <w:rsid w:val="003D63AC"/>
    <w:rsid w:val="00402F7C"/>
    <w:rsid w:val="00406C69"/>
    <w:rsid w:val="004112BE"/>
    <w:rsid w:val="004137FD"/>
    <w:rsid w:val="00427AD2"/>
    <w:rsid w:val="004422BD"/>
    <w:rsid w:val="004467C0"/>
    <w:rsid w:val="004540FC"/>
    <w:rsid w:val="00454989"/>
    <w:rsid w:val="004638B5"/>
    <w:rsid w:val="00463FE6"/>
    <w:rsid w:val="00465CBB"/>
    <w:rsid w:val="004713E0"/>
    <w:rsid w:val="004810F6"/>
    <w:rsid w:val="00497AEF"/>
    <w:rsid w:val="004B0D7E"/>
    <w:rsid w:val="004F5892"/>
    <w:rsid w:val="00521E6A"/>
    <w:rsid w:val="0053379A"/>
    <w:rsid w:val="00556FEE"/>
    <w:rsid w:val="005577A0"/>
    <w:rsid w:val="00557F58"/>
    <w:rsid w:val="00576A90"/>
    <w:rsid w:val="00576E59"/>
    <w:rsid w:val="00582ECD"/>
    <w:rsid w:val="005926D7"/>
    <w:rsid w:val="005958C2"/>
    <w:rsid w:val="00596BC4"/>
    <w:rsid w:val="005D3D1E"/>
    <w:rsid w:val="005F63B7"/>
    <w:rsid w:val="00633111"/>
    <w:rsid w:val="00640EED"/>
    <w:rsid w:val="00650109"/>
    <w:rsid w:val="006563BE"/>
    <w:rsid w:val="00664FF9"/>
    <w:rsid w:val="006663C8"/>
    <w:rsid w:val="00681349"/>
    <w:rsid w:val="00682686"/>
    <w:rsid w:val="00682E83"/>
    <w:rsid w:val="006A652B"/>
    <w:rsid w:val="006D38DD"/>
    <w:rsid w:val="006F2189"/>
    <w:rsid w:val="00705635"/>
    <w:rsid w:val="00712F91"/>
    <w:rsid w:val="00714AB5"/>
    <w:rsid w:val="00715711"/>
    <w:rsid w:val="007162A5"/>
    <w:rsid w:val="007169F8"/>
    <w:rsid w:val="00726D0D"/>
    <w:rsid w:val="00732F57"/>
    <w:rsid w:val="00742C79"/>
    <w:rsid w:val="00751621"/>
    <w:rsid w:val="00752985"/>
    <w:rsid w:val="00753CE4"/>
    <w:rsid w:val="007543B9"/>
    <w:rsid w:val="00764363"/>
    <w:rsid w:val="00766B7A"/>
    <w:rsid w:val="007749DD"/>
    <w:rsid w:val="007768B7"/>
    <w:rsid w:val="00780026"/>
    <w:rsid w:val="00785A83"/>
    <w:rsid w:val="00785BC8"/>
    <w:rsid w:val="007B40BC"/>
    <w:rsid w:val="007F3F43"/>
    <w:rsid w:val="00803966"/>
    <w:rsid w:val="00822F51"/>
    <w:rsid w:val="008457BE"/>
    <w:rsid w:val="00860C87"/>
    <w:rsid w:val="00872E24"/>
    <w:rsid w:val="008C3262"/>
    <w:rsid w:val="00915DD5"/>
    <w:rsid w:val="00937B5E"/>
    <w:rsid w:val="0094694E"/>
    <w:rsid w:val="00953399"/>
    <w:rsid w:val="0095460E"/>
    <w:rsid w:val="00972598"/>
    <w:rsid w:val="0098474D"/>
    <w:rsid w:val="00993991"/>
    <w:rsid w:val="009A5414"/>
    <w:rsid w:val="009B04A2"/>
    <w:rsid w:val="009C0CE4"/>
    <w:rsid w:val="009E6B35"/>
    <w:rsid w:val="009F0C3D"/>
    <w:rsid w:val="00A22923"/>
    <w:rsid w:val="00A25183"/>
    <w:rsid w:val="00A257D2"/>
    <w:rsid w:val="00A32BA5"/>
    <w:rsid w:val="00A339B3"/>
    <w:rsid w:val="00A461EC"/>
    <w:rsid w:val="00A462DC"/>
    <w:rsid w:val="00A551F1"/>
    <w:rsid w:val="00A55C3C"/>
    <w:rsid w:val="00A56E5A"/>
    <w:rsid w:val="00A8365C"/>
    <w:rsid w:val="00A86E2E"/>
    <w:rsid w:val="00AB23C8"/>
    <w:rsid w:val="00AC6091"/>
    <w:rsid w:val="00AD08BE"/>
    <w:rsid w:val="00AD4250"/>
    <w:rsid w:val="00B11CFE"/>
    <w:rsid w:val="00B27B9D"/>
    <w:rsid w:val="00B43DB2"/>
    <w:rsid w:val="00B46CF9"/>
    <w:rsid w:val="00B47F46"/>
    <w:rsid w:val="00B71C92"/>
    <w:rsid w:val="00B753D5"/>
    <w:rsid w:val="00B819A5"/>
    <w:rsid w:val="00B857E2"/>
    <w:rsid w:val="00B96701"/>
    <w:rsid w:val="00BA51BE"/>
    <w:rsid w:val="00BB3C47"/>
    <w:rsid w:val="00BC1CCE"/>
    <w:rsid w:val="00BC3A66"/>
    <w:rsid w:val="00BE3C7C"/>
    <w:rsid w:val="00BF3BB4"/>
    <w:rsid w:val="00BF70FE"/>
    <w:rsid w:val="00C27553"/>
    <w:rsid w:val="00C32033"/>
    <w:rsid w:val="00C424EF"/>
    <w:rsid w:val="00C52268"/>
    <w:rsid w:val="00C61B5D"/>
    <w:rsid w:val="00C6235A"/>
    <w:rsid w:val="00C74157"/>
    <w:rsid w:val="00C84CCA"/>
    <w:rsid w:val="00C91823"/>
    <w:rsid w:val="00CB2102"/>
    <w:rsid w:val="00CB3800"/>
    <w:rsid w:val="00CC44E9"/>
    <w:rsid w:val="00CC4D60"/>
    <w:rsid w:val="00CD3EF6"/>
    <w:rsid w:val="00CD490F"/>
    <w:rsid w:val="00CD5183"/>
    <w:rsid w:val="00CF04AC"/>
    <w:rsid w:val="00D02991"/>
    <w:rsid w:val="00D1662C"/>
    <w:rsid w:val="00D16EBD"/>
    <w:rsid w:val="00D20803"/>
    <w:rsid w:val="00D2582F"/>
    <w:rsid w:val="00D429BE"/>
    <w:rsid w:val="00D52A64"/>
    <w:rsid w:val="00D572B9"/>
    <w:rsid w:val="00D63982"/>
    <w:rsid w:val="00D9728A"/>
    <w:rsid w:val="00DA183D"/>
    <w:rsid w:val="00DC1341"/>
    <w:rsid w:val="00DC2EE2"/>
    <w:rsid w:val="00DE4605"/>
    <w:rsid w:val="00DF3864"/>
    <w:rsid w:val="00DF581E"/>
    <w:rsid w:val="00E14982"/>
    <w:rsid w:val="00E20A29"/>
    <w:rsid w:val="00E26B5E"/>
    <w:rsid w:val="00E3135E"/>
    <w:rsid w:val="00E37F9E"/>
    <w:rsid w:val="00E478B7"/>
    <w:rsid w:val="00E570C4"/>
    <w:rsid w:val="00E60782"/>
    <w:rsid w:val="00E60990"/>
    <w:rsid w:val="00E6120F"/>
    <w:rsid w:val="00E64CFD"/>
    <w:rsid w:val="00E704E3"/>
    <w:rsid w:val="00E73FD3"/>
    <w:rsid w:val="00E833E9"/>
    <w:rsid w:val="00E835B3"/>
    <w:rsid w:val="00E92706"/>
    <w:rsid w:val="00E96682"/>
    <w:rsid w:val="00EA337B"/>
    <w:rsid w:val="00EB6A45"/>
    <w:rsid w:val="00ED3254"/>
    <w:rsid w:val="00ED48B5"/>
    <w:rsid w:val="00EF4362"/>
    <w:rsid w:val="00F02294"/>
    <w:rsid w:val="00F36DE3"/>
    <w:rsid w:val="00F60AEE"/>
    <w:rsid w:val="00F66C89"/>
    <w:rsid w:val="00F66CAF"/>
    <w:rsid w:val="00F80BB7"/>
    <w:rsid w:val="00F875B4"/>
    <w:rsid w:val="00F91B9F"/>
    <w:rsid w:val="00F94262"/>
    <w:rsid w:val="00F94264"/>
    <w:rsid w:val="00F965C4"/>
    <w:rsid w:val="00FB447B"/>
    <w:rsid w:val="00FB53D9"/>
    <w:rsid w:val="00FB68F7"/>
    <w:rsid w:val="00FE2E90"/>
    <w:rsid w:val="00F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612</Words>
  <Characters>3859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6</cp:revision>
  <cp:lastPrinted>2019-11-15T15:31:00Z</cp:lastPrinted>
  <dcterms:created xsi:type="dcterms:W3CDTF">2019-11-19T14:20:00Z</dcterms:created>
  <dcterms:modified xsi:type="dcterms:W3CDTF">2019-11-20T08:25:00Z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