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038E05" w14:textId="77777777" w:rsidR="005D3D1E" w:rsidRDefault="005D3D1E" w:rsidP="005D3D1E">
      <w:pPr>
        <w:autoSpaceDE w:val="0"/>
        <w:autoSpaceDN w:val="0"/>
        <w:adjustRightInd w:val="0"/>
        <w:spacing w:after="0" w:line="240" w:lineRule="auto"/>
        <w:rPr>
          <w:rFonts w:ascii="Arial" w:hAnsi="Arial" w:cs="Arial"/>
          <w:b/>
          <w:color w:val="000000"/>
          <w:sz w:val="24"/>
          <w:szCs w:val="24"/>
        </w:rPr>
      </w:pPr>
    </w:p>
    <w:p w14:paraId="366C25D7" w14:textId="77777777" w:rsidR="005D3D1E" w:rsidRPr="000655B7" w:rsidRDefault="005D3D1E" w:rsidP="005D3D1E">
      <w:pPr>
        <w:autoSpaceDE w:val="0"/>
        <w:autoSpaceDN w:val="0"/>
        <w:adjustRightInd w:val="0"/>
        <w:spacing w:after="0" w:line="240" w:lineRule="auto"/>
        <w:rPr>
          <w:rFonts w:ascii="Arial" w:hAnsi="Arial" w:cs="Arial"/>
          <w:b/>
          <w:color w:val="000000"/>
          <w:sz w:val="24"/>
          <w:szCs w:val="24"/>
        </w:rPr>
      </w:pPr>
    </w:p>
    <w:p w14:paraId="6DF482A4" w14:textId="77777777" w:rsidR="005D3D1E" w:rsidRPr="000655B7" w:rsidRDefault="005D3D1E" w:rsidP="005D3D1E">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5844D01A" w14:textId="77777777" w:rsidR="005D3D1E" w:rsidRDefault="005D3D1E" w:rsidP="005D3D1E">
      <w:pPr>
        <w:autoSpaceDE w:val="0"/>
        <w:autoSpaceDN w:val="0"/>
        <w:adjustRightInd w:val="0"/>
        <w:spacing w:after="0" w:line="240" w:lineRule="auto"/>
        <w:rPr>
          <w:rFonts w:ascii="Arial" w:hAnsi="Arial" w:cs="Arial"/>
          <w:color w:val="000000"/>
        </w:rPr>
      </w:pPr>
    </w:p>
    <w:p w14:paraId="62F05F78" w14:textId="1620BD65" w:rsidR="005D3D1E" w:rsidRPr="00C74157" w:rsidRDefault="005D3D1E" w:rsidP="005D3D1E">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6769C9">
        <w:rPr>
          <w:rFonts w:ascii="Arial" w:hAnsi="Arial" w:cs="Arial"/>
          <w:color w:val="000000"/>
        </w:rPr>
        <w:t>22</w:t>
      </w:r>
      <w:r w:rsidRPr="000655B7">
        <w:rPr>
          <w:rFonts w:ascii="Arial" w:hAnsi="Arial" w:cs="Arial"/>
          <w:color w:val="000000"/>
        </w:rPr>
        <w:t xml:space="preserve">. </w:t>
      </w:r>
      <w:r w:rsidR="004F16FC">
        <w:rPr>
          <w:rFonts w:ascii="Arial" w:hAnsi="Arial" w:cs="Arial"/>
          <w:color w:val="000000"/>
        </w:rPr>
        <w:t>September</w:t>
      </w:r>
      <w:r w:rsidRPr="00C74157">
        <w:rPr>
          <w:rFonts w:ascii="Arial" w:hAnsi="Arial" w:cs="Arial"/>
          <w:color w:val="000000"/>
        </w:rPr>
        <w:t xml:space="preserve"> 20</w:t>
      </w:r>
      <w:r w:rsidR="004F16FC">
        <w:rPr>
          <w:rFonts w:ascii="Arial" w:hAnsi="Arial" w:cs="Arial"/>
          <w:color w:val="000000"/>
        </w:rPr>
        <w:t>20</w:t>
      </w:r>
    </w:p>
    <w:p w14:paraId="3A8B5942" w14:textId="77777777" w:rsidR="005D3D1E" w:rsidRPr="00C74157" w:rsidRDefault="005D3D1E" w:rsidP="005D3D1E">
      <w:pPr>
        <w:autoSpaceDE w:val="0"/>
        <w:autoSpaceDN w:val="0"/>
        <w:adjustRightInd w:val="0"/>
        <w:spacing w:after="0" w:line="240" w:lineRule="auto"/>
        <w:rPr>
          <w:rFonts w:ascii="Arial" w:hAnsi="Arial" w:cs="Arial"/>
          <w:color w:val="000000"/>
          <w:sz w:val="24"/>
          <w:szCs w:val="24"/>
        </w:rPr>
      </w:pPr>
    </w:p>
    <w:p w14:paraId="0EEC0A94" w14:textId="77777777" w:rsidR="005D3D1E" w:rsidRPr="00C74157" w:rsidRDefault="005D3D1E" w:rsidP="005D3D1E">
      <w:pPr>
        <w:autoSpaceDE w:val="0"/>
        <w:autoSpaceDN w:val="0"/>
        <w:adjustRightInd w:val="0"/>
        <w:spacing w:after="0" w:line="360" w:lineRule="auto"/>
        <w:rPr>
          <w:rFonts w:ascii="Arial" w:hAnsi="Arial" w:cs="Arial"/>
          <w:color w:val="000000"/>
          <w:sz w:val="20"/>
          <w:szCs w:val="20"/>
        </w:rPr>
      </w:pPr>
    </w:p>
    <w:p w14:paraId="105E7BD4" w14:textId="5B54AC69" w:rsidR="005D3D1E" w:rsidRPr="00715711" w:rsidRDefault="00715711" w:rsidP="003A6602">
      <w:pPr>
        <w:autoSpaceDE w:val="0"/>
        <w:autoSpaceDN w:val="0"/>
        <w:adjustRightInd w:val="0"/>
        <w:spacing w:after="0" w:line="360" w:lineRule="auto"/>
        <w:ind w:right="-2268"/>
        <w:rPr>
          <w:rFonts w:ascii="Arial" w:hAnsi="Arial" w:cs="Arial"/>
          <w:b/>
          <w:color w:val="000000"/>
          <w:sz w:val="28"/>
          <w:szCs w:val="28"/>
        </w:rPr>
      </w:pPr>
      <w:bookmarkStart w:id="0" w:name="OLE_LINK1"/>
      <w:bookmarkStart w:id="1" w:name="OLE_LINK2"/>
      <w:proofErr w:type="spellStart"/>
      <w:r>
        <w:rPr>
          <w:rFonts w:ascii="Arial" w:hAnsi="Arial" w:cs="Arial"/>
          <w:b/>
          <w:color w:val="000000"/>
          <w:sz w:val="28"/>
          <w:szCs w:val="28"/>
        </w:rPr>
        <w:t>Vivax</w:t>
      </w:r>
      <w:proofErr w:type="spellEnd"/>
      <w:r>
        <w:rPr>
          <w:rFonts w:ascii="Arial" w:hAnsi="Arial" w:cs="Arial"/>
          <w:b/>
          <w:color w:val="000000"/>
          <w:sz w:val="28"/>
          <w:szCs w:val="28"/>
        </w:rPr>
        <w:t xml:space="preserve"> Analytics</w:t>
      </w:r>
      <w:r w:rsidR="006769C9">
        <w:rPr>
          <w:rFonts w:ascii="Arial" w:hAnsi="Arial" w:cs="Arial"/>
          <w:b/>
          <w:color w:val="000000"/>
          <w:sz w:val="28"/>
          <w:szCs w:val="28"/>
        </w:rPr>
        <w:t xml:space="preserve"> </w:t>
      </w:r>
      <w:proofErr w:type="spellStart"/>
      <w:r w:rsidR="006769C9">
        <w:rPr>
          <w:rFonts w:ascii="Arial" w:hAnsi="Arial" w:cs="Arial"/>
          <w:b/>
          <w:color w:val="000000"/>
          <w:sz w:val="28"/>
          <w:szCs w:val="28"/>
        </w:rPr>
        <w:t>ProCo</w:t>
      </w:r>
      <w:proofErr w:type="spellEnd"/>
      <w:r w:rsidR="004F16FC">
        <w:rPr>
          <w:rFonts w:ascii="Arial" w:hAnsi="Arial" w:cs="Arial"/>
          <w:b/>
          <w:color w:val="000000"/>
          <w:sz w:val="28"/>
          <w:szCs w:val="28"/>
        </w:rPr>
        <w:t xml:space="preserve">: </w:t>
      </w:r>
      <w:r w:rsidR="00734E26">
        <w:rPr>
          <w:rFonts w:ascii="Arial" w:hAnsi="Arial" w:cs="Arial"/>
          <w:b/>
          <w:color w:val="000000"/>
          <w:sz w:val="28"/>
          <w:szCs w:val="28"/>
        </w:rPr>
        <w:t>J</w:t>
      </w:r>
      <w:r w:rsidR="004F16FC">
        <w:rPr>
          <w:rFonts w:ascii="Arial" w:hAnsi="Arial" w:cs="Arial"/>
          <w:b/>
          <w:color w:val="000000"/>
          <w:sz w:val="28"/>
          <w:szCs w:val="28"/>
        </w:rPr>
        <w:t>etzt auch</w:t>
      </w:r>
      <w:r w:rsidR="00734E26">
        <w:rPr>
          <w:rFonts w:ascii="Arial" w:hAnsi="Arial" w:cs="Arial"/>
          <w:b/>
          <w:color w:val="000000"/>
          <w:sz w:val="28"/>
          <w:szCs w:val="28"/>
        </w:rPr>
        <w:t xml:space="preserve"> als Tool</w:t>
      </w:r>
      <w:r>
        <w:rPr>
          <w:rFonts w:ascii="Arial" w:hAnsi="Arial" w:cs="Arial"/>
          <w:b/>
          <w:color w:val="000000"/>
          <w:sz w:val="28"/>
          <w:szCs w:val="28"/>
        </w:rPr>
        <w:t xml:space="preserve"> </w:t>
      </w:r>
      <w:r w:rsidR="00734E26">
        <w:rPr>
          <w:rFonts w:ascii="Arial" w:hAnsi="Arial" w:cs="Arial"/>
          <w:b/>
          <w:color w:val="000000"/>
          <w:sz w:val="28"/>
          <w:szCs w:val="28"/>
        </w:rPr>
        <w:t xml:space="preserve">für Unternehmensberater </w:t>
      </w:r>
    </w:p>
    <w:bookmarkEnd w:id="0"/>
    <w:bookmarkEnd w:id="1"/>
    <w:p w14:paraId="5ED81553" w14:textId="62E3EE83" w:rsidR="00006AC0" w:rsidRDefault="00715711" w:rsidP="00AB23C8">
      <w:pPr>
        <w:autoSpaceDE w:val="0"/>
        <w:autoSpaceDN w:val="0"/>
        <w:adjustRightInd w:val="0"/>
        <w:spacing w:after="0" w:line="360" w:lineRule="auto"/>
        <w:ind w:right="-1984"/>
        <w:rPr>
          <w:rFonts w:ascii="Arial" w:hAnsi="Arial" w:cs="Tahoma"/>
          <w:b/>
          <w:sz w:val="20"/>
          <w:szCs w:val="20"/>
        </w:rPr>
      </w:pPr>
      <w:proofErr w:type="spellStart"/>
      <w:r>
        <w:rPr>
          <w:rFonts w:ascii="Arial" w:hAnsi="Arial" w:cs="Tahoma"/>
          <w:b/>
          <w:sz w:val="20"/>
          <w:szCs w:val="20"/>
        </w:rPr>
        <w:t>Vivax</w:t>
      </w:r>
      <w:proofErr w:type="spellEnd"/>
      <w:r>
        <w:rPr>
          <w:rFonts w:ascii="Arial" w:hAnsi="Arial" w:cs="Tahoma"/>
          <w:b/>
          <w:sz w:val="20"/>
          <w:szCs w:val="20"/>
        </w:rPr>
        <w:t xml:space="preserve"> </w:t>
      </w:r>
      <w:r w:rsidR="00C928B2">
        <w:rPr>
          <w:rFonts w:ascii="Arial" w:hAnsi="Arial" w:cs="Tahoma"/>
          <w:b/>
          <w:sz w:val="20"/>
          <w:szCs w:val="20"/>
        </w:rPr>
        <w:t xml:space="preserve">Analytics </w:t>
      </w:r>
      <w:proofErr w:type="spellStart"/>
      <w:r>
        <w:rPr>
          <w:rFonts w:ascii="Arial" w:hAnsi="Arial" w:cs="Tahoma"/>
          <w:b/>
          <w:sz w:val="20"/>
          <w:szCs w:val="20"/>
        </w:rPr>
        <w:t>P</w:t>
      </w:r>
      <w:r w:rsidR="006769C9">
        <w:rPr>
          <w:rFonts w:ascii="Arial" w:hAnsi="Arial" w:cs="Tahoma"/>
          <w:b/>
          <w:sz w:val="20"/>
          <w:szCs w:val="20"/>
        </w:rPr>
        <w:t>ro</w:t>
      </w:r>
      <w:r>
        <w:rPr>
          <w:rFonts w:ascii="Arial" w:hAnsi="Arial" w:cs="Tahoma"/>
          <w:b/>
          <w:sz w:val="20"/>
          <w:szCs w:val="20"/>
        </w:rPr>
        <w:t>C</w:t>
      </w:r>
      <w:r w:rsidR="006769C9">
        <w:rPr>
          <w:rFonts w:ascii="Arial" w:hAnsi="Arial" w:cs="Tahoma"/>
          <w:b/>
          <w:sz w:val="20"/>
          <w:szCs w:val="20"/>
        </w:rPr>
        <w:t>o</w:t>
      </w:r>
      <w:proofErr w:type="spellEnd"/>
      <w:r w:rsidR="00AB23C8">
        <w:rPr>
          <w:rFonts w:ascii="Arial" w:hAnsi="Arial" w:cs="Tahoma"/>
          <w:b/>
          <w:sz w:val="20"/>
          <w:szCs w:val="20"/>
        </w:rPr>
        <w:t xml:space="preserve"> liefer</w:t>
      </w:r>
      <w:r w:rsidR="00C928B2">
        <w:rPr>
          <w:rFonts w:ascii="Arial" w:hAnsi="Arial" w:cs="Tahoma"/>
          <w:b/>
          <w:sz w:val="20"/>
          <w:szCs w:val="20"/>
        </w:rPr>
        <w:t>t</w:t>
      </w:r>
      <w:r w:rsidR="00AB23C8">
        <w:rPr>
          <w:rFonts w:ascii="Arial" w:hAnsi="Arial" w:cs="Tahoma"/>
          <w:b/>
          <w:sz w:val="20"/>
          <w:szCs w:val="20"/>
        </w:rPr>
        <w:t xml:space="preserve"> Basis für Optimierung der Unternehmensorganisation</w:t>
      </w:r>
    </w:p>
    <w:p w14:paraId="5394B1BE" w14:textId="0A73A689" w:rsidR="006A652B" w:rsidRDefault="006A652B" w:rsidP="00AB23C8">
      <w:pPr>
        <w:autoSpaceDE w:val="0"/>
        <w:autoSpaceDN w:val="0"/>
        <w:adjustRightInd w:val="0"/>
        <w:spacing w:after="0" w:line="360" w:lineRule="auto"/>
        <w:ind w:right="-1984"/>
        <w:rPr>
          <w:rFonts w:ascii="Arial" w:hAnsi="Arial" w:cs="Tahoma"/>
          <w:b/>
          <w:sz w:val="20"/>
          <w:szCs w:val="20"/>
        </w:rPr>
      </w:pPr>
    </w:p>
    <w:p w14:paraId="6669899B" w14:textId="77777777" w:rsidR="00F60993" w:rsidRDefault="00F60993" w:rsidP="00D86636">
      <w:pPr>
        <w:spacing w:line="360" w:lineRule="auto"/>
        <w:rPr>
          <w:rFonts w:ascii="Arial" w:hAnsi="Arial" w:cs="Arial"/>
          <w:b/>
          <w:bCs/>
          <w:color w:val="000000"/>
          <w:sz w:val="20"/>
          <w:szCs w:val="20"/>
        </w:rPr>
      </w:pPr>
      <w:r>
        <w:rPr>
          <w:rFonts w:ascii="Arial" w:hAnsi="Arial" w:cs="Arial"/>
          <w:b/>
          <w:bCs/>
          <w:color w:val="000000"/>
          <w:sz w:val="20"/>
          <w:szCs w:val="20"/>
        </w:rPr>
        <w:t xml:space="preserve">Bislang hatte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sein Prozessanalyse-Paket </w:t>
      </w:r>
      <w:proofErr w:type="spellStart"/>
      <w:r>
        <w:rPr>
          <w:rFonts w:ascii="Arial" w:hAnsi="Arial" w:cs="Arial"/>
          <w:b/>
          <w:bCs/>
          <w:color w:val="000000"/>
          <w:sz w:val="20"/>
          <w:szCs w:val="20"/>
        </w:rPr>
        <w:t>Vivax</w:t>
      </w:r>
      <w:proofErr w:type="spellEnd"/>
      <w:r>
        <w:rPr>
          <w:rFonts w:ascii="Arial" w:hAnsi="Arial" w:cs="Arial"/>
          <w:b/>
          <w:bCs/>
          <w:color w:val="000000"/>
          <w:sz w:val="20"/>
          <w:szCs w:val="20"/>
        </w:rPr>
        <w:t xml:space="preserve"> Analytics </w:t>
      </w:r>
      <w:proofErr w:type="spellStart"/>
      <w:r>
        <w:rPr>
          <w:rFonts w:ascii="Arial" w:hAnsi="Arial" w:cs="Arial"/>
          <w:b/>
          <w:bCs/>
          <w:color w:val="000000"/>
          <w:sz w:val="20"/>
          <w:szCs w:val="20"/>
        </w:rPr>
        <w:t>ProCoausschließlich</w:t>
      </w:r>
      <w:proofErr w:type="spellEnd"/>
      <w:r>
        <w:rPr>
          <w:rFonts w:ascii="Arial" w:hAnsi="Arial" w:cs="Arial"/>
          <w:b/>
          <w:bCs/>
          <w:color w:val="000000"/>
          <w:sz w:val="20"/>
          <w:szCs w:val="20"/>
        </w:rPr>
        <w:t xml:space="preserve"> für die eigenen Projekte verwendet. Ab sofort wird die Lösung mit ihren beiden Modulen </w:t>
      </w:r>
      <w:proofErr w:type="spellStart"/>
      <w:r>
        <w:rPr>
          <w:rFonts w:ascii="Arial" w:hAnsi="Arial" w:cs="Arial"/>
          <w:b/>
          <w:bCs/>
          <w:color w:val="000000"/>
          <w:sz w:val="20"/>
          <w:szCs w:val="20"/>
        </w:rPr>
        <w:t>ProCo</w:t>
      </w:r>
      <w:proofErr w:type="spellEnd"/>
      <w:r>
        <w:rPr>
          <w:rFonts w:ascii="Arial" w:hAnsi="Arial" w:cs="Arial"/>
          <w:b/>
          <w:bCs/>
          <w:color w:val="000000"/>
          <w:sz w:val="20"/>
          <w:szCs w:val="20"/>
        </w:rPr>
        <w:t xml:space="preserve">-KP und </w:t>
      </w:r>
      <w:proofErr w:type="spellStart"/>
      <w:r w:rsidRPr="00C928B2">
        <w:rPr>
          <w:rFonts w:ascii="Arial" w:hAnsi="Arial" w:cs="Arial"/>
          <w:b/>
          <w:bCs/>
          <w:color w:val="000000"/>
          <w:sz w:val="20"/>
          <w:szCs w:val="20"/>
        </w:rPr>
        <w:t>ProCo</w:t>
      </w:r>
      <w:proofErr w:type="spellEnd"/>
      <w:r w:rsidRPr="00C928B2">
        <w:rPr>
          <w:rFonts w:ascii="Arial" w:hAnsi="Arial" w:cs="Arial"/>
          <w:b/>
          <w:bCs/>
          <w:color w:val="000000"/>
          <w:sz w:val="20"/>
          <w:szCs w:val="20"/>
        </w:rPr>
        <w:t>-</w:t>
      </w:r>
      <w:r>
        <w:rPr>
          <w:rFonts w:ascii="Arial" w:hAnsi="Arial" w:cs="Arial"/>
          <w:b/>
          <w:bCs/>
          <w:color w:val="000000"/>
          <w:sz w:val="20"/>
          <w:szCs w:val="20"/>
        </w:rPr>
        <w:t xml:space="preserve">SK auch extern vermarktet. Neben den Versorgungsunternehmen selbst ist die Lösung vor allem für Unternehmensberatungen interessant, die sich auf die Versorgungswirtschaft spezialisiert haben. „Mithilfe von </w:t>
      </w:r>
      <w:proofErr w:type="spellStart"/>
      <w:r>
        <w:rPr>
          <w:rFonts w:ascii="Arial" w:hAnsi="Arial" w:cs="Arial"/>
          <w:b/>
          <w:bCs/>
          <w:color w:val="000000"/>
          <w:sz w:val="20"/>
          <w:szCs w:val="20"/>
        </w:rPr>
        <w:t>Vivax</w:t>
      </w:r>
      <w:proofErr w:type="spellEnd"/>
      <w:r>
        <w:rPr>
          <w:rFonts w:ascii="Arial" w:hAnsi="Arial" w:cs="Arial"/>
          <w:b/>
          <w:bCs/>
          <w:color w:val="000000"/>
          <w:sz w:val="20"/>
          <w:szCs w:val="20"/>
        </w:rPr>
        <w:t xml:space="preserve"> Analytics </w:t>
      </w:r>
      <w:proofErr w:type="spellStart"/>
      <w:r>
        <w:rPr>
          <w:rFonts w:ascii="Arial" w:hAnsi="Arial" w:cs="Arial"/>
          <w:b/>
          <w:bCs/>
          <w:color w:val="000000"/>
          <w:sz w:val="20"/>
          <w:szCs w:val="20"/>
        </w:rPr>
        <w:t>ProCo</w:t>
      </w:r>
      <w:proofErr w:type="spellEnd"/>
      <w:r>
        <w:rPr>
          <w:rFonts w:ascii="Arial" w:hAnsi="Arial" w:cs="Arial"/>
          <w:b/>
          <w:bCs/>
          <w:color w:val="000000"/>
          <w:sz w:val="20"/>
          <w:szCs w:val="20"/>
        </w:rPr>
        <w:t xml:space="preserve"> können Unternehmensberater in kurzer Zeit eine genaue Prozesslandkarte des Unternehmens erstellen. Sie ist nicht nur die Basis für eine umfassende Prozessoptimierung, sondern vor allem auch für die durchgängige Digitalisierung aller Abläufe. Das kann so keine andere Software auf dem Markt“, beschreibt Dirk </w:t>
      </w:r>
      <w:proofErr w:type="spellStart"/>
      <w:r>
        <w:rPr>
          <w:rFonts w:ascii="Arial" w:hAnsi="Arial" w:cs="Arial"/>
          <w:b/>
          <w:bCs/>
          <w:color w:val="000000"/>
          <w:sz w:val="20"/>
          <w:szCs w:val="20"/>
        </w:rPr>
        <w:t>Fieml</w:t>
      </w:r>
      <w:proofErr w:type="spellEnd"/>
      <w:r>
        <w:rPr>
          <w:rFonts w:ascii="Arial" w:hAnsi="Arial" w:cs="Arial"/>
          <w:b/>
          <w:bCs/>
          <w:color w:val="000000"/>
          <w:sz w:val="20"/>
          <w:szCs w:val="20"/>
        </w:rPr>
        <w:t xml:space="preserve">, Geschäftsführer der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GmbH, die Alleinstellungsmerkmale der Lösung. Eine Testversion kann über die Website </w:t>
      </w:r>
      <w:r w:rsidRPr="00E034D3">
        <w:rPr>
          <w:rFonts w:ascii="Arial" w:hAnsi="Arial" w:cs="Arial"/>
          <w:b/>
          <w:bCs/>
          <w:color w:val="000000"/>
          <w:sz w:val="20"/>
          <w:szCs w:val="20"/>
        </w:rPr>
        <w:t>https://proco-software.de</w:t>
      </w:r>
      <w:r>
        <w:rPr>
          <w:rFonts w:ascii="Arial" w:hAnsi="Arial" w:cs="Arial"/>
          <w:b/>
          <w:bCs/>
          <w:color w:val="000000"/>
          <w:sz w:val="20"/>
          <w:szCs w:val="20"/>
        </w:rPr>
        <w:t xml:space="preserve"> angefordert werden.</w:t>
      </w:r>
    </w:p>
    <w:p w14:paraId="79D0F41E" w14:textId="77777777" w:rsidR="00F60993" w:rsidRDefault="00F60993" w:rsidP="00D86636">
      <w:pPr>
        <w:spacing w:line="360" w:lineRule="auto"/>
        <w:rPr>
          <w:rFonts w:ascii="Arial" w:hAnsi="Arial" w:cs="Arial"/>
          <w:color w:val="000000"/>
          <w:sz w:val="20"/>
          <w:szCs w:val="20"/>
        </w:rPr>
      </w:pPr>
      <w:r w:rsidRPr="004509F1">
        <w:rPr>
          <w:rFonts w:ascii="Arial" w:hAnsi="Arial" w:cs="Arial"/>
          <w:color w:val="000000"/>
          <w:sz w:val="20"/>
          <w:szCs w:val="20"/>
        </w:rPr>
        <w:t xml:space="preserve">Mit </w:t>
      </w:r>
      <w:proofErr w:type="spellStart"/>
      <w:r w:rsidRPr="004509F1">
        <w:rPr>
          <w:rFonts w:ascii="Arial" w:hAnsi="Arial" w:cs="Arial"/>
          <w:color w:val="000000"/>
          <w:sz w:val="20"/>
          <w:szCs w:val="20"/>
        </w:rPr>
        <w:t>Vivax</w:t>
      </w:r>
      <w:proofErr w:type="spellEnd"/>
      <w:r w:rsidRPr="004509F1">
        <w:rPr>
          <w:rFonts w:ascii="Arial" w:hAnsi="Arial" w:cs="Arial"/>
          <w:color w:val="000000"/>
          <w:sz w:val="20"/>
          <w:szCs w:val="20"/>
        </w:rPr>
        <w:t xml:space="preserve"> Analytics</w:t>
      </w:r>
      <w:r>
        <w:rPr>
          <w:rFonts w:ascii="Arial" w:hAnsi="Arial" w:cs="Arial"/>
          <w:color w:val="000000"/>
          <w:sz w:val="20"/>
          <w:szCs w:val="20"/>
        </w:rPr>
        <w:t xml:space="preserve"> </w:t>
      </w:r>
      <w:proofErr w:type="spellStart"/>
      <w:r>
        <w:rPr>
          <w:rFonts w:ascii="Arial" w:hAnsi="Arial" w:cs="Arial"/>
          <w:color w:val="000000"/>
          <w:sz w:val="20"/>
          <w:szCs w:val="20"/>
        </w:rPr>
        <w:t>ProCo</w:t>
      </w:r>
      <w:proofErr w:type="spellEnd"/>
      <w:r w:rsidRPr="004509F1">
        <w:rPr>
          <w:rFonts w:ascii="Arial" w:hAnsi="Arial" w:cs="Arial"/>
          <w:color w:val="000000"/>
          <w:sz w:val="20"/>
          <w:szCs w:val="20"/>
        </w:rPr>
        <w:t xml:space="preserve"> ist es auf einfache Weise möglich, sämtliche Unternehmensprozesse in Versorgungsunternehmen aus Organisations-, Kosten- und Kapazitätssicht zu bewerten und gleichzeitig eine Übersicht über für die jeweiligen Tätigkeiten verwendeten IT-Werkzeuge zu erhalten. Die Grundlage dafür ist ein Prozessmodell, in dem bereits rund 600 versorgungstypische Geschäftsprozesse mit </w:t>
      </w:r>
      <w:r>
        <w:rPr>
          <w:rFonts w:ascii="Arial" w:hAnsi="Arial" w:cs="Arial"/>
          <w:color w:val="000000"/>
          <w:sz w:val="20"/>
          <w:szCs w:val="20"/>
        </w:rPr>
        <w:t>fast</w:t>
      </w:r>
      <w:r w:rsidRPr="004509F1">
        <w:rPr>
          <w:rFonts w:ascii="Arial" w:hAnsi="Arial" w:cs="Arial"/>
          <w:color w:val="000000"/>
          <w:sz w:val="20"/>
          <w:szCs w:val="20"/>
        </w:rPr>
        <w:t xml:space="preserve"> </w:t>
      </w:r>
      <w:r>
        <w:rPr>
          <w:rFonts w:ascii="Arial" w:hAnsi="Arial" w:cs="Arial"/>
          <w:color w:val="000000"/>
          <w:sz w:val="20"/>
          <w:szCs w:val="20"/>
        </w:rPr>
        <w:t>7</w:t>
      </w:r>
      <w:r w:rsidRPr="004509F1">
        <w:rPr>
          <w:rFonts w:ascii="Arial" w:hAnsi="Arial" w:cs="Arial"/>
          <w:color w:val="000000"/>
          <w:sz w:val="20"/>
          <w:szCs w:val="20"/>
        </w:rPr>
        <w:t>.000 zugeordneten Tätigkeiten</w:t>
      </w:r>
      <w:r>
        <w:rPr>
          <w:rFonts w:ascii="Arial" w:hAnsi="Arial" w:cs="Arial"/>
          <w:color w:val="000000"/>
          <w:sz w:val="20"/>
          <w:szCs w:val="20"/>
        </w:rPr>
        <w:t xml:space="preserve"> in 170 Kategorien</w:t>
      </w:r>
      <w:r w:rsidRPr="004509F1">
        <w:rPr>
          <w:rFonts w:ascii="Arial" w:hAnsi="Arial" w:cs="Arial"/>
          <w:color w:val="000000"/>
          <w:sz w:val="20"/>
          <w:szCs w:val="20"/>
        </w:rPr>
        <w:t xml:space="preserve"> je Sparte und Bereich hinterlegt sind. Dazu gehören Strom, Gas, Wasser, Abwasser, Freizeiteinrichtungen, Telekommunikation, Parkierung, Photovoltaik, Straßenbeleuchtung, Wärme, ÖPNV und Dienstleistungen. </w:t>
      </w:r>
    </w:p>
    <w:p w14:paraId="603229EB" w14:textId="77777777" w:rsidR="00F60993" w:rsidRDefault="00F60993" w:rsidP="00D86636">
      <w:pPr>
        <w:spacing w:line="360" w:lineRule="auto"/>
        <w:rPr>
          <w:rFonts w:ascii="Arial" w:hAnsi="Arial" w:cs="Arial"/>
          <w:color w:val="000000"/>
          <w:sz w:val="20"/>
          <w:szCs w:val="20"/>
        </w:rPr>
      </w:pPr>
      <w:r w:rsidRPr="004509F1">
        <w:rPr>
          <w:rFonts w:ascii="Arial" w:hAnsi="Arial" w:cs="Arial"/>
          <w:color w:val="000000"/>
          <w:sz w:val="20"/>
          <w:szCs w:val="20"/>
        </w:rPr>
        <w:t>Durch die softwaregestützte Tätigkeitsanalyse</w:t>
      </w:r>
      <w:r>
        <w:rPr>
          <w:rFonts w:ascii="Arial" w:hAnsi="Arial" w:cs="Arial"/>
          <w:color w:val="000000"/>
          <w:sz w:val="20"/>
          <w:szCs w:val="20"/>
        </w:rPr>
        <w:t xml:space="preserve"> mit dem Modul </w:t>
      </w:r>
      <w:proofErr w:type="spellStart"/>
      <w:r w:rsidRPr="00C928B2">
        <w:rPr>
          <w:rFonts w:ascii="Arial" w:hAnsi="Arial" w:cs="Arial"/>
          <w:color w:val="000000"/>
          <w:sz w:val="20"/>
          <w:szCs w:val="20"/>
        </w:rPr>
        <w:t>ProCo</w:t>
      </w:r>
      <w:proofErr w:type="spellEnd"/>
      <w:r w:rsidRPr="00C928B2">
        <w:rPr>
          <w:rFonts w:ascii="Arial" w:hAnsi="Arial" w:cs="Arial"/>
          <w:color w:val="000000"/>
          <w:sz w:val="20"/>
          <w:szCs w:val="20"/>
        </w:rPr>
        <w:t>-KP</w:t>
      </w:r>
      <w:r w:rsidRPr="004509F1">
        <w:rPr>
          <w:rFonts w:ascii="Arial" w:hAnsi="Arial" w:cs="Arial"/>
          <w:color w:val="000000"/>
          <w:sz w:val="20"/>
          <w:szCs w:val="20"/>
        </w:rPr>
        <w:t xml:space="preserve">, bei der die einzelnen Mitarbeiter auf Sparten-, und Aufgabenebene selbst erfassen, wie viel Zeit sie für die einzelnen Tätigkeiten </w:t>
      </w:r>
      <w:r>
        <w:rPr>
          <w:rFonts w:ascii="Arial" w:hAnsi="Arial" w:cs="Arial"/>
          <w:color w:val="000000"/>
          <w:sz w:val="20"/>
          <w:szCs w:val="20"/>
        </w:rPr>
        <w:t xml:space="preserve">aufwenden. </w:t>
      </w:r>
      <w:r w:rsidRPr="00C928B2">
        <w:rPr>
          <w:rFonts w:ascii="Arial" w:hAnsi="Arial" w:cs="Arial"/>
          <w:color w:val="000000"/>
          <w:sz w:val="20"/>
          <w:szCs w:val="20"/>
        </w:rPr>
        <w:t xml:space="preserve">Beim Anlegen </w:t>
      </w:r>
      <w:r>
        <w:rPr>
          <w:rFonts w:ascii="Arial" w:hAnsi="Arial" w:cs="Arial"/>
          <w:color w:val="000000"/>
          <w:sz w:val="20"/>
          <w:szCs w:val="20"/>
        </w:rPr>
        <w:t>des</w:t>
      </w:r>
      <w:r w:rsidRPr="00C928B2">
        <w:rPr>
          <w:rFonts w:ascii="Arial" w:hAnsi="Arial" w:cs="Arial"/>
          <w:color w:val="000000"/>
          <w:sz w:val="20"/>
          <w:szCs w:val="20"/>
        </w:rPr>
        <w:t xml:space="preserve"> Tätigkeitsprofils können die Mitarbeiter </w:t>
      </w:r>
      <w:r>
        <w:rPr>
          <w:rFonts w:ascii="Arial" w:hAnsi="Arial" w:cs="Arial"/>
          <w:color w:val="000000"/>
          <w:sz w:val="20"/>
          <w:szCs w:val="20"/>
        </w:rPr>
        <w:t xml:space="preserve">zudem </w:t>
      </w:r>
      <w:r w:rsidRPr="00C928B2">
        <w:rPr>
          <w:rFonts w:ascii="Arial" w:hAnsi="Arial" w:cs="Arial"/>
          <w:color w:val="000000"/>
          <w:sz w:val="20"/>
          <w:szCs w:val="20"/>
        </w:rPr>
        <w:t xml:space="preserve">die Durchführbarkeit ihrer Aufgaben mit "gut", "schlecht" oder "gar nicht" bewerten. Mithilfe </w:t>
      </w:r>
      <w:r>
        <w:rPr>
          <w:rFonts w:ascii="Arial" w:hAnsi="Arial" w:cs="Arial"/>
          <w:color w:val="000000"/>
          <w:sz w:val="20"/>
          <w:szCs w:val="20"/>
        </w:rPr>
        <w:t>zusätzlicher</w:t>
      </w:r>
      <w:r w:rsidRPr="00C928B2">
        <w:rPr>
          <w:rFonts w:ascii="Arial" w:hAnsi="Arial" w:cs="Arial"/>
          <w:color w:val="000000"/>
          <w:sz w:val="20"/>
          <w:szCs w:val="20"/>
        </w:rPr>
        <w:t xml:space="preserve"> </w:t>
      </w:r>
      <w:r w:rsidRPr="00C928B2">
        <w:rPr>
          <w:rFonts w:ascii="Arial" w:hAnsi="Arial" w:cs="Arial"/>
          <w:color w:val="000000"/>
          <w:sz w:val="20"/>
          <w:szCs w:val="20"/>
        </w:rPr>
        <w:lastRenderedPageBreak/>
        <w:t>Anmerkungen</w:t>
      </w:r>
      <w:r>
        <w:rPr>
          <w:rFonts w:ascii="Arial" w:hAnsi="Arial" w:cs="Arial"/>
          <w:color w:val="000000"/>
          <w:sz w:val="20"/>
          <w:szCs w:val="20"/>
        </w:rPr>
        <w:t xml:space="preserve"> </w:t>
      </w:r>
      <w:r w:rsidRPr="00C928B2">
        <w:rPr>
          <w:rFonts w:ascii="Arial" w:hAnsi="Arial" w:cs="Arial"/>
          <w:color w:val="000000"/>
          <w:sz w:val="20"/>
          <w:szCs w:val="20"/>
        </w:rPr>
        <w:t>der Mitarbeiter</w:t>
      </w:r>
      <w:r>
        <w:rPr>
          <w:rFonts w:ascii="Arial" w:hAnsi="Arial" w:cs="Arial"/>
          <w:color w:val="000000"/>
          <w:sz w:val="20"/>
          <w:szCs w:val="20"/>
        </w:rPr>
        <w:t>,</w:t>
      </w:r>
      <w:r w:rsidRPr="00C928B2">
        <w:rPr>
          <w:rFonts w:ascii="Arial" w:hAnsi="Arial" w:cs="Arial"/>
          <w:color w:val="000000"/>
          <w:sz w:val="20"/>
          <w:szCs w:val="20"/>
        </w:rPr>
        <w:t xml:space="preserve"> </w:t>
      </w:r>
      <w:r>
        <w:rPr>
          <w:rFonts w:ascii="Arial" w:hAnsi="Arial" w:cs="Arial"/>
          <w:color w:val="000000"/>
          <w:sz w:val="20"/>
          <w:szCs w:val="20"/>
        </w:rPr>
        <w:t>die im System hinterlegt werden,</w:t>
      </w:r>
      <w:r w:rsidRPr="00C928B2">
        <w:rPr>
          <w:rFonts w:ascii="Arial" w:hAnsi="Arial" w:cs="Arial"/>
          <w:color w:val="000000"/>
          <w:sz w:val="20"/>
          <w:szCs w:val="20"/>
        </w:rPr>
        <w:t xml:space="preserve"> lassen sich </w:t>
      </w:r>
      <w:r>
        <w:rPr>
          <w:rFonts w:ascii="Arial" w:hAnsi="Arial" w:cs="Arial"/>
          <w:color w:val="000000"/>
          <w:sz w:val="20"/>
          <w:szCs w:val="20"/>
        </w:rPr>
        <w:t xml:space="preserve">so </w:t>
      </w:r>
      <w:r w:rsidRPr="00C928B2">
        <w:rPr>
          <w:rFonts w:ascii="Arial" w:hAnsi="Arial" w:cs="Arial"/>
          <w:color w:val="000000"/>
          <w:sz w:val="20"/>
          <w:szCs w:val="20"/>
        </w:rPr>
        <w:t>weitere reale Optimierungspotentiale ableiten.</w:t>
      </w:r>
    </w:p>
    <w:p w14:paraId="7F7F027F" w14:textId="77777777" w:rsidR="00F60993" w:rsidRPr="004509F1" w:rsidRDefault="00F60993" w:rsidP="00D86636">
      <w:pPr>
        <w:spacing w:line="360" w:lineRule="auto"/>
        <w:rPr>
          <w:rFonts w:ascii="Arial" w:hAnsi="Arial" w:cs="Arial"/>
          <w:color w:val="000000"/>
          <w:sz w:val="20"/>
          <w:szCs w:val="20"/>
        </w:rPr>
      </w:pPr>
      <w:r>
        <w:rPr>
          <w:rFonts w:ascii="Arial" w:hAnsi="Arial" w:cs="Arial"/>
          <w:color w:val="000000"/>
          <w:sz w:val="20"/>
          <w:szCs w:val="20"/>
        </w:rPr>
        <w:t xml:space="preserve">Mit dem Modul </w:t>
      </w:r>
      <w:proofErr w:type="spellStart"/>
      <w:r>
        <w:rPr>
          <w:rFonts w:ascii="Arial" w:hAnsi="Arial" w:cs="Arial"/>
          <w:color w:val="000000"/>
          <w:sz w:val="20"/>
          <w:szCs w:val="20"/>
        </w:rPr>
        <w:t>ProCo</w:t>
      </w:r>
      <w:proofErr w:type="spellEnd"/>
      <w:r>
        <w:rPr>
          <w:rFonts w:ascii="Arial" w:hAnsi="Arial" w:cs="Arial"/>
          <w:color w:val="000000"/>
          <w:sz w:val="20"/>
          <w:szCs w:val="20"/>
        </w:rPr>
        <w:t xml:space="preserve">-SK werden die </w:t>
      </w:r>
      <w:r w:rsidRPr="00C928B2">
        <w:rPr>
          <w:rFonts w:ascii="Arial" w:hAnsi="Arial" w:cs="Arial"/>
          <w:color w:val="000000"/>
          <w:sz w:val="20"/>
          <w:szCs w:val="20"/>
        </w:rPr>
        <w:t xml:space="preserve">Einzelbuchungen </w:t>
      </w:r>
      <w:r>
        <w:rPr>
          <w:rFonts w:ascii="Arial" w:hAnsi="Arial" w:cs="Arial"/>
          <w:color w:val="000000"/>
          <w:sz w:val="20"/>
          <w:szCs w:val="20"/>
        </w:rPr>
        <w:t>des</w:t>
      </w:r>
      <w:r w:rsidRPr="00C928B2">
        <w:rPr>
          <w:rFonts w:ascii="Arial" w:hAnsi="Arial" w:cs="Arial"/>
          <w:color w:val="000000"/>
          <w:sz w:val="20"/>
          <w:szCs w:val="20"/>
        </w:rPr>
        <w:t xml:space="preserve"> Unternehmens über einen automatisierten Importvorgang in </w:t>
      </w:r>
      <w:proofErr w:type="spellStart"/>
      <w:r w:rsidRPr="00C928B2">
        <w:rPr>
          <w:rFonts w:ascii="Arial" w:hAnsi="Arial" w:cs="Arial"/>
          <w:color w:val="000000"/>
          <w:sz w:val="20"/>
          <w:szCs w:val="20"/>
        </w:rPr>
        <w:t>ProCo</w:t>
      </w:r>
      <w:proofErr w:type="spellEnd"/>
      <w:r w:rsidRPr="00C928B2">
        <w:rPr>
          <w:rFonts w:ascii="Arial" w:hAnsi="Arial" w:cs="Arial"/>
          <w:color w:val="000000"/>
          <w:sz w:val="20"/>
          <w:szCs w:val="20"/>
        </w:rPr>
        <w:t xml:space="preserve"> bereitgestellt.</w:t>
      </w:r>
      <w:r>
        <w:rPr>
          <w:rFonts w:ascii="Arial" w:hAnsi="Arial" w:cs="Arial"/>
          <w:color w:val="000000"/>
          <w:sz w:val="20"/>
          <w:szCs w:val="20"/>
        </w:rPr>
        <w:t xml:space="preserve"> </w:t>
      </w:r>
      <w:r w:rsidRPr="00C928B2">
        <w:rPr>
          <w:rFonts w:ascii="Arial" w:hAnsi="Arial" w:cs="Arial"/>
          <w:color w:val="000000"/>
          <w:sz w:val="20"/>
          <w:szCs w:val="20"/>
        </w:rPr>
        <w:t>Anhand der Kostenarten erkennt das System automatisch die prozesskostenrelevanten Buchungen</w:t>
      </w:r>
      <w:r>
        <w:rPr>
          <w:rFonts w:ascii="Arial" w:hAnsi="Arial" w:cs="Arial"/>
          <w:color w:val="000000"/>
          <w:sz w:val="20"/>
          <w:szCs w:val="20"/>
        </w:rPr>
        <w:t xml:space="preserve"> und kann sie prozentual auf Prozesse und Kategorien verteilen.</w:t>
      </w:r>
    </w:p>
    <w:p w14:paraId="468FB214" w14:textId="77777777" w:rsidR="00F60993" w:rsidRDefault="00F60993" w:rsidP="00D86636">
      <w:pPr>
        <w:spacing w:line="360" w:lineRule="auto"/>
        <w:rPr>
          <w:rFonts w:ascii="Arial" w:hAnsi="Arial" w:cs="Tahoma"/>
          <w:sz w:val="20"/>
          <w:szCs w:val="20"/>
        </w:rPr>
      </w:pPr>
      <w:r w:rsidRPr="00650109">
        <w:rPr>
          <w:rFonts w:ascii="Arial" w:hAnsi="Arial" w:cs="Tahoma"/>
          <w:sz w:val="20"/>
          <w:szCs w:val="20"/>
        </w:rPr>
        <w:t xml:space="preserve">Durch die softwarebasierte Prozesskostenanalyse </w:t>
      </w:r>
      <w:r>
        <w:rPr>
          <w:rFonts w:ascii="Arial" w:hAnsi="Arial" w:cs="Tahoma"/>
          <w:sz w:val="20"/>
          <w:szCs w:val="20"/>
        </w:rPr>
        <w:t xml:space="preserve">mit </w:t>
      </w:r>
      <w:proofErr w:type="spellStart"/>
      <w:r>
        <w:rPr>
          <w:rFonts w:ascii="Arial" w:hAnsi="Arial" w:cs="Tahoma"/>
          <w:sz w:val="20"/>
          <w:szCs w:val="20"/>
        </w:rPr>
        <w:t>Vivax</w:t>
      </w:r>
      <w:proofErr w:type="spellEnd"/>
      <w:r>
        <w:rPr>
          <w:rFonts w:ascii="Arial" w:hAnsi="Arial" w:cs="Tahoma"/>
          <w:sz w:val="20"/>
          <w:szCs w:val="20"/>
        </w:rPr>
        <w:t xml:space="preserve"> Analytics </w:t>
      </w:r>
      <w:proofErr w:type="spellStart"/>
      <w:r>
        <w:rPr>
          <w:rFonts w:ascii="Arial" w:hAnsi="Arial" w:cs="Tahoma"/>
          <w:sz w:val="20"/>
          <w:szCs w:val="20"/>
        </w:rPr>
        <w:t>ProCo</w:t>
      </w:r>
      <w:proofErr w:type="spellEnd"/>
      <w:r w:rsidRPr="00650109">
        <w:rPr>
          <w:rFonts w:ascii="Arial" w:hAnsi="Arial" w:cs="Tahoma"/>
          <w:sz w:val="20"/>
          <w:szCs w:val="20"/>
        </w:rPr>
        <w:t xml:space="preserve"> sind Versorgungsunternehmen </w:t>
      </w:r>
      <w:r>
        <w:rPr>
          <w:rFonts w:ascii="Arial" w:hAnsi="Arial" w:cs="Tahoma"/>
          <w:sz w:val="20"/>
          <w:szCs w:val="20"/>
        </w:rPr>
        <w:t xml:space="preserve">und ihre Berater </w:t>
      </w:r>
      <w:r w:rsidRPr="00650109">
        <w:rPr>
          <w:rFonts w:ascii="Arial" w:hAnsi="Arial" w:cs="Tahoma"/>
          <w:sz w:val="20"/>
          <w:szCs w:val="20"/>
        </w:rPr>
        <w:t xml:space="preserve">in der Lage, die Effekte von Optimierungsmaßnahmen sofort zu überprüfen und gegebenenfalls </w:t>
      </w:r>
      <w:proofErr w:type="spellStart"/>
      <w:r w:rsidRPr="00650109">
        <w:rPr>
          <w:rFonts w:ascii="Arial" w:hAnsi="Arial" w:cs="Tahoma"/>
          <w:sz w:val="20"/>
          <w:szCs w:val="20"/>
        </w:rPr>
        <w:t>nachzujustieren</w:t>
      </w:r>
      <w:proofErr w:type="spellEnd"/>
      <w:r w:rsidRPr="00650109">
        <w:rPr>
          <w:rFonts w:ascii="Arial" w:hAnsi="Arial" w:cs="Tahoma"/>
          <w:sz w:val="20"/>
          <w:szCs w:val="20"/>
        </w:rPr>
        <w:t xml:space="preserve">. Denn sie können die Erfassung der Daten jederzeit eigenständig wiederholen und </w:t>
      </w:r>
      <w:r>
        <w:rPr>
          <w:rFonts w:ascii="Arial" w:hAnsi="Arial" w:cs="Tahoma"/>
          <w:sz w:val="20"/>
          <w:szCs w:val="20"/>
        </w:rPr>
        <w:t xml:space="preserve">so die </w:t>
      </w:r>
      <w:r w:rsidRPr="00F36DE3">
        <w:rPr>
          <w:rFonts w:ascii="Arial" w:hAnsi="Arial" w:cs="Tahoma"/>
          <w:sz w:val="20"/>
          <w:szCs w:val="20"/>
        </w:rPr>
        <w:t>Prozesskosten auf Tätigkeits-, Prozess- oder Bereichsebene</w:t>
      </w:r>
      <w:r>
        <w:rPr>
          <w:rFonts w:ascii="Arial" w:hAnsi="Arial" w:cs="Tahoma"/>
          <w:sz w:val="20"/>
          <w:szCs w:val="20"/>
        </w:rPr>
        <w:t xml:space="preserve"> regelmäßig auswerten</w:t>
      </w:r>
      <w:r w:rsidRPr="00650109">
        <w:rPr>
          <w:rFonts w:ascii="Arial" w:hAnsi="Arial" w:cs="Tahoma"/>
          <w:sz w:val="20"/>
          <w:szCs w:val="20"/>
        </w:rPr>
        <w:t xml:space="preserve">. Mithilfe des </w:t>
      </w:r>
      <w:proofErr w:type="spellStart"/>
      <w:r w:rsidRPr="00650109">
        <w:rPr>
          <w:rFonts w:ascii="Arial" w:hAnsi="Arial" w:cs="Tahoma"/>
          <w:sz w:val="20"/>
          <w:szCs w:val="20"/>
        </w:rPr>
        <w:t>Vivax</w:t>
      </w:r>
      <w:proofErr w:type="spellEnd"/>
      <w:r w:rsidRPr="00650109">
        <w:rPr>
          <w:rFonts w:ascii="Arial" w:hAnsi="Arial" w:cs="Tahoma"/>
          <w:sz w:val="20"/>
          <w:szCs w:val="20"/>
        </w:rPr>
        <w:t xml:space="preserve">-Prozessmodells ist es </w:t>
      </w:r>
      <w:r>
        <w:rPr>
          <w:rFonts w:ascii="Arial" w:hAnsi="Arial" w:cs="Tahoma"/>
          <w:sz w:val="20"/>
          <w:szCs w:val="20"/>
        </w:rPr>
        <w:t>so</w:t>
      </w:r>
      <w:r w:rsidRPr="00650109">
        <w:rPr>
          <w:rFonts w:ascii="Arial" w:hAnsi="Arial" w:cs="Tahoma"/>
          <w:sz w:val="20"/>
          <w:szCs w:val="20"/>
        </w:rPr>
        <w:t xml:space="preserve"> möglich, einen kontinuierlichen Verbesserungsprozess aufzusetzen und die Wettbewerbsfähigkeit immer weiter zu steigern</w:t>
      </w:r>
      <w:r>
        <w:rPr>
          <w:rFonts w:ascii="Arial" w:hAnsi="Arial" w:cs="Tahoma"/>
          <w:sz w:val="20"/>
          <w:szCs w:val="20"/>
        </w:rPr>
        <w:t>.</w:t>
      </w:r>
    </w:p>
    <w:p w14:paraId="11AF917E" w14:textId="1FDFBB97" w:rsidR="00F60993" w:rsidRPr="00AB23C8" w:rsidRDefault="00F60993" w:rsidP="00F60993">
      <w:pPr>
        <w:spacing w:line="360" w:lineRule="auto"/>
        <w:rPr>
          <w:rFonts w:ascii="Arial" w:hAnsi="Arial" w:cs="Tahoma"/>
          <w:sz w:val="20"/>
          <w:szCs w:val="20"/>
        </w:rPr>
      </w:pPr>
      <w:proofErr w:type="spellStart"/>
      <w:r>
        <w:rPr>
          <w:rFonts w:ascii="Arial" w:hAnsi="Arial" w:cs="Tahoma"/>
          <w:sz w:val="20"/>
          <w:szCs w:val="20"/>
        </w:rPr>
        <w:t>Vivax</w:t>
      </w:r>
      <w:proofErr w:type="spellEnd"/>
      <w:r>
        <w:rPr>
          <w:rFonts w:ascii="Arial" w:hAnsi="Arial" w:cs="Tahoma"/>
          <w:sz w:val="20"/>
          <w:szCs w:val="20"/>
        </w:rPr>
        <w:t xml:space="preserve"> Analytics </w:t>
      </w:r>
      <w:proofErr w:type="spellStart"/>
      <w:r>
        <w:rPr>
          <w:rFonts w:ascii="Arial" w:hAnsi="Arial" w:cs="Tahoma"/>
          <w:sz w:val="20"/>
          <w:szCs w:val="20"/>
        </w:rPr>
        <w:t>ProCo</w:t>
      </w:r>
      <w:proofErr w:type="spellEnd"/>
      <w:r>
        <w:rPr>
          <w:rFonts w:ascii="Arial" w:hAnsi="Arial" w:cs="Tahoma"/>
          <w:sz w:val="20"/>
          <w:szCs w:val="20"/>
        </w:rPr>
        <w:t xml:space="preserve"> wird als Cloud-Anwendung angeboten. Die DSGVO-konforme cloudbasierte Version </w:t>
      </w:r>
      <w:r w:rsidRPr="003B1A9C">
        <w:rPr>
          <w:rFonts w:ascii="Arial" w:hAnsi="Arial" w:cs="Tahoma"/>
          <w:sz w:val="20"/>
          <w:szCs w:val="20"/>
        </w:rPr>
        <w:t xml:space="preserve">liefert </w:t>
      </w:r>
      <w:r>
        <w:rPr>
          <w:rFonts w:ascii="Arial" w:hAnsi="Arial" w:cs="Tahoma"/>
          <w:sz w:val="20"/>
          <w:szCs w:val="20"/>
        </w:rPr>
        <w:t>künftig zudem</w:t>
      </w:r>
      <w:r w:rsidRPr="003B1A9C">
        <w:rPr>
          <w:rFonts w:ascii="Arial" w:hAnsi="Arial" w:cs="Tahoma"/>
          <w:sz w:val="20"/>
          <w:szCs w:val="20"/>
        </w:rPr>
        <w:t xml:space="preserve"> die </w:t>
      </w:r>
      <w:r>
        <w:rPr>
          <w:rFonts w:ascii="Arial" w:hAnsi="Arial" w:cs="Tahoma"/>
          <w:sz w:val="20"/>
          <w:szCs w:val="20"/>
        </w:rPr>
        <w:t>Basis</w:t>
      </w:r>
      <w:r w:rsidRPr="003B1A9C">
        <w:rPr>
          <w:rFonts w:ascii="Arial" w:hAnsi="Arial" w:cs="Tahoma"/>
          <w:sz w:val="20"/>
          <w:szCs w:val="20"/>
        </w:rPr>
        <w:t xml:space="preserve"> für ein umfangreiches Benchmarking. Damit sehen die Unternehmen nicht nur, wo sie selbst stehen, sondern auch, wo im Vergleich zu ähnlich strukturierten Versorgern weitere Optimierungspotenziale </w:t>
      </w:r>
      <w:r>
        <w:rPr>
          <w:rFonts w:ascii="Arial" w:hAnsi="Arial" w:cs="Tahoma"/>
          <w:sz w:val="20"/>
          <w:szCs w:val="20"/>
        </w:rPr>
        <w:t>liegen. In Arbeit ist zudem ein internes Benchmark-Verfahren, mit dem die Entwicklung des eigenen Unternehmens über die Jahre hinweg sichtbar gemacht werden kann.</w:t>
      </w:r>
    </w:p>
    <w:tbl>
      <w:tblPr>
        <w:tblW w:w="9180" w:type="dxa"/>
        <w:tblLook w:val="04A0" w:firstRow="1" w:lastRow="0" w:firstColumn="1" w:lastColumn="0" w:noHBand="0" w:noVBand="1"/>
      </w:tblPr>
      <w:tblGrid>
        <w:gridCol w:w="4361"/>
        <w:gridCol w:w="4819"/>
      </w:tblGrid>
      <w:tr w:rsidR="004F16FC" w:rsidRPr="000655B7" w14:paraId="3627808B" w14:textId="77777777" w:rsidTr="00CF4EB0">
        <w:tc>
          <w:tcPr>
            <w:tcW w:w="4361" w:type="dxa"/>
            <w:shd w:val="clear" w:color="auto" w:fill="auto"/>
          </w:tcPr>
          <w:p w14:paraId="316E0705" w14:textId="17AB4D8D" w:rsidR="004F16FC" w:rsidRPr="004F16FC" w:rsidRDefault="004F16FC" w:rsidP="004F16FC">
            <w:pPr>
              <w:widowControl w:val="0"/>
              <w:tabs>
                <w:tab w:val="left" w:pos="3969"/>
              </w:tabs>
              <w:autoSpaceDE w:val="0"/>
              <w:autoSpaceDN w:val="0"/>
              <w:adjustRightInd w:val="0"/>
              <w:spacing w:line="240" w:lineRule="auto"/>
              <w:ind w:left="-109" w:right="176"/>
              <w:rPr>
                <w:rFonts w:ascii="Arial" w:hAnsi="Arial" w:cs="Calibri"/>
                <w:sz w:val="16"/>
                <w:szCs w:val="26"/>
                <w:lang w:eastAsia="de-DE"/>
              </w:rPr>
            </w:pPr>
            <w:r w:rsidRPr="000655B7">
              <w:rPr>
                <w:rFonts w:ascii="Arial" w:hAnsi="Arial" w:cs="Calibri"/>
                <w:b/>
                <w:sz w:val="16"/>
                <w:szCs w:val="26"/>
                <w:lang w:eastAsia="de-DE"/>
              </w:rPr>
              <w:t>Kontaktdaten:</w:t>
            </w:r>
            <w:r w:rsidRPr="000655B7">
              <w:rPr>
                <w:rFonts w:ascii="Arial" w:hAnsi="Arial" w:cs="Calibri"/>
                <w:b/>
                <w:sz w:val="16"/>
                <w:szCs w:val="26"/>
                <w:lang w:eastAsia="de-DE"/>
              </w:rPr>
              <w:br/>
            </w: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proofErr w:type="spellStart"/>
            <w:r w:rsidRPr="007B0E5E">
              <w:rPr>
                <w:rFonts w:ascii="Arial" w:hAnsi="Arial" w:cs="Calibri"/>
                <w:sz w:val="16"/>
                <w:szCs w:val="26"/>
                <w:lang w:eastAsia="de-DE"/>
              </w:rPr>
              <w:t>Drakestraße</w:t>
            </w:r>
            <w:proofErr w:type="spellEnd"/>
            <w:r w:rsidRPr="007B0E5E">
              <w:rPr>
                <w:rFonts w:ascii="Arial" w:hAnsi="Arial" w:cs="Calibri"/>
                <w:sz w:val="16"/>
                <w:szCs w:val="26"/>
                <w:lang w:eastAsia="de-DE"/>
              </w:rPr>
              <w:t xml:space="preserve"> 24 </w:t>
            </w:r>
            <w:r>
              <w:rPr>
                <w:rFonts w:ascii="Arial" w:hAnsi="Arial" w:cs="Calibri"/>
                <w:sz w:val="16"/>
                <w:szCs w:val="26"/>
                <w:lang w:eastAsia="de-DE"/>
              </w:rPr>
              <w:t>–</w:t>
            </w:r>
            <w:r w:rsidRPr="007B0E5E">
              <w:rPr>
                <w:rFonts w:ascii="Arial" w:hAnsi="Arial" w:cs="Calibri"/>
                <w:sz w:val="16"/>
                <w:szCs w:val="26"/>
                <w:lang w:eastAsia="de-DE"/>
              </w:rPr>
              <w:t> 12205 Berlin</w:t>
            </w:r>
            <w:r>
              <w:rPr>
                <w:rFonts w:ascii="Arial" w:hAnsi="Arial" w:cs="Calibri"/>
                <w:sz w:val="16"/>
                <w:szCs w:val="26"/>
                <w:lang w:eastAsia="de-DE"/>
              </w:rPr>
              <w:br/>
            </w:r>
            <w:r w:rsidRPr="008457BE">
              <w:rPr>
                <w:rFonts w:ascii="Arial" w:hAnsi="Arial" w:cs="Calibri"/>
                <w:sz w:val="16"/>
                <w:szCs w:val="26"/>
                <w:lang w:eastAsia="de-DE"/>
              </w:rPr>
              <w:t xml:space="preserve">Tel: </w:t>
            </w:r>
            <w:r>
              <w:rPr>
                <w:rFonts w:ascii="Arial" w:hAnsi="Arial" w:cs="Calibri"/>
                <w:sz w:val="16"/>
                <w:szCs w:val="26"/>
                <w:lang w:eastAsia="de-DE"/>
              </w:rPr>
              <w:t>+</w:t>
            </w:r>
            <w:r w:rsidRPr="008457BE">
              <w:rPr>
                <w:rFonts w:ascii="Arial" w:hAnsi="Arial" w:cs="Calibri"/>
                <w:sz w:val="16"/>
                <w:szCs w:val="26"/>
                <w:lang w:eastAsia="de-DE"/>
              </w:rPr>
              <w:t>49 30 700 159 805</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t>www.</w:t>
            </w:r>
            <w:r>
              <w:rPr>
                <w:rFonts w:ascii="Arial" w:hAnsi="Arial" w:cs="Calibri"/>
                <w:sz w:val="16"/>
                <w:szCs w:val="26"/>
                <w:lang w:eastAsia="de-DE"/>
              </w:rPr>
              <w:t>tkt-vivax.de</w:t>
            </w:r>
          </w:p>
        </w:tc>
        <w:tc>
          <w:tcPr>
            <w:tcW w:w="4819" w:type="dxa"/>
            <w:shd w:val="clear" w:color="auto" w:fill="auto"/>
          </w:tcPr>
          <w:p w14:paraId="65101CA3" w14:textId="77777777" w:rsidR="004F16FC" w:rsidRPr="000655B7" w:rsidRDefault="004F16FC" w:rsidP="00CF4EB0">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D-89077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8"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p w14:paraId="247B1A7B" w14:textId="77777777" w:rsidR="004F16FC" w:rsidRPr="005D3D1E" w:rsidRDefault="004F16FC" w:rsidP="004F16FC">
      <w:pPr>
        <w:widowControl w:val="0"/>
        <w:autoSpaceDE w:val="0"/>
        <w:autoSpaceDN w:val="0"/>
        <w:adjustRightInd w:val="0"/>
        <w:spacing w:line="240" w:lineRule="auto"/>
        <w:ind w:left="34"/>
        <w:rPr>
          <w:rFonts w:ascii="Arial" w:hAnsi="Arial" w:cs="Calibri"/>
          <w:sz w:val="16"/>
          <w:szCs w:val="26"/>
          <w:lang w:eastAsia="de-DE"/>
        </w:rPr>
      </w:pPr>
      <w:r w:rsidRPr="000655B7">
        <w:rPr>
          <w:rFonts w:ascii="Arial" w:hAnsi="Arial" w:cs="Calibri"/>
          <w:sz w:val="16"/>
          <w:szCs w:val="26"/>
          <w:lang w:eastAsia="de-DE"/>
        </w:rPr>
        <w:t>Die</w:t>
      </w:r>
      <w:r>
        <w:rPr>
          <w:rFonts w:ascii="Arial" w:hAnsi="Arial" w:cs="Calibri"/>
          <w:sz w:val="16"/>
          <w:szCs w:val="26"/>
          <w:lang w:eastAsia="de-DE"/>
        </w:rPr>
        <w:t xml:space="preserve"> </w:t>
      </w:r>
      <w:proofErr w:type="spellStart"/>
      <w:r>
        <w:rPr>
          <w:rFonts w:ascii="Arial" w:hAnsi="Arial" w:cs="Calibri"/>
          <w:sz w:val="16"/>
          <w:szCs w:val="26"/>
          <w:lang w:eastAsia="de-DE"/>
        </w:rPr>
        <w:t>tktVivax</w:t>
      </w:r>
      <w:proofErr w:type="spellEnd"/>
      <w:r>
        <w:rPr>
          <w:rFonts w:ascii="Arial" w:hAnsi="Arial" w:cs="Calibri"/>
          <w:sz w:val="16"/>
          <w:szCs w:val="26"/>
          <w:lang w:eastAsia="de-DE"/>
        </w:rPr>
        <w:t xml:space="preserve"> </w:t>
      </w:r>
      <w:r w:rsidRPr="000655B7">
        <w:rPr>
          <w:rFonts w:ascii="Arial" w:hAnsi="Arial" w:cs="Calibri"/>
          <w:sz w:val="16"/>
          <w:szCs w:val="26"/>
          <w:lang w:eastAsia="de-DE"/>
        </w:rPr>
        <w:t xml:space="preserve">GmbH mit Sitz in </w:t>
      </w:r>
      <w:r>
        <w:rPr>
          <w:rFonts w:ascii="Arial" w:hAnsi="Arial" w:cs="Calibri"/>
          <w:sz w:val="16"/>
          <w:szCs w:val="26"/>
          <w:lang w:eastAsia="de-DE"/>
        </w:rPr>
        <w:t xml:space="preserve">Berlin und Niederlassungen in Stuttgart (Backnang) und Köln unterstützt ihre Kunden im </w:t>
      </w:r>
      <w:r w:rsidRPr="007749DD">
        <w:rPr>
          <w:rFonts w:ascii="Arial" w:hAnsi="Arial" w:cs="Calibri"/>
          <w:sz w:val="16"/>
          <w:szCs w:val="26"/>
          <w:lang w:eastAsia="de-DE"/>
        </w:rPr>
        <w:t xml:space="preserve">Bereich zukunftsorientierter Telekommunikationstechnologien </w:t>
      </w:r>
      <w:r>
        <w:rPr>
          <w:rFonts w:ascii="Arial" w:hAnsi="Arial" w:cs="Calibri"/>
          <w:sz w:val="16"/>
          <w:szCs w:val="26"/>
          <w:lang w:eastAsia="de-DE"/>
        </w:rPr>
        <w:t>sowie mit</w:t>
      </w:r>
      <w:r w:rsidRPr="007749DD">
        <w:rPr>
          <w:rFonts w:ascii="Arial" w:hAnsi="Arial" w:cs="Calibri"/>
          <w:sz w:val="16"/>
          <w:szCs w:val="26"/>
          <w:lang w:eastAsia="de-DE"/>
        </w:rPr>
        <w:t xml:space="preserve"> Organisations-, Prozess- und Digi</w:t>
      </w:r>
      <w:r>
        <w:rPr>
          <w:rFonts w:ascii="Arial" w:hAnsi="Arial" w:cs="Calibri"/>
          <w:sz w:val="16"/>
          <w:szCs w:val="26"/>
          <w:lang w:eastAsia="de-DE"/>
        </w:rPr>
        <w:t>t</w:t>
      </w:r>
      <w:r w:rsidRPr="007749DD">
        <w:rPr>
          <w:rFonts w:ascii="Arial" w:hAnsi="Arial" w:cs="Calibri"/>
          <w:sz w:val="16"/>
          <w:szCs w:val="26"/>
          <w:lang w:eastAsia="de-DE"/>
        </w:rPr>
        <w:t>alisierungsberatung in der kommunalen Versorgungswirtschaft.</w:t>
      </w:r>
      <w:r>
        <w:rPr>
          <w:rFonts w:ascii="Arial" w:hAnsi="Arial" w:cs="Calibri"/>
          <w:sz w:val="16"/>
          <w:szCs w:val="26"/>
          <w:lang w:eastAsia="de-DE"/>
        </w:rPr>
        <w:t xml:space="preserve"> Mit rund 50 Mitarbeitern deckt das Beratungsunternehmen ein breites Spektrum von der Analyse, </w:t>
      </w:r>
      <w:r w:rsidRPr="00AD4250">
        <w:rPr>
          <w:rFonts w:ascii="Arial" w:hAnsi="Arial" w:cs="Calibri"/>
          <w:sz w:val="16"/>
          <w:szCs w:val="26"/>
          <w:lang w:eastAsia="de-DE"/>
        </w:rPr>
        <w:t>Strategiefindung und Fördermittelberatung über die Neu- und Umgestaltung von Prozessen und Organisationen</w:t>
      </w:r>
      <w:r>
        <w:rPr>
          <w:rFonts w:ascii="Arial" w:hAnsi="Arial" w:cs="Calibri"/>
          <w:sz w:val="16"/>
          <w:szCs w:val="26"/>
          <w:lang w:eastAsia="de-DE"/>
        </w:rPr>
        <w:t xml:space="preserve"> in allen Bereichen der Versorgungswirtschaft</w:t>
      </w:r>
      <w:r w:rsidRPr="00AD4250">
        <w:rPr>
          <w:rFonts w:ascii="Arial" w:hAnsi="Arial" w:cs="Calibri"/>
          <w:sz w:val="16"/>
          <w:szCs w:val="26"/>
          <w:lang w:eastAsia="de-DE"/>
        </w:rPr>
        <w:t xml:space="preserve"> bis hin zur Planungs- und Umsetzungsbegleitung</w:t>
      </w:r>
      <w:r>
        <w:rPr>
          <w:rFonts w:ascii="Arial" w:hAnsi="Arial" w:cs="Calibri"/>
          <w:sz w:val="16"/>
          <w:szCs w:val="26"/>
          <w:lang w:eastAsia="de-DE"/>
        </w:rPr>
        <w:t xml:space="preserve"> von Glasfaser- und 5G-Infrastrukturen an. Zielgruppe sind sowohl Stadtwerke als auch Kommunalverwaltungen.</w:t>
      </w:r>
    </w:p>
    <w:p w14:paraId="2E55E5C6" w14:textId="7E857728" w:rsidR="007749DD" w:rsidRPr="005D3D1E" w:rsidRDefault="007749DD" w:rsidP="001E3CB7">
      <w:pPr>
        <w:widowControl w:val="0"/>
        <w:autoSpaceDE w:val="0"/>
        <w:autoSpaceDN w:val="0"/>
        <w:adjustRightInd w:val="0"/>
        <w:spacing w:line="240" w:lineRule="auto"/>
        <w:ind w:left="34"/>
        <w:rPr>
          <w:rFonts w:ascii="Arial" w:hAnsi="Arial" w:cs="Calibri"/>
          <w:sz w:val="16"/>
          <w:szCs w:val="26"/>
          <w:lang w:eastAsia="de-DE"/>
        </w:rPr>
      </w:pPr>
    </w:p>
    <w:sectPr w:rsidR="007749DD" w:rsidRPr="005D3D1E" w:rsidSect="000655B7">
      <w:headerReference w:type="default" r:id="rId9"/>
      <w:pgSz w:w="12240" w:h="15840"/>
      <w:pgMar w:top="1701" w:right="3735" w:bottom="1134"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0A7200" w14:textId="77777777" w:rsidR="00EA349D" w:rsidRDefault="00EA349D" w:rsidP="00BF70FE">
      <w:pPr>
        <w:spacing w:after="0" w:line="240" w:lineRule="auto"/>
      </w:pPr>
      <w:r>
        <w:separator/>
      </w:r>
    </w:p>
  </w:endnote>
  <w:endnote w:type="continuationSeparator" w:id="0">
    <w:p w14:paraId="1C96D5DC" w14:textId="77777777" w:rsidR="00EA349D" w:rsidRDefault="00EA349D"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altName w:val="Calibri"/>
    <w:panose1 w:val="020B0604020202020204"/>
    <w:charset w:val="00"/>
    <w:family w:val="swiss"/>
    <w:pitch w:val="variable"/>
    <w:sig w:usb0="21002A87" w:usb1="00000000" w:usb2="00000000" w:usb3="00000000" w:csb0="0001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A894E2" w14:textId="77777777" w:rsidR="00EA349D" w:rsidRDefault="00EA349D" w:rsidP="00BF70FE">
      <w:pPr>
        <w:spacing w:after="0" w:line="240" w:lineRule="auto"/>
      </w:pPr>
      <w:r>
        <w:separator/>
      </w:r>
    </w:p>
  </w:footnote>
  <w:footnote w:type="continuationSeparator" w:id="0">
    <w:p w14:paraId="6CAC6F7E" w14:textId="77777777" w:rsidR="00EA349D" w:rsidRDefault="00EA349D"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049685" w14:textId="318F9223" w:rsidR="00B96701" w:rsidRDefault="00E478B7" w:rsidP="002757A3">
    <w:pPr>
      <w:pStyle w:val="Kopfzeile"/>
      <w:ind w:right="-2268"/>
      <w:jc w:val="right"/>
    </w:pPr>
    <w:r>
      <w:rPr>
        <w:noProof/>
        <w:lang w:eastAsia="de-DE"/>
      </w:rPr>
      <w:drawing>
        <wp:inline distT="0" distB="0" distL="0" distR="0" wp14:anchorId="4445E150" wp14:editId="47E183F1">
          <wp:extent cx="1758237" cy="433606"/>
          <wp:effectExtent l="0" t="0" r="0" b="50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ktvivax logo 80%k.jpg"/>
                  <pic:cNvPicPr/>
                </pic:nvPicPr>
                <pic:blipFill>
                  <a:blip r:embed="rId1"/>
                  <a:stretch>
                    <a:fillRect/>
                  </a:stretch>
                </pic:blipFill>
                <pic:spPr>
                  <a:xfrm>
                    <a:off x="0" y="0"/>
                    <a:ext cx="1882966" cy="464366"/>
                  </a:xfrm>
                  <a:prstGeom prst="rect">
                    <a:avLst/>
                  </a:prstGeom>
                </pic:spPr>
              </pic:pic>
            </a:graphicData>
          </a:graphic>
        </wp:inline>
      </w:drawing>
    </w:r>
    <w:r w:rsidR="00B96701">
      <w:rPr>
        <w:noProof/>
        <w:lang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30"/>
  <w:proofState w:spelling="clean" w:grammar="clean"/>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6AC0"/>
    <w:rsid w:val="00026CFD"/>
    <w:rsid w:val="00037B8A"/>
    <w:rsid w:val="00054B56"/>
    <w:rsid w:val="0006200B"/>
    <w:rsid w:val="00065270"/>
    <w:rsid w:val="000655B7"/>
    <w:rsid w:val="00065961"/>
    <w:rsid w:val="0007688A"/>
    <w:rsid w:val="000823CF"/>
    <w:rsid w:val="000A1E6B"/>
    <w:rsid w:val="000A4C5E"/>
    <w:rsid w:val="000A4C93"/>
    <w:rsid w:val="000C4746"/>
    <w:rsid w:val="000D4DE3"/>
    <w:rsid w:val="000E087D"/>
    <w:rsid w:val="000E7CE7"/>
    <w:rsid w:val="000F2111"/>
    <w:rsid w:val="000F4F9D"/>
    <w:rsid w:val="0010198B"/>
    <w:rsid w:val="00104674"/>
    <w:rsid w:val="00106821"/>
    <w:rsid w:val="00131142"/>
    <w:rsid w:val="0013234F"/>
    <w:rsid w:val="00132DC4"/>
    <w:rsid w:val="00135237"/>
    <w:rsid w:val="00157861"/>
    <w:rsid w:val="00181FBB"/>
    <w:rsid w:val="00187FC7"/>
    <w:rsid w:val="001C51EC"/>
    <w:rsid w:val="001D2FB7"/>
    <w:rsid w:val="001E3CB7"/>
    <w:rsid w:val="001E6755"/>
    <w:rsid w:val="001E6F47"/>
    <w:rsid w:val="001F293E"/>
    <w:rsid w:val="00205941"/>
    <w:rsid w:val="00207A9F"/>
    <w:rsid w:val="00213AF7"/>
    <w:rsid w:val="00221777"/>
    <w:rsid w:val="00237217"/>
    <w:rsid w:val="00262A08"/>
    <w:rsid w:val="00265589"/>
    <w:rsid w:val="002745F8"/>
    <w:rsid w:val="002757A3"/>
    <w:rsid w:val="0028558F"/>
    <w:rsid w:val="002A7E29"/>
    <w:rsid w:val="002B36BE"/>
    <w:rsid w:val="002B3E9E"/>
    <w:rsid w:val="002D5B66"/>
    <w:rsid w:val="002D6045"/>
    <w:rsid w:val="002E0481"/>
    <w:rsid w:val="002F1BFF"/>
    <w:rsid w:val="0030091A"/>
    <w:rsid w:val="00304113"/>
    <w:rsid w:val="00314048"/>
    <w:rsid w:val="003274D8"/>
    <w:rsid w:val="00341A34"/>
    <w:rsid w:val="0035256E"/>
    <w:rsid w:val="00362AE7"/>
    <w:rsid w:val="00394D5C"/>
    <w:rsid w:val="003953CA"/>
    <w:rsid w:val="003A3B30"/>
    <w:rsid w:val="003A6602"/>
    <w:rsid w:val="003B1A9C"/>
    <w:rsid w:val="003B4407"/>
    <w:rsid w:val="003B6004"/>
    <w:rsid w:val="003B69BD"/>
    <w:rsid w:val="003C0B6F"/>
    <w:rsid w:val="003C475B"/>
    <w:rsid w:val="003D63AC"/>
    <w:rsid w:val="00402F7C"/>
    <w:rsid w:val="00406C69"/>
    <w:rsid w:val="004112BE"/>
    <w:rsid w:val="004137FD"/>
    <w:rsid w:val="00427AD2"/>
    <w:rsid w:val="004422BD"/>
    <w:rsid w:val="004467C0"/>
    <w:rsid w:val="004509F1"/>
    <w:rsid w:val="004540FC"/>
    <w:rsid w:val="00454989"/>
    <w:rsid w:val="004638B5"/>
    <w:rsid w:val="00463FE6"/>
    <w:rsid w:val="00465CBB"/>
    <w:rsid w:val="004713E0"/>
    <w:rsid w:val="004810F6"/>
    <w:rsid w:val="00497AEF"/>
    <w:rsid w:val="004B0D7E"/>
    <w:rsid w:val="004F16FC"/>
    <w:rsid w:val="004F5892"/>
    <w:rsid w:val="00521E6A"/>
    <w:rsid w:val="0053379A"/>
    <w:rsid w:val="00556FEE"/>
    <w:rsid w:val="005577A0"/>
    <w:rsid w:val="00557F58"/>
    <w:rsid w:val="00576A90"/>
    <w:rsid w:val="00576E59"/>
    <w:rsid w:val="00582ECD"/>
    <w:rsid w:val="005926D7"/>
    <w:rsid w:val="005958C2"/>
    <w:rsid w:val="00596BC4"/>
    <w:rsid w:val="005D3D1E"/>
    <w:rsid w:val="005F63B7"/>
    <w:rsid w:val="00633111"/>
    <w:rsid w:val="00640EED"/>
    <w:rsid w:val="00650109"/>
    <w:rsid w:val="006563BE"/>
    <w:rsid w:val="006567FF"/>
    <w:rsid w:val="0065693D"/>
    <w:rsid w:val="00664FF9"/>
    <w:rsid w:val="006663C8"/>
    <w:rsid w:val="006769C9"/>
    <w:rsid w:val="00681349"/>
    <w:rsid w:val="00682686"/>
    <w:rsid w:val="00682E83"/>
    <w:rsid w:val="006A652B"/>
    <w:rsid w:val="006D38DD"/>
    <w:rsid w:val="006F2189"/>
    <w:rsid w:val="00705635"/>
    <w:rsid w:val="00712F91"/>
    <w:rsid w:val="00714AB5"/>
    <w:rsid w:val="00715711"/>
    <w:rsid w:val="007162A5"/>
    <w:rsid w:val="007169F8"/>
    <w:rsid w:val="00726D0D"/>
    <w:rsid w:val="00732F57"/>
    <w:rsid w:val="00734E26"/>
    <w:rsid w:val="00742C79"/>
    <w:rsid w:val="00751621"/>
    <w:rsid w:val="00752985"/>
    <w:rsid w:val="00753CE4"/>
    <w:rsid w:val="007543B9"/>
    <w:rsid w:val="00764363"/>
    <w:rsid w:val="00766B7A"/>
    <w:rsid w:val="007749DD"/>
    <w:rsid w:val="007768B7"/>
    <w:rsid w:val="00780026"/>
    <w:rsid w:val="00785A83"/>
    <w:rsid w:val="00785BC8"/>
    <w:rsid w:val="007B40BC"/>
    <w:rsid w:val="007F3F43"/>
    <w:rsid w:val="00803966"/>
    <w:rsid w:val="00822F51"/>
    <w:rsid w:val="008457BE"/>
    <w:rsid w:val="00860C87"/>
    <w:rsid w:val="00872E24"/>
    <w:rsid w:val="008C3262"/>
    <w:rsid w:val="00915DD5"/>
    <w:rsid w:val="00927393"/>
    <w:rsid w:val="00937B5E"/>
    <w:rsid w:val="0094694E"/>
    <w:rsid w:val="00953399"/>
    <w:rsid w:val="0095460E"/>
    <w:rsid w:val="00972598"/>
    <w:rsid w:val="0098474D"/>
    <w:rsid w:val="00993991"/>
    <w:rsid w:val="009A5414"/>
    <w:rsid w:val="009B04A2"/>
    <w:rsid w:val="009C0CE4"/>
    <w:rsid w:val="009E6B35"/>
    <w:rsid w:val="009F0C3D"/>
    <w:rsid w:val="00A22923"/>
    <w:rsid w:val="00A25183"/>
    <w:rsid w:val="00A257D2"/>
    <w:rsid w:val="00A32BA5"/>
    <w:rsid w:val="00A339B3"/>
    <w:rsid w:val="00A461EC"/>
    <w:rsid w:val="00A462DC"/>
    <w:rsid w:val="00A473B5"/>
    <w:rsid w:val="00A551F1"/>
    <w:rsid w:val="00A55C3C"/>
    <w:rsid w:val="00A56E5A"/>
    <w:rsid w:val="00A8365C"/>
    <w:rsid w:val="00A86E2E"/>
    <w:rsid w:val="00AB23C8"/>
    <w:rsid w:val="00AC6091"/>
    <w:rsid w:val="00AD08BE"/>
    <w:rsid w:val="00AD4250"/>
    <w:rsid w:val="00B0176F"/>
    <w:rsid w:val="00B11CFE"/>
    <w:rsid w:val="00B20263"/>
    <w:rsid w:val="00B27B9D"/>
    <w:rsid w:val="00B43DB2"/>
    <w:rsid w:val="00B46CF9"/>
    <w:rsid w:val="00B47F46"/>
    <w:rsid w:val="00B71C92"/>
    <w:rsid w:val="00B753D5"/>
    <w:rsid w:val="00B7572B"/>
    <w:rsid w:val="00B819A5"/>
    <w:rsid w:val="00B857E2"/>
    <w:rsid w:val="00B96701"/>
    <w:rsid w:val="00BA51BE"/>
    <w:rsid w:val="00BB2612"/>
    <w:rsid w:val="00BB3C47"/>
    <w:rsid w:val="00BC1CCE"/>
    <w:rsid w:val="00BC3A66"/>
    <w:rsid w:val="00BE3C7C"/>
    <w:rsid w:val="00BF3BB4"/>
    <w:rsid w:val="00BF70FE"/>
    <w:rsid w:val="00C27553"/>
    <w:rsid w:val="00C32033"/>
    <w:rsid w:val="00C424EF"/>
    <w:rsid w:val="00C52268"/>
    <w:rsid w:val="00C61B5D"/>
    <w:rsid w:val="00C6235A"/>
    <w:rsid w:val="00C74157"/>
    <w:rsid w:val="00C84CCA"/>
    <w:rsid w:val="00C91823"/>
    <w:rsid w:val="00C928B2"/>
    <w:rsid w:val="00CB2102"/>
    <w:rsid w:val="00CB3800"/>
    <w:rsid w:val="00CC44E9"/>
    <w:rsid w:val="00CC4D60"/>
    <w:rsid w:val="00CD3EF6"/>
    <w:rsid w:val="00CD490F"/>
    <w:rsid w:val="00CD5183"/>
    <w:rsid w:val="00CF04AC"/>
    <w:rsid w:val="00D02991"/>
    <w:rsid w:val="00D1662C"/>
    <w:rsid w:val="00D16EBD"/>
    <w:rsid w:val="00D20803"/>
    <w:rsid w:val="00D2582F"/>
    <w:rsid w:val="00D429BE"/>
    <w:rsid w:val="00D52A64"/>
    <w:rsid w:val="00D572B9"/>
    <w:rsid w:val="00D63982"/>
    <w:rsid w:val="00D9728A"/>
    <w:rsid w:val="00DA183D"/>
    <w:rsid w:val="00DC1341"/>
    <w:rsid w:val="00DC2EE2"/>
    <w:rsid w:val="00DE4605"/>
    <w:rsid w:val="00DF3864"/>
    <w:rsid w:val="00DF581E"/>
    <w:rsid w:val="00E034D3"/>
    <w:rsid w:val="00E14982"/>
    <w:rsid w:val="00E20A29"/>
    <w:rsid w:val="00E26B5E"/>
    <w:rsid w:val="00E3135E"/>
    <w:rsid w:val="00E37F9E"/>
    <w:rsid w:val="00E478B7"/>
    <w:rsid w:val="00E55A69"/>
    <w:rsid w:val="00E570C4"/>
    <w:rsid w:val="00E60782"/>
    <w:rsid w:val="00E60990"/>
    <w:rsid w:val="00E6120F"/>
    <w:rsid w:val="00E64CFD"/>
    <w:rsid w:val="00E704E3"/>
    <w:rsid w:val="00E73FD3"/>
    <w:rsid w:val="00E833E9"/>
    <w:rsid w:val="00E835B3"/>
    <w:rsid w:val="00E92706"/>
    <w:rsid w:val="00E96682"/>
    <w:rsid w:val="00EA337B"/>
    <w:rsid w:val="00EA349D"/>
    <w:rsid w:val="00EA429C"/>
    <w:rsid w:val="00EB6A45"/>
    <w:rsid w:val="00ED3254"/>
    <w:rsid w:val="00ED48B5"/>
    <w:rsid w:val="00EF4362"/>
    <w:rsid w:val="00F02294"/>
    <w:rsid w:val="00F36DE3"/>
    <w:rsid w:val="00F60993"/>
    <w:rsid w:val="00F60AEE"/>
    <w:rsid w:val="00F66C89"/>
    <w:rsid w:val="00F66CAF"/>
    <w:rsid w:val="00F80BB7"/>
    <w:rsid w:val="00F875B4"/>
    <w:rsid w:val="00F91B9F"/>
    <w:rsid w:val="00F94262"/>
    <w:rsid w:val="00F94264"/>
    <w:rsid w:val="00F965C4"/>
    <w:rsid w:val="00FB447B"/>
    <w:rsid w:val="00FB53D9"/>
    <w:rsid w:val="00FB68F7"/>
    <w:rsid w:val="00FE2E90"/>
    <w:rsid w:val="00FE30BE"/>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736559827">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784350016">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88324390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640</Words>
  <Characters>4033</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3</cp:revision>
  <cp:lastPrinted>2020-09-09T14:27:00Z</cp:lastPrinted>
  <dcterms:created xsi:type="dcterms:W3CDTF">2020-09-16T09:02:00Z</dcterms:created>
  <dcterms:modified xsi:type="dcterms:W3CDTF">2020-09-17T09:33:00Z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306931540</vt:i4>
  </property>
  <property fmtid="{D5CDD505-2E9C-101B-9397-08002B2CF9AE}" pid="3" name="_NewReviewCycle">
    <vt:lpwstr/>
  </property>
  <property fmtid="{D5CDD505-2E9C-101B-9397-08002B2CF9AE}" pid="4" name="_EmailSubject">
    <vt:lpwstr>Presseinfo STI Energiewirtschaft</vt:lpwstr>
  </property>
  <property fmtid="{D5CDD505-2E9C-101B-9397-08002B2CF9AE}" pid="5" name="_AuthorEmail">
    <vt:lpwstr>d.fieml@vivax-gmbh.net</vt:lpwstr>
  </property>
  <property fmtid="{D5CDD505-2E9C-101B-9397-08002B2CF9AE}" pid="6" name="_AuthorEmailDisplayName">
    <vt:lpwstr>Dirk Fieml</vt:lpwstr>
  </property>
</Properties>
</file>