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038E05" w14:textId="77777777" w:rsidR="005D3D1E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366C25D7" w14:textId="77777777" w:rsidR="005D3D1E" w:rsidRPr="000655B7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6DF482A4" w14:textId="77777777" w:rsidR="005D3D1E" w:rsidRPr="000655B7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8"/>
          <w:szCs w:val="28"/>
        </w:rPr>
      </w:pPr>
      <w:r w:rsidRPr="000655B7">
        <w:rPr>
          <w:rFonts w:ascii="Arial" w:hAnsi="Arial" w:cs="Arial"/>
          <w:b/>
          <w:color w:val="000000"/>
          <w:sz w:val="28"/>
          <w:szCs w:val="28"/>
        </w:rPr>
        <w:t>PRESSEINFORMATION</w:t>
      </w:r>
    </w:p>
    <w:p w14:paraId="5844D01A" w14:textId="77777777" w:rsidR="005D3D1E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62F05F78" w14:textId="6555FFEC" w:rsidR="005D3D1E" w:rsidRPr="000655B7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Berlin/Backnang</w:t>
      </w:r>
      <w:r w:rsidR="0053379A">
        <w:rPr>
          <w:rFonts w:ascii="Arial" w:hAnsi="Arial" w:cs="Arial"/>
          <w:color w:val="000000"/>
        </w:rPr>
        <w:t>/Bühl</w:t>
      </w:r>
      <w:r w:rsidRPr="000655B7">
        <w:rPr>
          <w:rFonts w:ascii="Arial" w:hAnsi="Arial" w:cs="Arial"/>
          <w:color w:val="000000"/>
        </w:rPr>
        <w:t xml:space="preserve">, </w:t>
      </w:r>
      <w:r w:rsidR="000A1E6B">
        <w:rPr>
          <w:rFonts w:ascii="Arial" w:hAnsi="Arial" w:cs="Arial"/>
          <w:color w:val="000000"/>
        </w:rPr>
        <w:t>20</w:t>
      </w:r>
      <w:r w:rsidRPr="000655B7">
        <w:rPr>
          <w:rFonts w:ascii="Arial" w:hAnsi="Arial" w:cs="Arial"/>
          <w:color w:val="000000"/>
        </w:rPr>
        <w:t xml:space="preserve">. </w:t>
      </w:r>
      <w:r w:rsidR="0053379A">
        <w:rPr>
          <w:rFonts w:ascii="Arial" w:hAnsi="Arial" w:cs="Arial"/>
          <w:color w:val="000000"/>
        </w:rPr>
        <w:t>Febr</w:t>
      </w:r>
      <w:r w:rsidR="00131142">
        <w:rPr>
          <w:rFonts w:ascii="Arial" w:hAnsi="Arial" w:cs="Arial"/>
          <w:color w:val="000000"/>
        </w:rPr>
        <w:t>uar</w:t>
      </w:r>
      <w:r w:rsidRPr="000655B7">
        <w:rPr>
          <w:rFonts w:ascii="Arial" w:hAnsi="Arial" w:cs="Arial"/>
          <w:color w:val="000000"/>
        </w:rPr>
        <w:t xml:space="preserve"> 201</w:t>
      </w:r>
      <w:r w:rsidR="00131142">
        <w:rPr>
          <w:rFonts w:ascii="Arial" w:hAnsi="Arial" w:cs="Arial"/>
          <w:color w:val="000000"/>
        </w:rPr>
        <w:t>9</w:t>
      </w:r>
    </w:p>
    <w:p w14:paraId="3A8B5942" w14:textId="77777777" w:rsidR="005D3D1E" w:rsidRPr="000655B7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0EEC0A94" w14:textId="77777777" w:rsidR="005D3D1E" w:rsidRPr="000655B7" w:rsidRDefault="005D3D1E" w:rsidP="005D3D1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0"/>
          <w:szCs w:val="20"/>
        </w:rPr>
      </w:pPr>
    </w:p>
    <w:p w14:paraId="105E7BD4" w14:textId="0B1DAE03" w:rsidR="005D3D1E" w:rsidRDefault="00EA337B" w:rsidP="003A6602">
      <w:pPr>
        <w:autoSpaceDE w:val="0"/>
        <w:autoSpaceDN w:val="0"/>
        <w:adjustRightInd w:val="0"/>
        <w:spacing w:after="0" w:line="360" w:lineRule="auto"/>
        <w:ind w:right="-2268"/>
        <w:rPr>
          <w:rFonts w:ascii="Arial" w:hAnsi="Arial" w:cs="Arial"/>
          <w:b/>
          <w:color w:val="000000"/>
          <w:sz w:val="28"/>
          <w:szCs w:val="28"/>
        </w:rPr>
      </w:pPr>
      <w:bookmarkStart w:id="0" w:name="OLE_LINK1"/>
      <w:bookmarkStart w:id="1" w:name="OLE_LINK2"/>
      <w:r>
        <w:rPr>
          <w:rFonts w:ascii="Arial" w:hAnsi="Arial" w:cs="Arial"/>
          <w:b/>
          <w:color w:val="000000"/>
          <w:sz w:val="28"/>
          <w:szCs w:val="28"/>
        </w:rPr>
        <w:t>Stadtwerke Bühl: Alles bereit für d</w:t>
      </w:r>
      <w:r w:rsidR="003B4407">
        <w:rPr>
          <w:rFonts w:ascii="Arial" w:hAnsi="Arial" w:cs="Arial"/>
          <w:b/>
          <w:color w:val="000000"/>
          <w:sz w:val="28"/>
          <w:szCs w:val="28"/>
        </w:rPr>
        <w:t>ie</w:t>
      </w:r>
      <w:r>
        <w:rPr>
          <w:rFonts w:ascii="Arial" w:hAnsi="Arial" w:cs="Arial"/>
          <w:b/>
          <w:color w:val="000000"/>
          <w:sz w:val="28"/>
          <w:szCs w:val="28"/>
        </w:rPr>
        <w:t xml:space="preserve"> Breitband-Kunden</w:t>
      </w:r>
    </w:p>
    <w:bookmarkEnd w:id="0"/>
    <w:bookmarkEnd w:id="1"/>
    <w:p w14:paraId="72F56B60" w14:textId="1F03DCBD" w:rsidR="005D3D1E" w:rsidRDefault="00EA337B" w:rsidP="00EA337B">
      <w:pPr>
        <w:autoSpaceDE w:val="0"/>
        <w:autoSpaceDN w:val="0"/>
        <w:adjustRightInd w:val="0"/>
        <w:spacing w:after="0" w:line="360" w:lineRule="auto"/>
        <w:ind w:right="-850"/>
        <w:rPr>
          <w:rFonts w:ascii="Arial" w:hAnsi="Arial" w:cs="Tahoma"/>
          <w:b/>
          <w:sz w:val="20"/>
          <w:szCs w:val="20"/>
        </w:rPr>
      </w:pPr>
      <w:r w:rsidRPr="00EA337B">
        <w:rPr>
          <w:rFonts w:ascii="Arial" w:hAnsi="Arial" w:cs="Tahoma"/>
          <w:b/>
          <w:sz w:val="20"/>
          <w:szCs w:val="20"/>
        </w:rPr>
        <w:t>Kunden- und Breitbandmanagement</w:t>
      </w:r>
      <w:r>
        <w:rPr>
          <w:rFonts w:ascii="Arial" w:hAnsi="Arial" w:cs="Tahoma"/>
          <w:b/>
          <w:sz w:val="20"/>
          <w:szCs w:val="20"/>
        </w:rPr>
        <w:t>system DICLINA</w:t>
      </w:r>
      <w:r w:rsidRPr="00EA337B">
        <w:rPr>
          <w:rFonts w:ascii="Arial" w:hAnsi="Arial" w:cs="Tahoma"/>
          <w:b/>
          <w:sz w:val="20"/>
          <w:szCs w:val="20"/>
        </w:rPr>
        <w:t xml:space="preserve"> in Rekordzeit ein</w:t>
      </w:r>
      <w:r>
        <w:rPr>
          <w:rFonts w:ascii="Arial" w:hAnsi="Arial" w:cs="Tahoma"/>
          <w:b/>
          <w:sz w:val="20"/>
          <w:szCs w:val="20"/>
        </w:rPr>
        <w:t>geführt</w:t>
      </w:r>
    </w:p>
    <w:p w14:paraId="6E281BA8" w14:textId="77777777" w:rsidR="00EA337B" w:rsidRPr="000655B7" w:rsidRDefault="00EA337B" w:rsidP="005D3D1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0"/>
          <w:szCs w:val="20"/>
        </w:rPr>
      </w:pPr>
    </w:p>
    <w:p w14:paraId="2D9D7631" w14:textId="6F1DC650" w:rsidR="00582ECD" w:rsidRDefault="00EA337B" w:rsidP="003A6602">
      <w:pPr>
        <w:spacing w:line="360" w:lineRule="auto"/>
        <w:rPr>
          <w:rFonts w:ascii="Arial" w:hAnsi="Arial" w:cs="Tahoma"/>
          <w:b/>
          <w:bCs/>
          <w:sz w:val="20"/>
          <w:szCs w:val="20"/>
        </w:rPr>
      </w:pPr>
      <w:r>
        <w:rPr>
          <w:rFonts w:ascii="Arial" w:hAnsi="Arial" w:cs="Tahoma"/>
          <w:b/>
          <w:bCs/>
          <w:sz w:val="20"/>
          <w:szCs w:val="20"/>
        </w:rPr>
        <w:t xml:space="preserve">In nur zwei Monaten haben die Stadtwerke Bühl das </w:t>
      </w:r>
      <w:r w:rsidRPr="00EA337B">
        <w:rPr>
          <w:rFonts w:ascii="Arial" w:hAnsi="Arial" w:cs="Tahoma"/>
          <w:b/>
          <w:bCs/>
          <w:sz w:val="20"/>
          <w:szCs w:val="20"/>
        </w:rPr>
        <w:t>Kunden- und Breitbandmanagementsystem DICLINA</w:t>
      </w:r>
      <w:r>
        <w:rPr>
          <w:rFonts w:ascii="Arial" w:hAnsi="Arial" w:cs="Tahoma"/>
          <w:b/>
          <w:bCs/>
          <w:sz w:val="20"/>
          <w:szCs w:val="20"/>
        </w:rPr>
        <w:t xml:space="preserve"> von </w:t>
      </w:r>
      <w:proofErr w:type="spellStart"/>
      <w:r>
        <w:rPr>
          <w:rFonts w:ascii="Arial" w:hAnsi="Arial" w:cs="Tahoma"/>
          <w:b/>
          <w:bCs/>
          <w:sz w:val="20"/>
          <w:szCs w:val="20"/>
        </w:rPr>
        <w:t>tktVivax</w:t>
      </w:r>
      <w:proofErr w:type="spellEnd"/>
      <w:r>
        <w:rPr>
          <w:rFonts w:ascii="Arial" w:hAnsi="Arial" w:cs="Tahoma"/>
          <w:b/>
          <w:bCs/>
          <w:sz w:val="20"/>
          <w:szCs w:val="20"/>
        </w:rPr>
        <w:t xml:space="preserve"> eingeführt, nachdem sie Anfang November 2018 den Zuschlag für den Betrieb und die Vermarktung des </w:t>
      </w:r>
      <w:r w:rsidR="003B4407">
        <w:rPr>
          <w:rFonts w:ascii="Arial" w:hAnsi="Arial" w:cs="Tahoma"/>
          <w:b/>
          <w:bCs/>
          <w:sz w:val="20"/>
          <w:szCs w:val="20"/>
        </w:rPr>
        <w:t xml:space="preserve">neuen </w:t>
      </w:r>
      <w:r>
        <w:rPr>
          <w:rFonts w:ascii="Arial" w:hAnsi="Arial" w:cs="Tahoma"/>
          <w:b/>
          <w:bCs/>
          <w:sz w:val="20"/>
          <w:szCs w:val="20"/>
        </w:rPr>
        <w:t xml:space="preserve">„BADEN.NET“ bekommen hatten. Unter dieser Marke </w:t>
      </w:r>
      <w:r w:rsidRPr="00EA337B">
        <w:rPr>
          <w:rFonts w:ascii="Arial" w:hAnsi="Arial" w:cs="Tahoma"/>
          <w:b/>
          <w:bCs/>
          <w:sz w:val="20"/>
          <w:szCs w:val="20"/>
        </w:rPr>
        <w:t>bauen die Kommunen Bühl, Lichtenau, Rheinmünster</w:t>
      </w:r>
      <w:r w:rsidR="003B4407">
        <w:rPr>
          <w:rFonts w:ascii="Arial" w:hAnsi="Arial" w:cs="Tahoma"/>
          <w:b/>
          <w:bCs/>
          <w:sz w:val="20"/>
          <w:szCs w:val="20"/>
        </w:rPr>
        <w:t xml:space="preserve"> und</w:t>
      </w:r>
      <w:r w:rsidRPr="00EA337B">
        <w:rPr>
          <w:rFonts w:ascii="Arial" w:hAnsi="Arial" w:cs="Tahoma"/>
          <w:b/>
          <w:bCs/>
          <w:sz w:val="20"/>
          <w:szCs w:val="20"/>
        </w:rPr>
        <w:t xml:space="preserve"> Seebach sowie der Zweckverband Gewerbepark mit Regionalflughafen </w:t>
      </w:r>
      <w:proofErr w:type="spellStart"/>
      <w:r w:rsidRPr="00EA337B">
        <w:rPr>
          <w:rFonts w:ascii="Arial" w:hAnsi="Arial" w:cs="Tahoma"/>
          <w:b/>
          <w:bCs/>
          <w:sz w:val="20"/>
          <w:szCs w:val="20"/>
        </w:rPr>
        <w:t>Söllingen</w:t>
      </w:r>
      <w:proofErr w:type="spellEnd"/>
      <w:r w:rsidRPr="00EA337B">
        <w:rPr>
          <w:rFonts w:ascii="Arial" w:hAnsi="Arial" w:cs="Tahoma"/>
          <w:b/>
          <w:bCs/>
          <w:sz w:val="20"/>
          <w:szCs w:val="20"/>
        </w:rPr>
        <w:t xml:space="preserve"> derzeit ein hochmodernes und zukunftssicheres Glasfasernetz</w:t>
      </w:r>
      <w:r w:rsidR="003B4407">
        <w:rPr>
          <w:rFonts w:ascii="Arial" w:hAnsi="Arial" w:cs="Tahoma"/>
          <w:b/>
          <w:bCs/>
          <w:sz w:val="20"/>
          <w:szCs w:val="20"/>
        </w:rPr>
        <w:t xml:space="preserve"> auf</w:t>
      </w:r>
      <w:r w:rsidRPr="00EA337B">
        <w:rPr>
          <w:rFonts w:ascii="Arial" w:hAnsi="Arial" w:cs="Tahoma"/>
          <w:b/>
          <w:bCs/>
          <w:sz w:val="20"/>
          <w:szCs w:val="20"/>
        </w:rPr>
        <w:t>.</w:t>
      </w:r>
      <w:r>
        <w:rPr>
          <w:rFonts w:ascii="Arial" w:hAnsi="Arial" w:cs="Tahoma"/>
          <w:b/>
          <w:bCs/>
          <w:sz w:val="20"/>
          <w:szCs w:val="20"/>
        </w:rPr>
        <w:t xml:space="preserve"> DICLINA erhielt den Zuschlag, weil es eines der ganz wenigen Systeme ist, </w:t>
      </w:r>
      <w:proofErr w:type="gramStart"/>
      <w:r>
        <w:rPr>
          <w:rFonts w:ascii="Arial" w:hAnsi="Arial" w:cs="Tahoma"/>
          <w:b/>
          <w:bCs/>
          <w:sz w:val="20"/>
          <w:szCs w:val="20"/>
        </w:rPr>
        <w:t>d</w:t>
      </w:r>
      <w:r w:rsidR="003B4407">
        <w:rPr>
          <w:rFonts w:ascii="Arial" w:hAnsi="Arial" w:cs="Tahoma"/>
          <w:b/>
          <w:bCs/>
          <w:sz w:val="20"/>
          <w:szCs w:val="20"/>
        </w:rPr>
        <w:t>as</w:t>
      </w:r>
      <w:proofErr w:type="gramEnd"/>
      <w:r>
        <w:rPr>
          <w:rFonts w:ascii="Arial" w:hAnsi="Arial" w:cs="Tahoma"/>
          <w:b/>
          <w:bCs/>
          <w:sz w:val="20"/>
          <w:szCs w:val="20"/>
        </w:rPr>
        <w:t xml:space="preserve"> alle Prozesse im </w:t>
      </w:r>
      <w:r w:rsidRPr="00EA337B">
        <w:rPr>
          <w:rFonts w:ascii="Arial" w:hAnsi="Arial" w:cs="Tahoma"/>
          <w:b/>
          <w:bCs/>
          <w:sz w:val="20"/>
          <w:szCs w:val="20"/>
        </w:rPr>
        <w:t>Kunden- und Breitbandmanagement</w:t>
      </w:r>
      <w:r>
        <w:rPr>
          <w:rFonts w:ascii="Arial" w:hAnsi="Arial" w:cs="Tahoma"/>
          <w:b/>
          <w:bCs/>
          <w:sz w:val="20"/>
          <w:szCs w:val="20"/>
        </w:rPr>
        <w:t xml:space="preserve"> durchgängig abbildet – </w:t>
      </w:r>
      <w:r w:rsidRPr="00EA337B">
        <w:rPr>
          <w:rFonts w:ascii="Arial" w:hAnsi="Arial" w:cs="Tahoma"/>
          <w:b/>
          <w:bCs/>
          <w:sz w:val="20"/>
          <w:szCs w:val="20"/>
        </w:rPr>
        <w:t xml:space="preserve">vom CRM über die </w:t>
      </w:r>
      <w:proofErr w:type="spellStart"/>
      <w:r w:rsidRPr="00EA337B">
        <w:rPr>
          <w:rFonts w:ascii="Arial" w:hAnsi="Arial" w:cs="Tahoma"/>
          <w:b/>
          <w:bCs/>
          <w:sz w:val="20"/>
          <w:szCs w:val="20"/>
        </w:rPr>
        <w:t>Breitbandprovisionierung</w:t>
      </w:r>
      <w:proofErr w:type="spellEnd"/>
      <w:r w:rsidRPr="00EA337B">
        <w:rPr>
          <w:rFonts w:ascii="Arial" w:hAnsi="Arial" w:cs="Tahoma"/>
          <w:b/>
          <w:bCs/>
          <w:sz w:val="20"/>
          <w:szCs w:val="20"/>
        </w:rPr>
        <w:t xml:space="preserve"> bis hin zum </w:t>
      </w:r>
      <w:proofErr w:type="spellStart"/>
      <w:r w:rsidRPr="00EA337B">
        <w:rPr>
          <w:rFonts w:ascii="Arial" w:hAnsi="Arial" w:cs="Tahoma"/>
          <w:b/>
          <w:bCs/>
          <w:sz w:val="20"/>
          <w:szCs w:val="20"/>
        </w:rPr>
        <w:t>Billing</w:t>
      </w:r>
      <w:proofErr w:type="spellEnd"/>
      <w:r>
        <w:rPr>
          <w:rFonts w:ascii="Arial" w:hAnsi="Arial" w:cs="Tahoma"/>
          <w:b/>
          <w:bCs/>
          <w:sz w:val="20"/>
          <w:szCs w:val="20"/>
        </w:rPr>
        <w:t xml:space="preserve">. </w:t>
      </w:r>
      <w:r w:rsidRPr="00EA337B">
        <w:rPr>
          <w:rFonts w:ascii="Arial" w:hAnsi="Arial" w:cs="Tahoma"/>
          <w:b/>
          <w:bCs/>
          <w:sz w:val="20"/>
          <w:szCs w:val="20"/>
        </w:rPr>
        <w:t>„</w:t>
      </w:r>
      <w:r>
        <w:rPr>
          <w:rFonts w:ascii="Arial" w:hAnsi="Arial" w:cs="Tahoma"/>
          <w:b/>
          <w:bCs/>
          <w:sz w:val="20"/>
          <w:szCs w:val="20"/>
        </w:rPr>
        <w:t>Zudem sind f</w:t>
      </w:r>
      <w:r w:rsidRPr="00EA337B">
        <w:rPr>
          <w:rFonts w:ascii="Arial" w:hAnsi="Arial" w:cs="Tahoma"/>
          <w:b/>
          <w:bCs/>
          <w:sz w:val="20"/>
          <w:szCs w:val="20"/>
        </w:rPr>
        <w:t xml:space="preserve">ast alle Lösungen auf dem Markt herstellergebunden und damit auf einzelne Technologieanbieter beschränkt, wenn es um die automatische Konfiguration der technischen Komponenten geht“, </w:t>
      </w:r>
      <w:r>
        <w:rPr>
          <w:rFonts w:ascii="Arial" w:hAnsi="Arial" w:cs="Tahoma"/>
          <w:b/>
          <w:bCs/>
          <w:sz w:val="20"/>
          <w:szCs w:val="20"/>
        </w:rPr>
        <w:t>erläutert</w:t>
      </w:r>
      <w:r w:rsidRPr="00EA337B">
        <w:rPr>
          <w:rFonts w:ascii="Arial" w:hAnsi="Arial" w:cs="Tahoma"/>
          <w:b/>
          <w:bCs/>
          <w:sz w:val="20"/>
          <w:szCs w:val="20"/>
        </w:rPr>
        <w:t xml:space="preserve"> Georg Friedmann, Prokurist &amp; Leiter Netzservice bei der Stadtwerke Bühl GmbH</w:t>
      </w:r>
      <w:r>
        <w:rPr>
          <w:rFonts w:ascii="Arial" w:hAnsi="Arial" w:cs="Tahoma"/>
          <w:b/>
          <w:bCs/>
          <w:sz w:val="20"/>
          <w:szCs w:val="20"/>
        </w:rPr>
        <w:t xml:space="preserve">, </w:t>
      </w:r>
      <w:r w:rsidR="003B4407">
        <w:rPr>
          <w:rFonts w:ascii="Arial" w:hAnsi="Arial" w:cs="Tahoma"/>
          <w:b/>
          <w:bCs/>
          <w:sz w:val="20"/>
          <w:szCs w:val="20"/>
        </w:rPr>
        <w:t>einen weiteren</w:t>
      </w:r>
      <w:r>
        <w:rPr>
          <w:rFonts w:ascii="Arial" w:hAnsi="Arial" w:cs="Tahoma"/>
          <w:b/>
          <w:bCs/>
          <w:sz w:val="20"/>
          <w:szCs w:val="20"/>
        </w:rPr>
        <w:t xml:space="preserve"> Gr</w:t>
      </w:r>
      <w:r w:rsidR="003B4407">
        <w:rPr>
          <w:rFonts w:ascii="Arial" w:hAnsi="Arial" w:cs="Tahoma"/>
          <w:b/>
          <w:bCs/>
          <w:sz w:val="20"/>
          <w:szCs w:val="20"/>
        </w:rPr>
        <w:t>u</w:t>
      </w:r>
      <w:r>
        <w:rPr>
          <w:rFonts w:ascii="Arial" w:hAnsi="Arial" w:cs="Tahoma"/>
          <w:b/>
          <w:bCs/>
          <w:sz w:val="20"/>
          <w:szCs w:val="20"/>
        </w:rPr>
        <w:t>nd für die Entscheidung.</w:t>
      </w:r>
    </w:p>
    <w:p w14:paraId="147FB0C6" w14:textId="7AC237E3" w:rsidR="00135237" w:rsidRDefault="00582ECD" w:rsidP="005D3D1E">
      <w:pPr>
        <w:spacing w:line="360" w:lineRule="auto"/>
        <w:rPr>
          <w:rFonts w:ascii="Arial" w:hAnsi="Arial" w:cs="Tahoma"/>
          <w:sz w:val="20"/>
          <w:szCs w:val="20"/>
        </w:rPr>
      </w:pPr>
      <w:r w:rsidRPr="00582ECD">
        <w:rPr>
          <w:rFonts w:ascii="Arial" w:hAnsi="Arial" w:cs="Tahoma"/>
          <w:sz w:val="20"/>
          <w:szCs w:val="20"/>
        </w:rPr>
        <w:t>Erfolgsentscheidend war in seinen Augen auch d</w:t>
      </w:r>
      <w:r>
        <w:rPr>
          <w:rFonts w:ascii="Arial" w:hAnsi="Arial" w:cs="Tahoma"/>
          <w:sz w:val="20"/>
          <w:szCs w:val="20"/>
        </w:rPr>
        <w:t>er</w:t>
      </w:r>
      <w:r w:rsidRPr="00582ECD">
        <w:rPr>
          <w:rFonts w:ascii="Arial" w:hAnsi="Arial" w:cs="Tahoma"/>
          <w:sz w:val="20"/>
          <w:szCs w:val="20"/>
        </w:rPr>
        <w:t xml:space="preserve"> ganzheitliche </w:t>
      </w:r>
      <w:r>
        <w:rPr>
          <w:rFonts w:ascii="Arial" w:hAnsi="Arial" w:cs="Tahoma"/>
          <w:sz w:val="20"/>
          <w:szCs w:val="20"/>
        </w:rPr>
        <w:t xml:space="preserve">Beratungsansatz von </w:t>
      </w:r>
      <w:proofErr w:type="spellStart"/>
      <w:r>
        <w:rPr>
          <w:rFonts w:ascii="Arial" w:hAnsi="Arial" w:cs="Tahoma"/>
          <w:sz w:val="20"/>
          <w:szCs w:val="20"/>
        </w:rPr>
        <w:t>tktVivax</w:t>
      </w:r>
      <w:proofErr w:type="spellEnd"/>
      <w:r>
        <w:rPr>
          <w:rFonts w:ascii="Arial" w:hAnsi="Arial" w:cs="Tahoma"/>
          <w:sz w:val="20"/>
          <w:szCs w:val="20"/>
        </w:rPr>
        <w:t xml:space="preserve"> und dem Partner </w:t>
      </w:r>
      <w:proofErr w:type="spellStart"/>
      <w:r>
        <w:rPr>
          <w:rFonts w:ascii="Arial" w:hAnsi="Arial" w:cs="Tahoma"/>
          <w:sz w:val="20"/>
          <w:szCs w:val="20"/>
        </w:rPr>
        <w:t>Wisotel</w:t>
      </w:r>
      <w:proofErr w:type="spellEnd"/>
      <w:r w:rsidRPr="00582ECD">
        <w:rPr>
          <w:rFonts w:ascii="Arial" w:hAnsi="Arial" w:cs="Tahoma"/>
          <w:sz w:val="20"/>
          <w:szCs w:val="20"/>
        </w:rPr>
        <w:t xml:space="preserve">: „Als Neueinsteiger ist </w:t>
      </w:r>
      <w:r>
        <w:rPr>
          <w:rFonts w:ascii="Arial" w:hAnsi="Arial" w:cs="Tahoma"/>
          <w:sz w:val="20"/>
          <w:szCs w:val="20"/>
        </w:rPr>
        <w:t xml:space="preserve">man </w:t>
      </w:r>
      <w:r w:rsidRPr="00582ECD">
        <w:rPr>
          <w:rFonts w:ascii="Arial" w:hAnsi="Arial" w:cs="Tahoma"/>
          <w:sz w:val="20"/>
          <w:szCs w:val="20"/>
        </w:rPr>
        <w:t xml:space="preserve">auf eine kompetente Unterstützung angewiesen. Und vor allem auf jemanden, der einem keine schablonenhaften Standards überstülpt, sondern seine Beratung </w:t>
      </w:r>
      <w:r>
        <w:rPr>
          <w:rFonts w:ascii="Arial" w:hAnsi="Arial" w:cs="Tahoma"/>
          <w:sz w:val="20"/>
          <w:szCs w:val="20"/>
        </w:rPr>
        <w:t>individuell an</w:t>
      </w:r>
      <w:r w:rsidRPr="00582ECD">
        <w:rPr>
          <w:rFonts w:ascii="Arial" w:hAnsi="Arial" w:cs="Tahoma"/>
          <w:sz w:val="20"/>
          <w:szCs w:val="20"/>
        </w:rPr>
        <w:t xml:space="preserve"> die jeweilige Organisations- und Ressourcensituation vor Ort anpasst“, so Friedmann</w:t>
      </w:r>
      <w:r>
        <w:rPr>
          <w:rFonts w:ascii="Arial" w:hAnsi="Arial" w:cs="Tahoma"/>
          <w:sz w:val="20"/>
          <w:szCs w:val="20"/>
        </w:rPr>
        <w:t>.</w:t>
      </w:r>
      <w:r w:rsidR="003B69BD">
        <w:rPr>
          <w:rFonts w:ascii="Arial" w:hAnsi="Arial" w:cs="Tahoma"/>
          <w:sz w:val="20"/>
          <w:szCs w:val="20"/>
        </w:rPr>
        <w:t xml:space="preserve"> </w:t>
      </w:r>
      <w:r w:rsidR="003B4407" w:rsidRPr="003B4407">
        <w:rPr>
          <w:rFonts w:ascii="Arial" w:hAnsi="Arial" w:cs="Tahoma"/>
          <w:sz w:val="20"/>
          <w:szCs w:val="20"/>
        </w:rPr>
        <w:t xml:space="preserve">Trotz der Weihnachtspause konnte der erste Privatkunde Mitte Januar offiziell aufgeschaltet und sein Internetanschluss systemunterstützt </w:t>
      </w:r>
      <w:r w:rsidR="003B4407">
        <w:rPr>
          <w:rFonts w:ascii="Arial" w:hAnsi="Arial" w:cs="Tahoma"/>
          <w:sz w:val="20"/>
          <w:szCs w:val="20"/>
        </w:rPr>
        <w:t xml:space="preserve">und automatisiert </w:t>
      </w:r>
      <w:r w:rsidR="003B4407" w:rsidRPr="003B4407">
        <w:rPr>
          <w:rFonts w:ascii="Arial" w:hAnsi="Arial" w:cs="Tahoma"/>
          <w:sz w:val="20"/>
          <w:szCs w:val="20"/>
        </w:rPr>
        <w:t>ei</w:t>
      </w:r>
      <w:r w:rsidR="003B4407">
        <w:rPr>
          <w:rFonts w:ascii="Arial" w:hAnsi="Arial" w:cs="Tahoma"/>
          <w:sz w:val="20"/>
          <w:szCs w:val="20"/>
        </w:rPr>
        <w:t>n</w:t>
      </w:r>
      <w:r w:rsidR="003B4407" w:rsidRPr="003B4407">
        <w:rPr>
          <w:rFonts w:ascii="Arial" w:hAnsi="Arial" w:cs="Tahoma"/>
          <w:sz w:val="20"/>
          <w:szCs w:val="20"/>
        </w:rPr>
        <w:t>gerichtet werden</w:t>
      </w:r>
      <w:r w:rsidR="003B69BD">
        <w:rPr>
          <w:rFonts w:ascii="Arial" w:hAnsi="Arial" w:cs="Tahoma"/>
          <w:sz w:val="20"/>
          <w:szCs w:val="20"/>
        </w:rPr>
        <w:t xml:space="preserve"> – </w:t>
      </w:r>
      <w:r w:rsidR="003B4407" w:rsidRPr="003B4407">
        <w:rPr>
          <w:rFonts w:ascii="Arial" w:hAnsi="Arial" w:cs="Tahoma"/>
          <w:sz w:val="20"/>
          <w:szCs w:val="20"/>
        </w:rPr>
        <w:t>bis</w:t>
      </w:r>
      <w:r w:rsidR="003B69BD">
        <w:rPr>
          <w:rFonts w:ascii="Arial" w:hAnsi="Arial" w:cs="Tahoma"/>
          <w:sz w:val="20"/>
          <w:szCs w:val="20"/>
        </w:rPr>
        <w:t xml:space="preserve"> hin</w:t>
      </w:r>
      <w:r w:rsidR="003B4407" w:rsidRPr="003B4407">
        <w:rPr>
          <w:rFonts w:ascii="Arial" w:hAnsi="Arial" w:cs="Tahoma"/>
          <w:sz w:val="20"/>
          <w:szCs w:val="20"/>
        </w:rPr>
        <w:t xml:space="preserve"> zur </w:t>
      </w:r>
      <w:proofErr w:type="spellStart"/>
      <w:proofErr w:type="gramStart"/>
      <w:r w:rsidR="003B4407" w:rsidRPr="003B4407">
        <w:rPr>
          <w:rFonts w:ascii="Arial" w:hAnsi="Arial" w:cs="Tahoma"/>
          <w:sz w:val="20"/>
          <w:szCs w:val="20"/>
        </w:rPr>
        <w:t>FRITZ!box</w:t>
      </w:r>
      <w:proofErr w:type="spellEnd"/>
      <w:proofErr w:type="gramEnd"/>
      <w:r w:rsidR="003B4407" w:rsidRPr="003B4407">
        <w:rPr>
          <w:rFonts w:ascii="Arial" w:hAnsi="Arial" w:cs="Tahoma"/>
          <w:sz w:val="20"/>
          <w:szCs w:val="20"/>
        </w:rPr>
        <w:t>. In den kommenden Wochen werden über die bereits fertiggestellten rund 200 Hausanschlüsse weitere Privat- und Gewerbekunden, die bereits über BKV/</w:t>
      </w:r>
      <w:proofErr w:type="spellStart"/>
      <w:r w:rsidR="003B4407" w:rsidRPr="003B4407">
        <w:rPr>
          <w:rFonts w:ascii="Arial" w:hAnsi="Arial" w:cs="Tahoma"/>
          <w:sz w:val="20"/>
          <w:szCs w:val="20"/>
        </w:rPr>
        <w:t>Diclina</w:t>
      </w:r>
      <w:proofErr w:type="spellEnd"/>
      <w:r w:rsidR="003B4407" w:rsidRPr="003B4407">
        <w:rPr>
          <w:rFonts w:ascii="Arial" w:hAnsi="Arial" w:cs="Tahoma"/>
          <w:sz w:val="20"/>
          <w:szCs w:val="20"/>
        </w:rPr>
        <w:t xml:space="preserve"> verwaltet werden, mit Highspeed-Internet, VoIP-Telefonie und IPTV versorgt. Bis Ende des Jahres sollen dann insgesamt bis zu 700 Hausanschlüsse am Netz sein, entsprechend werden auch die Kundenzahlen deutlich ansteigen.</w:t>
      </w:r>
    </w:p>
    <w:p w14:paraId="506DA505" w14:textId="77777777" w:rsidR="00582ECD" w:rsidRPr="000655B7" w:rsidRDefault="00582ECD" w:rsidP="005D3D1E">
      <w:pPr>
        <w:spacing w:line="360" w:lineRule="auto"/>
        <w:rPr>
          <w:rFonts w:ascii="Arial" w:hAnsi="Arial" w:cs="Tahoma"/>
          <w:sz w:val="20"/>
          <w:szCs w:val="20"/>
        </w:rPr>
      </w:pPr>
    </w:p>
    <w:tbl>
      <w:tblPr>
        <w:tblW w:w="9180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5D3D1E" w:rsidRPr="000655B7" w14:paraId="55C2A03B" w14:textId="77777777" w:rsidTr="00B714E4">
        <w:tc>
          <w:tcPr>
            <w:tcW w:w="4361" w:type="dxa"/>
            <w:shd w:val="clear" w:color="auto" w:fill="auto"/>
          </w:tcPr>
          <w:p w14:paraId="357997F4" w14:textId="5F6FB02B" w:rsidR="005D3D1E" w:rsidRPr="008457BE" w:rsidRDefault="005D3D1E" w:rsidP="00B714E4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left="-109"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>
              <w:rPr>
                <w:rFonts w:ascii="Arial" w:hAnsi="Arial" w:cs="Calibri"/>
                <w:sz w:val="16"/>
                <w:szCs w:val="26"/>
                <w:lang w:eastAsia="de-DE"/>
              </w:rPr>
              <w:t>tkt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Vivax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GmbH – Dirk </w:t>
            </w:r>
            <w:proofErr w:type="spellStart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Fieml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>Kurfürstendamm 194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>10707 Berlin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Tel: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+</w:t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>49 30 700 159 805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7" w:history="1">
              <w:r w:rsidRPr="00A67290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d.fieml@tkt-vivax.de</w:t>
              </w:r>
            </w:hyperlink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www.</w:t>
            </w:r>
            <w:r w:rsidR="00CD490F">
              <w:rPr>
                <w:rFonts w:ascii="Arial" w:hAnsi="Arial" w:cs="Calibri"/>
                <w:sz w:val="16"/>
                <w:szCs w:val="26"/>
                <w:lang w:eastAsia="de-DE"/>
              </w:rPr>
              <w:t>tkt</w:t>
            </w:r>
            <w:r w:rsidR="003B6004">
              <w:rPr>
                <w:rFonts w:ascii="Arial" w:hAnsi="Arial" w:cs="Calibri"/>
                <w:sz w:val="16"/>
                <w:szCs w:val="26"/>
                <w:lang w:eastAsia="de-DE"/>
              </w:rPr>
              <w:t>-</w:t>
            </w:r>
            <w:r w:rsidR="00CD490F">
              <w:rPr>
                <w:rFonts w:ascii="Arial" w:hAnsi="Arial" w:cs="Calibri"/>
                <w:sz w:val="16"/>
                <w:szCs w:val="26"/>
                <w:lang w:eastAsia="de-DE"/>
              </w:rPr>
              <w:t>vivax.de</w:t>
            </w:r>
          </w:p>
          <w:p w14:paraId="14C72989" w14:textId="77777777" w:rsidR="005D3D1E" w:rsidRPr="008457BE" w:rsidRDefault="005D3D1E" w:rsidP="00B714E4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right="176"/>
              <w:rPr>
                <w:rFonts w:ascii="Arial" w:hAnsi="Arial" w:cs="Calibri"/>
                <w:color w:val="0000FF"/>
                <w:sz w:val="16"/>
                <w:szCs w:val="26"/>
                <w:u w:val="single"/>
                <w:lang w:eastAsia="de-DE"/>
              </w:rPr>
            </w:pPr>
          </w:p>
        </w:tc>
        <w:tc>
          <w:tcPr>
            <w:tcW w:w="4819" w:type="dxa"/>
            <w:shd w:val="clear" w:color="auto" w:fill="auto"/>
          </w:tcPr>
          <w:p w14:paraId="37912198" w14:textId="77777777" w:rsidR="005D3D1E" w:rsidRPr="000655B7" w:rsidRDefault="005D3D1E" w:rsidP="00B714E4">
            <w:pPr>
              <w:widowControl w:val="0"/>
              <w:autoSpaceDE w:val="0"/>
              <w:autoSpaceDN w:val="0"/>
              <w:adjustRightInd w:val="0"/>
              <w:spacing w:line="240" w:lineRule="auto"/>
              <w:ind w:left="34" w:right="742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Uwe Pagel – Press’n’Relations GmbH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Magirusstraße 33 – D-89077 Ulm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8" w:history="1">
              <w:r w:rsidRPr="000655B7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www.press-n-relations.com</w:t>
            </w:r>
          </w:p>
        </w:tc>
      </w:tr>
    </w:tbl>
    <w:p w14:paraId="2E55E5C6" w14:textId="5551ECA8" w:rsidR="007749DD" w:rsidRPr="005D3D1E" w:rsidRDefault="005D3D1E" w:rsidP="005D3D1E">
      <w:pPr>
        <w:widowControl w:val="0"/>
        <w:autoSpaceDE w:val="0"/>
        <w:autoSpaceDN w:val="0"/>
        <w:adjustRightInd w:val="0"/>
        <w:spacing w:line="240" w:lineRule="auto"/>
        <w:ind w:left="34"/>
        <w:rPr>
          <w:rFonts w:ascii="Arial" w:hAnsi="Arial" w:cs="Calibri"/>
          <w:sz w:val="16"/>
          <w:szCs w:val="26"/>
          <w:lang w:eastAsia="de-DE"/>
        </w:rPr>
      </w:pPr>
      <w:r w:rsidRPr="000655B7">
        <w:rPr>
          <w:rFonts w:ascii="Arial" w:hAnsi="Arial" w:cs="Calibri"/>
          <w:sz w:val="16"/>
          <w:szCs w:val="26"/>
          <w:lang w:eastAsia="de-DE"/>
        </w:rPr>
        <w:t>Die</w:t>
      </w:r>
      <w:r>
        <w:rPr>
          <w:rFonts w:ascii="Arial" w:hAnsi="Arial" w:cs="Calibri"/>
          <w:sz w:val="16"/>
          <w:szCs w:val="26"/>
          <w:lang w:eastAsia="de-DE"/>
        </w:rPr>
        <w:t xml:space="preserve"> </w:t>
      </w:r>
      <w:proofErr w:type="spellStart"/>
      <w:r>
        <w:rPr>
          <w:rFonts w:ascii="Arial" w:hAnsi="Arial" w:cs="Calibri"/>
          <w:sz w:val="16"/>
          <w:szCs w:val="26"/>
          <w:lang w:eastAsia="de-DE"/>
        </w:rPr>
        <w:t>tktVivax</w:t>
      </w:r>
      <w:proofErr w:type="spellEnd"/>
      <w:r>
        <w:rPr>
          <w:rFonts w:ascii="Arial" w:hAnsi="Arial" w:cs="Calibri"/>
          <w:sz w:val="16"/>
          <w:szCs w:val="26"/>
          <w:lang w:eastAsia="de-DE"/>
        </w:rPr>
        <w:t xml:space="preserve"> </w:t>
      </w:r>
      <w:r w:rsidRPr="000655B7">
        <w:rPr>
          <w:rFonts w:ascii="Arial" w:hAnsi="Arial" w:cs="Calibri"/>
          <w:sz w:val="16"/>
          <w:szCs w:val="26"/>
          <w:lang w:eastAsia="de-DE"/>
        </w:rPr>
        <w:t xml:space="preserve">GmbH mit Sitz in </w:t>
      </w:r>
      <w:r>
        <w:rPr>
          <w:rFonts w:ascii="Arial" w:hAnsi="Arial" w:cs="Calibri"/>
          <w:sz w:val="16"/>
          <w:szCs w:val="26"/>
          <w:lang w:eastAsia="de-DE"/>
        </w:rPr>
        <w:t xml:space="preserve">Berlin entstand Ende 2018 aus der Fusion der </w:t>
      </w:r>
      <w:proofErr w:type="spellStart"/>
      <w:r w:rsidRPr="007F3F43">
        <w:rPr>
          <w:rFonts w:ascii="Arial" w:hAnsi="Arial" w:cs="Calibri"/>
          <w:sz w:val="16"/>
          <w:szCs w:val="26"/>
          <w:lang w:eastAsia="de-DE"/>
        </w:rPr>
        <w:t>tkt</w:t>
      </w:r>
      <w:proofErr w:type="spellEnd"/>
      <w:r w:rsidRPr="007F3F43">
        <w:rPr>
          <w:rFonts w:ascii="Arial" w:hAnsi="Arial" w:cs="Calibri"/>
          <w:sz w:val="16"/>
          <w:szCs w:val="26"/>
          <w:lang w:eastAsia="de-DE"/>
        </w:rPr>
        <w:t xml:space="preserve"> </w:t>
      </w:r>
      <w:proofErr w:type="spellStart"/>
      <w:r w:rsidRPr="007F3F43">
        <w:rPr>
          <w:rFonts w:ascii="Arial" w:hAnsi="Arial" w:cs="Calibri"/>
          <w:sz w:val="16"/>
          <w:szCs w:val="26"/>
          <w:lang w:eastAsia="de-DE"/>
        </w:rPr>
        <w:t>teleconsult</w:t>
      </w:r>
      <w:proofErr w:type="spellEnd"/>
      <w:r w:rsidRPr="007F3F43">
        <w:rPr>
          <w:rFonts w:ascii="Arial" w:hAnsi="Arial" w:cs="Calibri"/>
          <w:sz w:val="16"/>
          <w:szCs w:val="26"/>
          <w:lang w:eastAsia="de-DE"/>
        </w:rPr>
        <w:t xml:space="preserve"> Kommunikationstechnik GmbH</w:t>
      </w:r>
      <w:r>
        <w:rPr>
          <w:rFonts w:ascii="Arial" w:hAnsi="Arial" w:cs="Calibri"/>
          <w:sz w:val="16"/>
          <w:szCs w:val="26"/>
          <w:lang w:eastAsia="de-DE"/>
        </w:rPr>
        <w:t xml:space="preserve">, Backnang, und der </w:t>
      </w:r>
      <w:proofErr w:type="spellStart"/>
      <w:r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>
        <w:rPr>
          <w:rFonts w:ascii="Arial" w:hAnsi="Arial" w:cs="Calibri"/>
          <w:sz w:val="16"/>
          <w:szCs w:val="26"/>
          <w:lang w:eastAsia="de-DE"/>
        </w:rPr>
        <w:t xml:space="preserve"> GmbH, Berlin. Damit führten </w:t>
      </w:r>
      <w:proofErr w:type="spellStart"/>
      <w:r>
        <w:rPr>
          <w:rFonts w:ascii="Arial" w:hAnsi="Arial" w:cs="Calibri"/>
          <w:sz w:val="16"/>
          <w:szCs w:val="26"/>
          <w:lang w:eastAsia="de-DE"/>
        </w:rPr>
        <w:t>tkt</w:t>
      </w:r>
      <w:proofErr w:type="spellEnd"/>
      <w:r>
        <w:rPr>
          <w:rFonts w:ascii="Arial" w:hAnsi="Arial" w:cs="Calibri"/>
          <w:sz w:val="16"/>
          <w:szCs w:val="26"/>
          <w:lang w:eastAsia="de-DE"/>
        </w:rPr>
        <w:t xml:space="preserve"> (1995 gegründet) und </w:t>
      </w:r>
      <w:proofErr w:type="spellStart"/>
      <w:r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>
        <w:rPr>
          <w:rFonts w:ascii="Arial" w:hAnsi="Arial" w:cs="Calibri"/>
          <w:sz w:val="16"/>
          <w:szCs w:val="26"/>
          <w:lang w:eastAsia="de-DE"/>
        </w:rPr>
        <w:t xml:space="preserve"> (2009 gegründet) ihre Kompetenzen im </w:t>
      </w:r>
      <w:r w:rsidRPr="007749DD">
        <w:rPr>
          <w:rFonts w:ascii="Arial" w:hAnsi="Arial" w:cs="Calibri"/>
          <w:sz w:val="16"/>
          <w:szCs w:val="26"/>
          <w:lang w:eastAsia="de-DE"/>
        </w:rPr>
        <w:t xml:space="preserve">Bereich zukunftsorientierter Telekommunikationstechnologien </w:t>
      </w:r>
      <w:r>
        <w:rPr>
          <w:rFonts w:ascii="Arial" w:hAnsi="Arial" w:cs="Calibri"/>
          <w:sz w:val="16"/>
          <w:szCs w:val="26"/>
          <w:lang w:eastAsia="de-DE"/>
        </w:rPr>
        <w:t>mit dem Know-how</w:t>
      </w:r>
      <w:r w:rsidRPr="007749DD">
        <w:rPr>
          <w:rFonts w:ascii="Arial" w:hAnsi="Arial" w:cs="Calibri"/>
          <w:sz w:val="16"/>
          <w:szCs w:val="26"/>
          <w:lang w:eastAsia="de-DE"/>
        </w:rPr>
        <w:t xml:space="preserve"> für Organisations-, Prozess- und Digi</w:t>
      </w:r>
      <w:r>
        <w:rPr>
          <w:rFonts w:ascii="Arial" w:hAnsi="Arial" w:cs="Calibri"/>
          <w:sz w:val="16"/>
          <w:szCs w:val="26"/>
          <w:lang w:eastAsia="de-DE"/>
        </w:rPr>
        <w:t>t</w:t>
      </w:r>
      <w:r w:rsidRPr="007749DD">
        <w:rPr>
          <w:rFonts w:ascii="Arial" w:hAnsi="Arial" w:cs="Calibri"/>
          <w:sz w:val="16"/>
          <w:szCs w:val="26"/>
          <w:lang w:eastAsia="de-DE"/>
        </w:rPr>
        <w:t>alisierungsberatung in der kommunalen Versorgungswirtschaft</w:t>
      </w:r>
      <w:r>
        <w:rPr>
          <w:rFonts w:ascii="Arial" w:hAnsi="Arial" w:cs="Calibri"/>
          <w:sz w:val="16"/>
          <w:szCs w:val="26"/>
          <w:lang w:eastAsia="de-DE"/>
        </w:rPr>
        <w:t xml:space="preserve"> zusammen</w:t>
      </w:r>
      <w:r w:rsidRPr="007749DD">
        <w:rPr>
          <w:rFonts w:ascii="Arial" w:hAnsi="Arial" w:cs="Calibri"/>
          <w:sz w:val="16"/>
          <w:szCs w:val="26"/>
          <w:lang w:eastAsia="de-DE"/>
        </w:rPr>
        <w:t>.</w:t>
      </w:r>
      <w:r>
        <w:rPr>
          <w:rFonts w:ascii="Arial" w:hAnsi="Arial" w:cs="Calibri"/>
          <w:sz w:val="16"/>
          <w:szCs w:val="26"/>
          <w:lang w:eastAsia="de-DE"/>
        </w:rPr>
        <w:t xml:space="preserve"> Mit rund 50 Mitarbeitern deckt das Beratungsunternehmen ein breites Spektrum von der Analyse, </w:t>
      </w:r>
      <w:r w:rsidRPr="00AD4250">
        <w:rPr>
          <w:rFonts w:ascii="Arial" w:hAnsi="Arial" w:cs="Calibri"/>
          <w:sz w:val="16"/>
          <w:szCs w:val="26"/>
          <w:lang w:eastAsia="de-DE"/>
        </w:rPr>
        <w:t>Strategiefindung und Fördermittelberatung über die Neu- und Umgestaltung von Prozessen und Organisationen</w:t>
      </w:r>
      <w:r>
        <w:rPr>
          <w:rFonts w:ascii="Arial" w:hAnsi="Arial" w:cs="Calibri"/>
          <w:sz w:val="16"/>
          <w:szCs w:val="26"/>
          <w:lang w:eastAsia="de-DE"/>
        </w:rPr>
        <w:t xml:space="preserve"> in allen Bereichen der Versorgungswirtschaft</w:t>
      </w:r>
      <w:r w:rsidRPr="00AD4250">
        <w:rPr>
          <w:rFonts w:ascii="Arial" w:hAnsi="Arial" w:cs="Calibri"/>
          <w:sz w:val="16"/>
          <w:szCs w:val="26"/>
          <w:lang w:eastAsia="de-DE"/>
        </w:rPr>
        <w:t xml:space="preserve"> bis hin zur Planungs- und Umsetzungsbegleitung</w:t>
      </w:r>
      <w:r>
        <w:rPr>
          <w:rFonts w:ascii="Arial" w:hAnsi="Arial" w:cs="Calibri"/>
          <w:sz w:val="16"/>
          <w:szCs w:val="26"/>
          <w:lang w:eastAsia="de-DE"/>
        </w:rPr>
        <w:t xml:space="preserve"> von Glasfaser- und 5G-Infrastrukturen an. Zielgruppe sind sowohl Stadtwer</w:t>
      </w:r>
      <w:bookmarkStart w:id="2" w:name="_GoBack"/>
      <w:bookmarkEnd w:id="2"/>
      <w:r>
        <w:rPr>
          <w:rFonts w:ascii="Arial" w:hAnsi="Arial" w:cs="Calibri"/>
          <w:sz w:val="16"/>
          <w:szCs w:val="26"/>
          <w:lang w:eastAsia="de-DE"/>
        </w:rPr>
        <w:t>ke als auch Kommunalverwaltungen.</w:t>
      </w:r>
    </w:p>
    <w:sectPr w:rsidR="007749DD" w:rsidRPr="005D3D1E" w:rsidSect="000655B7">
      <w:headerReference w:type="default" r:id="rId9"/>
      <w:pgSz w:w="12240" w:h="15840"/>
      <w:pgMar w:top="1701" w:right="3735" w:bottom="1134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5F2143" w14:textId="77777777" w:rsidR="00633111" w:rsidRDefault="00633111" w:rsidP="00BF70FE">
      <w:pPr>
        <w:spacing w:after="0" w:line="240" w:lineRule="auto"/>
      </w:pPr>
      <w:r>
        <w:separator/>
      </w:r>
    </w:p>
  </w:endnote>
  <w:endnote w:type="continuationSeparator" w:id="0">
    <w:p w14:paraId="73F306B1" w14:textId="77777777" w:rsidR="00633111" w:rsidRDefault="00633111" w:rsidP="00BF7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altName w:val="Calibri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BE7F0" w14:textId="77777777" w:rsidR="00633111" w:rsidRDefault="00633111" w:rsidP="00BF70FE">
      <w:pPr>
        <w:spacing w:after="0" w:line="240" w:lineRule="auto"/>
      </w:pPr>
      <w:r>
        <w:separator/>
      </w:r>
    </w:p>
  </w:footnote>
  <w:footnote w:type="continuationSeparator" w:id="0">
    <w:p w14:paraId="163ABC44" w14:textId="77777777" w:rsidR="00633111" w:rsidRDefault="00633111" w:rsidP="00BF70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049685" w14:textId="318F9223" w:rsidR="00B96701" w:rsidRDefault="00E478B7" w:rsidP="002757A3">
    <w:pPr>
      <w:pStyle w:val="Kopfzeile"/>
      <w:ind w:right="-2268"/>
      <w:jc w:val="right"/>
    </w:pPr>
    <w:r>
      <w:rPr>
        <w:noProof/>
        <w:lang w:eastAsia="de-DE"/>
      </w:rPr>
      <w:drawing>
        <wp:inline distT="0" distB="0" distL="0" distR="0" wp14:anchorId="4445E150" wp14:editId="47E183F1">
          <wp:extent cx="1758237" cy="433606"/>
          <wp:effectExtent l="0" t="0" r="0" b="508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ktvivax logo 80%k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82966" cy="46436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96701">
      <w:rPr>
        <w:noProof/>
        <w:lang w:eastAsia="de-DE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9443E9"/>
    <w:multiLevelType w:val="hybridMultilevel"/>
    <w:tmpl w:val="DE948948"/>
    <w:lvl w:ilvl="0" w:tplc="552AB81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5"/>
  <w:proofState w:spelling="clean" w:grammar="clean"/>
  <w:defaultTabStop w:val="708"/>
  <w:autoHyphenation/>
  <w:hyphenationZone w:val="425"/>
  <w:doNotHyphenateCap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C771EB9D-59BD-4437-BD18-A675BACDF941}"/>
    <w:docVar w:name="dgnword-eventsink" w:val="316488199920"/>
  </w:docVars>
  <w:rsids>
    <w:rsidRoot w:val="00E37F9E"/>
    <w:rsid w:val="00026CFD"/>
    <w:rsid w:val="00037B8A"/>
    <w:rsid w:val="0006200B"/>
    <w:rsid w:val="00065270"/>
    <w:rsid w:val="000655B7"/>
    <w:rsid w:val="000823CF"/>
    <w:rsid w:val="000A1E6B"/>
    <w:rsid w:val="000A4C5E"/>
    <w:rsid w:val="000A4C93"/>
    <w:rsid w:val="000C4746"/>
    <w:rsid w:val="000D4DE3"/>
    <w:rsid w:val="000E087D"/>
    <w:rsid w:val="000E7CE7"/>
    <w:rsid w:val="000F2111"/>
    <w:rsid w:val="000F4F9D"/>
    <w:rsid w:val="0010198B"/>
    <w:rsid w:val="00104674"/>
    <w:rsid w:val="00106821"/>
    <w:rsid w:val="00131142"/>
    <w:rsid w:val="0013234F"/>
    <w:rsid w:val="00135237"/>
    <w:rsid w:val="00157861"/>
    <w:rsid w:val="00181FBB"/>
    <w:rsid w:val="00187FC7"/>
    <w:rsid w:val="001C51EC"/>
    <w:rsid w:val="001D2FB7"/>
    <w:rsid w:val="001E6755"/>
    <w:rsid w:val="00205941"/>
    <w:rsid w:val="00207A9F"/>
    <w:rsid w:val="00213AF7"/>
    <w:rsid w:val="00221777"/>
    <w:rsid w:val="00237217"/>
    <w:rsid w:val="00262A08"/>
    <w:rsid w:val="00265589"/>
    <w:rsid w:val="002745F8"/>
    <w:rsid w:val="002757A3"/>
    <w:rsid w:val="0028558F"/>
    <w:rsid w:val="002A7E29"/>
    <w:rsid w:val="002B3E9E"/>
    <w:rsid w:val="002D5B66"/>
    <w:rsid w:val="002E0481"/>
    <w:rsid w:val="002F1BFF"/>
    <w:rsid w:val="0030091A"/>
    <w:rsid w:val="00304113"/>
    <w:rsid w:val="00314048"/>
    <w:rsid w:val="003274D8"/>
    <w:rsid w:val="00341A34"/>
    <w:rsid w:val="0035256E"/>
    <w:rsid w:val="00362AE7"/>
    <w:rsid w:val="00394D5C"/>
    <w:rsid w:val="003953CA"/>
    <w:rsid w:val="003A3B30"/>
    <w:rsid w:val="003A6602"/>
    <w:rsid w:val="003B4407"/>
    <w:rsid w:val="003B6004"/>
    <w:rsid w:val="003B69BD"/>
    <w:rsid w:val="003C0B6F"/>
    <w:rsid w:val="003C475B"/>
    <w:rsid w:val="003D63AC"/>
    <w:rsid w:val="00406C69"/>
    <w:rsid w:val="004137FD"/>
    <w:rsid w:val="00427AD2"/>
    <w:rsid w:val="004422BD"/>
    <w:rsid w:val="004467C0"/>
    <w:rsid w:val="004540FC"/>
    <w:rsid w:val="00454989"/>
    <w:rsid w:val="00463FE6"/>
    <w:rsid w:val="00465CBB"/>
    <w:rsid w:val="004713E0"/>
    <w:rsid w:val="004810F6"/>
    <w:rsid w:val="00497AEF"/>
    <w:rsid w:val="004B0D7E"/>
    <w:rsid w:val="004F5892"/>
    <w:rsid w:val="00521E6A"/>
    <w:rsid w:val="0053379A"/>
    <w:rsid w:val="00556FEE"/>
    <w:rsid w:val="005577A0"/>
    <w:rsid w:val="00557F58"/>
    <w:rsid w:val="00576A90"/>
    <w:rsid w:val="00576E59"/>
    <w:rsid w:val="00582ECD"/>
    <w:rsid w:val="005926D7"/>
    <w:rsid w:val="005958C2"/>
    <w:rsid w:val="00596BC4"/>
    <w:rsid w:val="005D3D1E"/>
    <w:rsid w:val="005F63B7"/>
    <w:rsid w:val="00633111"/>
    <w:rsid w:val="006563BE"/>
    <w:rsid w:val="00664FF9"/>
    <w:rsid w:val="006663C8"/>
    <w:rsid w:val="00682686"/>
    <w:rsid w:val="00682E83"/>
    <w:rsid w:val="006D38DD"/>
    <w:rsid w:val="006F2189"/>
    <w:rsid w:val="00705635"/>
    <w:rsid w:val="00712F91"/>
    <w:rsid w:val="00714AB5"/>
    <w:rsid w:val="007162A5"/>
    <w:rsid w:val="007169F8"/>
    <w:rsid w:val="00726D0D"/>
    <w:rsid w:val="00732F57"/>
    <w:rsid w:val="00742C79"/>
    <w:rsid w:val="00751621"/>
    <w:rsid w:val="00752985"/>
    <w:rsid w:val="00753CE4"/>
    <w:rsid w:val="00764363"/>
    <w:rsid w:val="00766B7A"/>
    <w:rsid w:val="007749DD"/>
    <w:rsid w:val="007768B7"/>
    <w:rsid w:val="00780026"/>
    <w:rsid w:val="00785A83"/>
    <w:rsid w:val="00785BC8"/>
    <w:rsid w:val="007F3F43"/>
    <w:rsid w:val="00803966"/>
    <w:rsid w:val="00822F51"/>
    <w:rsid w:val="008457BE"/>
    <w:rsid w:val="00860C87"/>
    <w:rsid w:val="00872E24"/>
    <w:rsid w:val="00915DD5"/>
    <w:rsid w:val="00937B5E"/>
    <w:rsid w:val="0094694E"/>
    <w:rsid w:val="00953399"/>
    <w:rsid w:val="0095460E"/>
    <w:rsid w:val="0098474D"/>
    <w:rsid w:val="00993991"/>
    <w:rsid w:val="009A5414"/>
    <w:rsid w:val="009B04A2"/>
    <w:rsid w:val="009C0CE4"/>
    <w:rsid w:val="009E6B35"/>
    <w:rsid w:val="009F0C3D"/>
    <w:rsid w:val="00A22923"/>
    <w:rsid w:val="00A257D2"/>
    <w:rsid w:val="00A32BA5"/>
    <w:rsid w:val="00A339B3"/>
    <w:rsid w:val="00A461EC"/>
    <w:rsid w:val="00A462DC"/>
    <w:rsid w:val="00A551F1"/>
    <w:rsid w:val="00A55C3C"/>
    <w:rsid w:val="00A56E5A"/>
    <w:rsid w:val="00A86E2E"/>
    <w:rsid w:val="00AC6091"/>
    <w:rsid w:val="00AD08BE"/>
    <w:rsid w:val="00AD4250"/>
    <w:rsid w:val="00B11CFE"/>
    <w:rsid w:val="00B27B9D"/>
    <w:rsid w:val="00B43DB2"/>
    <w:rsid w:val="00B46CF9"/>
    <w:rsid w:val="00B47F46"/>
    <w:rsid w:val="00B71C92"/>
    <w:rsid w:val="00B753D5"/>
    <w:rsid w:val="00B819A5"/>
    <w:rsid w:val="00B96701"/>
    <w:rsid w:val="00BA51BE"/>
    <w:rsid w:val="00BB3C47"/>
    <w:rsid w:val="00BC1CCE"/>
    <w:rsid w:val="00BC3A66"/>
    <w:rsid w:val="00BE3C7C"/>
    <w:rsid w:val="00BF3BB4"/>
    <w:rsid w:val="00BF70FE"/>
    <w:rsid w:val="00C27553"/>
    <w:rsid w:val="00C32033"/>
    <w:rsid w:val="00C424EF"/>
    <w:rsid w:val="00C6235A"/>
    <w:rsid w:val="00C84CCA"/>
    <w:rsid w:val="00C91823"/>
    <w:rsid w:val="00CB2102"/>
    <w:rsid w:val="00CB3800"/>
    <w:rsid w:val="00CC44E9"/>
    <w:rsid w:val="00CD3EF6"/>
    <w:rsid w:val="00CD490F"/>
    <w:rsid w:val="00CD5183"/>
    <w:rsid w:val="00D02991"/>
    <w:rsid w:val="00D1662C"/>
    <w:rsid w:val="00D16EBD"/>
    <w:rsid w:val="00D20803"/>
    <w:rsid w:val="00D2582F"/>
    <w:rsid w:val="00D429BE"/>
    <w:rsid w:val="00D52A64"/>
    <w:rsid w:val="00D572B9"/>
    <w:rsid w:val="00D63982"/>
    <w:rsid w:val="00D9728A"/>
    <w:rsid w:val="00DC1341"/>
    <w:rsid w:val="00DF3864"/>
    <w:rsid w:val="00DF581E"/>
    <w:rsid w:val="00E14982"/>
    <w:rsid w:val="00E20A29"/>
    <w:rsid w:val="00E26B5E"/>
    <w:rsid w:val="00E3135E"/>
    <w:rsid w:val="00E37F9E"/>
    <w:rsid w:val="00E478B7"/>
    <w:rsid w:val="00E570C4"/>
    <w:rsid w:val="00E60782"/>
    <w:rsid w:val="00E60990"/>
    <w:rsid w:val="00E6120F"/>
    <w:rsid w:val="00E64CFD"/>
    <w:rsid w:val="00E704E3"/>
    <w:rsid w:val="00E73FD3"/>
    <w:rsid w:val="00E833E9"/>
    <w:rsid w:val="00E92706"/>
    <w:rsid w:val="00E96682"/>
    <w:rsid w:val="00EA337B"/>
    <w:rsid w:val="00EB6A45"/>
    <w:rsid w:val="00ED3254"/>
    <w:rsid w:val="00ED48B5"/>
    <w:rsid w:val="00EF4362"/>
    <w:rsid w:val="00F02294"/>
    <w:rsid w:val="00F60AEE"/>
    <w:rsid w:val="00F66C89"/>
    <w:rsid w:val="00F66CAF"/>
    <w:rsid w:val="00F80BB7"/>
    <w:rsid w:val="00F875B4"/>
    <w:rsid w:val="00F91B9F"/>
    <w:rsid w:val="00F94262"/>
    <w:rsid w:val="00F94264"/>
    <w:rsid w:val="00F965C4"/>
    <w:rsid w:val="00FB447B"/>
    <w:rsid w:val="00FB53D9"/>
    <w:rsid w:val="00FB68F7"/>
    <w:rsid w:val="00FE2E90"/>
    <w:rsid w:val="00FE3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6DFBD88"/>
  <w15:docId w15:val="{747D9F12-AC28-2243-9B62-370EBB3D0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F91B9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557F58"/>
    <w:rPr>
      <w:b/>
      <w:bCs/>
    </w:rPr>
  </w:style>
  <w:style w:type="paragraph" w:styleId="Listenabsatz">
    <w:name w:val="List Paragraph"/>
    <w:basedOn w:val="Standard"/>
    <w:uiPriority w:val="34"/>
    <w:qFormat/>
    <w:rsid w:val="00104674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463FE6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F70FE"/>
  </w:style>
  <w:style w:type="paragraph" w:styleId="Fuzeile">
    <w:name w:val="footer"/>
    <w:basedOn w:val="Standard"/>
    <w:link w:val="Fu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F70FE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F70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F70FE"/>
    <w:rPr>
      <w:rFonts w:ascii="Segoe UI" w:hAnsi="Segoe UI" w:cs="Segoe UI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CD3EF6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749DD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F91B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 w:bidi="th-TH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D3D1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D3D1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D3D1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1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6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8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4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89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14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8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0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pa@press-n-relations.d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.fieml@tkt-vivax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463</Words>
  <Characters>2921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Dipl.- Ing. (FH) Dirk Fieml</dc:creator>
  <cp:keywords/>
  <dc:description/>
  <cp:lastModifiedBy>Uwe Pagel</cp:lastModifiedBy>
  <cp:revision>2</cp:revision>
  <cp:lastPrinted>2019-02-13T13:45:00Z</cp:lastPrinted>
  <dcterms:created xsi:type="dcterms:W3CDTF">2019-02-19T07:29:00Z</dcterms:created>
  <dcterms:modified xsi:type="dcterms:W3CDTF">2019-02-19T07:29:00Z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306931540</vt:i4>
  </property>
  <property fmtid="{D5CDD505-2E9C-101B-9397-08002B2CF9AE}" pid="3" name="_NewReviewCycle">
    <vt:lpwstr/>
  </property>
  <property fmtid="{D5CDD505-2E9C-101B-9397-08002B2CF9AE}" pid="4" name="_EmailSubject">
    <vt:lpwstr>Presseinfo STI Energiewirtschaft</vt:lpwstr>
  </property>
  <property fmtid="{D5CDD505-2E9C-101B-9397-08002B2CF9AE}" pid="5" name="_AuthorEmail">
    <vt:lpwstr>d.fieml@vivax-gmbh.net</vt:lpwstr>
  </property>
  <property fmtid="{D5CDD505-2E9C-101B-9397-08002B2CF9AE}" pid="6" name="_AuthorEmailDisplayName">
    <vt:lpwstr>Dirk Fieml</vt:lpwstr>
  </property>
</Properties>
</file>