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36F352" w14:textId="16CC8F91" w:rsidR="002757A3" w:rsidRDefault="002757A3" w:rsidP="00E37F9E">
      <w:pPr>
        <w:autoSpaceDE w:val="0"/>
        <w:autoSpaceDN w:val="0"/>
        <w:adjustRightInd w:val="0"/>
        <w:spacing w:after="0" w:line="240" w:lineRule="auto"/>
        <w:rPr>
          <w:rFonts w:ascii="Arial" w:hAnsi="Arial" w:cs="Arial"/>
          <w:b/>
          <w:color w:val="000000"/>
          <w:sz w:val="24"/>
          <w:szCs w:val="24"/>
        </w:rPr>
      </w:pPr>
    </w:p>
    <w:p w14:paraId="40AC5AEF" w14:textId="77777777" w:rsidR="002F1BFF" w:rsidRPr="000655B7" w:rsidRDefault="002F1BFF" w:rsidP="00E37F9E">
      <w:pPr>
        <w:autoSpaceDE w:val="0"/>
        <w:autoSpaceDN w:val="0"/>
        <w:adjustRightInd w:val="0"/>
        <w:spacing w:after="0" w:line="240" w:lineRule="auto"/>
        <w:rPr>
          <w:rFonts w:ascii="Arial" w:hAnsi="Arial" w:cs="Arial"/>
          <w:b/>
          <w:color w:val="000000"/>
          <w:sz w:val="24"/>
          <w:szCs w:val="24"/>
        </w:rPr>
      </w:pPr>
    </w:p>
    <w:p w14:paraId="0B2168AF" w14:textId="77777777" w:rsidR="00E37F9E" w:rsidRPr="000655B7" w:rsidRDefault="002757A3" w:rsidP="00E37F9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4C8BBA5C" w14:textId="77777777" w:rsidR="00EB6A45" w:rsidRDefault="00EB6A45" w:rsidP="00E37F9E">
      <w:pPr>
        <w:autoSpaceDE w:val="0"/>
        <w:autoSpaceDN w:val="0"/>
        <w:adjustRightInd w:val="0"/>
        <w:spacing w:after="0" w:line="240" w:lineRule="auto"/>
        <w:rPr>
          <w:rFonts w:ascii="Arial" w:hAnsi="Arial" w:cs="Arial"/>
          <w:color w:val="000000"/>
        </w:rPr>
      </w:pPr>
    </w:p>
    <w:p w14:paraId="1BB9B786" w14:textId="118DB806" w:rsidR="002757A3" w:rsidRPr="000655B7" w:rsidRDefault="00106821" w:rsidP="00E37F9E">
      <w:pPr>
        <w:autoSpaceDE w:val="0"/>
        <w:autoSpaceDN w:val="0"/>
        <w:adjustRightInd w:val="0"/>
        <w:spacing w:after="0" w:line="240" w:lineRule="auto"/>
        <w:rPr>
          <w:rFonts w:ascii="Arial" w:hAnsi="Arial" w:cs="Arial"/>
          <w:color w:val="000000"/>
        </w:rPr>
      </w:pPr>
      <w:r>
        <w:rPr>
          <w:rFonts w:ascii="Arial" w:hAnsi="Arial" w:cs="Arial"/>
          <w:color w:val="000000"/>
        </w:rPr>
        <w:t>Berlin</w:t>
      </w:r>
      <w:r w:rsidR="00752985">
        <w:rPr>
          <w:rFonts w:ascii="Arial" w:hAnsi="Arial" w:cs="Arial"/>
          <w:color w:val="000000"/>
        </w:rPr>
        <w:t>/Ludwigsburg</w:t>
      </w:r>
      <w:r w:rsidR="002757A3" w:rsidRPr="000655B7">
        <w:rPr>
          <w:rFonts w:ascii="Arial" w:hAnsi="Arial" w:cs="Arial"/>
          <w:color w:val="000000"/>
        </w:rPr>
        <w:t xml:space="preserve">, </w:t>
      </w:r>
      <w:r w:rsidR="004810F6">
        <w:rPr>
          <w:rFonts w:ascii="Arial" w:hAnsi="Arial" w:cs="Arial"/>
          <w:color w:val="000000"/>
        </w:rPr>
        <w:t>17</w:t>
      </w:r>
      <w:r w:rsidR="002757A3" w:rsidRPr="000655B7">
        <w:rPr>
          <w:rFonts w:ascii="Arial" w:hAnsi="Arial" w:cs="Arial"/>
          <w:color w:val="000000"/>
        </w:rPr>
        <w:t xml:space="preserve">. </w:t>
      </w:r>
      <w:r>
        <w:rPr>
          <w:rFonts w:ascii="Arial" w:hAnsi="Arial" w:cs="Arial"/>
          <w:color w:val="000000"/>
        </w:rPr>
        <w:t>Ju</w:t>
      </w:r>
      <w:r w:rsidR="000A4C93">
        <w:rPr>
          <w:rFonts w:ascii="Arial" w:hAnsi="Arial" w:cs="Arial"/>
          <w:color w:val="000000"/>
        </w:rPr>
        <w:t>l</w:t>
      </w:r>
      <w:r>
        <w:rPr>
          <w:rFonts w:ascii="Arial" w:hAnsi="Arial" w:cs="Arial"/>
          <w:color w:val="000000"/>
        </w:rPr>
        <w:t>i</w:t>
      </w:r>
      <w:r w:rsidR="002757A3" w:rsidRPr="000655B7">
        <w:rPr>
          <w:rFonts w:ascii="Arial" w:hAnsi="Arial" w:cs="Arial"/>
          <w:color w:val="000000"/>
        </w:rPr>
        <w:t xml:space="preserve"> 201</w:t>
      </w:r>
      <w:r>
        <w:rPr>
          <w:rFonts w:ascii="Arial" w:hAnsi="Arial" w:cs="Arial"/>
          <w:color w:val="000000"/>
        </w:rPr>
        <w:t>8</w:t>
      </w:r>
    </w:p>
    <w:p w14:paraId="1A81E8DA" w14:textId="77777777" w:rsidR="000655B7" w:rsidRPr="000655B7" w:rsidRDefault="000655B7" w:rsidP="00E37F9E">
      <w:pPr>
        <w:autoSpaceDE w:val="0"/>
        <w:autoSpaceDN w:val="0"/>
        <w:adjustRightInd w:val="0"/>
        <w:spacing w:after="0" w:line="240" w:lineRule="auto"/>
        <w:rPr>
          <w:rFonts w:ascii="Arial" w:hAnsi="Arial" w:cs="Arial"/>
          <w:color w:val="000000"/>
          <w:sz w:val="24"/>
          <w:szCs w:val="24"/>
        </w:rPr>
      </w:pPr>
    </w:p>
    <w:p w14:paraId="370C292D" w14:textId="5AA37488" w:rsidR="00D02991" w:rsidRPr="000655B7" w:rsidRDefault="00D02991" w:rsidP="00E37F9E">
      <w:pPr>
        <w:autoSpaceDE w:val="0"/>
        <w:autoSpaceDN w:val="0"/>
        <w:adjustRightInd w:val="0"/>
        <w:spacing w:after="0" w:line="240" w:lineRule="auto"/>
        <w:rPr>
          <w:rFonts w:ascii="Arial" w:hAnsi="Arial" w:cs="Arial"/>
          <w:color w:val="000000"/>
          <w:sz w:val="20"/>
          <w:szCs w:val="20"/>
        </w:rPr>
      </w:pPr>
    </w:p>
    <w:p w14:paraId="2430070F" w14:textId="77777777" w:rsidR="00FB68F7" w:rsidRPr="000655B7" w:rsidRDefault="00FB68F7" w:rsidP="00FB68F7">
      <w:pPr>
        <w:autoSpaceDE w:val="0"/>
        <w:autoSpaceDN w:val="0"/>
        <w:adjustRightInd w:val="0"/>
        <w:spacing w:after="0" w:line="240" w:lineRule="auto"/>
        <w:ind w:right="-1984"/>
        <w:rPr>
          <w:rFonts w:ascii="Arial" w:hAnsi="Arial" w:cs="Arial"/>
          <w:b/>
          <w:color w:val="000000"/>
          <w:sz w:val="28"/>
          <w:szCs w:val="28"/>
        </w:rPr>
      </w:pPr>
      <w:r>
        <w:rPr>
          <w:rFonts w:ascii="Arial" w:hAnsi="Arial" w:cs="Arial"/>
          <w:b/>
          <w:color w:val="000000"/>
          <w:sz w:val="28"/>
          <w:szCs w:val="28"/>
        </w:rPr>
        <w:t xml:space="preserve">Ludwigsburg setzt bei Breitband auf Kompetenz von </w:t>
      </w:r>
      <w:proofErr w:type="spellStart"/>
      <w:r>
        <w:rPr>
          <w:rFonts w:ascii="Arial" w:hAnsi="Arial" w:cs="Arial"/>
          <w:b/>
          <w:color w:val="000000"/>
          <w:sz w:val="28"/>
          <w:szCs w:val="28"/>
        </w:rPr>
        <w:t>Vivax</w:t>
      </w:r>
      <w:proofErr w:type="spellEnd"/>
    </w:p>
    <w:p w14:paraId="35A51C7D" w14:textId="0358E4C9" w:rsidR="00E37F9E" w:rsidRPr="000655B7" w:rsidRDefault="00D572B9" w:rsidP="00106821">
      <w:pPr>
        <w:spacing w:line="360" w:lineRule="auto"/>
        <w:ind w:right="-1276"/>
        <w:rPr>
          <w:rFonts w:ascii="Arial" w:hAnsi="Arial" w:cs="Tahoma"/>
          <w:sz w:val="20"/>
          <w:szCs w:val="20"/>
        </w:rPr>
      </w:pPr>
      <w:r>
        <w:rPr>
          <w:rFonts w:ascii="Arial" w:hAnsi="Arial" w:cs="Tahoma"/>
          <w:sz w:val="20"/>
          <w:szCs w:val="20"/>
        </w:rPr>
        <w:t>Unterstützung von der Strategie über die Planung bis zum Um</w:t>
      </w:r>
      <w:r w:rsidR="00DF3864">
        <w:rPr>
          <w:rFonts w:ascii="Arial" w:hAnsi="Arial" w:cs="Tahoma"/>
          <w:sz w:val="20"/>
          <w:szCs w:val="20"/>
        </w:rPr>
        <w:t>s</w:t>
      </w:r>
      <w:r>
        <w:rPr>
          <w:rFonts w:ascii="Arial" w:hAnsi="Arial" w:cs="Tahoma"/>
          <w:sz w:val="20"/>
          <w:szCs w:val="20"/>
        </w:rPr>
        <w:t>etzung</w:t>
      </w:r>
    </w:p>
    <w:p w14:paraId="1A42BDF4" w14:textId="77777777" w:rsidR="00E37F9E" w:rsidRPr="000655B7" w:rsidRDefault="00E37F9E" w:rsidP="00E37F9E">
      <w:pPr>
        <w:autoSpaceDE w:val="0"/>
        <w:autoSpaceDN w:val="0"/>
        <w:adjustRightInd w:val="0"/>
        <w:spacing w:after="0" w:line="240" w:lineRule="auto"/>
        <w:rPr>
          <w:rFonts w:ascii="Arial" w:hAnsi="Arial" w:cs="Arial"/>
          <w:color w:val="000000"/>
          <w:sz w:val="20"/>
          <w:szCs w:val="20"/>
        </w:rPr>
      </w:pPr>
    </w:p>
    <w:p w14:paraId="56ABEFF4" w14:textId="32005BB4" w:rsidR="00FB68F7" w:rsidRPr="005F63B7" w:rsidRDefault="00FB68F7" w:rsidP="00FB68F7">
      <w:pPr>
        <w:spacing w:line="360" w:lineRule="auto"/>
        <w:rPr>
          <w:rFonts w:ascii="Arial" w:hAnsi="Arial" w:cs="Tahoma"/>
          <w:b/>
          <w:bCs/>
          <w:sz w:val="20"/>
          <w:szCs w:val="20"/>
          <w:lang w:val="de-AT"/>
        </w:rPr>
      </w:pPr>
      <w:r>
        <w:rPr>
          <w:rFonts w:ascii="Arial" w:hAnsi="Arial" w:cs="Tahoma"/>
          <w:b/>
          <w:bCs/>
          <w:sz w:val="20"/>
          <w:szCs w:val="20"/>
        </w:rPr>
        <w:t xml:space="preserve">Im Juni 2018 wurden die ersten Kunden an das Breitbandnetz angeschlossen, </w:t>
      </w:r>
      <w:r>
        <w:rPr>
          <w:rFonts w:ascii="Arial" w:hAnsi="Arial" w:cs="Tahoma"/>
          <w:b/>
          <w:bCs/>
          <w:sz w:val="20"/>
          <w:szCs w:val="20"/>
          <w:lang w:val="de-AT"/>
        </w:rPr>
        <w:t xml:space="preserve">bis 2024 sollen in Ludwigsburg mehr als 57.000 Wohneinheiten mit Breitbandanschlüssen versorgt werden. </w:t>
      </w:r>
      <w:r w:rsidRPr="00DF3864">
        <w:rPr>
          <w:rFonts w:ascii="Arial" w:hAnsi="Arial" w:cs="Tahoma"/>
          <w:b/>
          <w:bCs/>
          <w:sz w:val="20"/>
          <w:szCs w:val="20"/>
        </w:rPr>
        <w:t>D</w:t>
      </w:r>
      <w:r>
        <w:rPr>
          <w:rFonts w:ascii="Arial" w:hAnsi="Arial" w:cs="Tahoma"/>
          <w:b/>
          <w:bCs/>
          <w:sz w:val="20"/>
          <w:szCs w:val="20"/>
        </w:rPr>
        <w:t xml:space="preserve">ie dazu gehörige Projektleitung </w:t>
      </w:r>
      <w:r w:rsidRPr="00DF3864">
        <w:rPr>
          <w:rFonts w:ascii="Arial" w:hAnsi="Arial" w:cs="Tahoma"/>
          <w:b/>
          <w:bCs/>
          <w:sz w:val="20"/>
          <w:szCs w:val="20"/>
        </w:rPr>
        <w:t xml:space="preserve">haben </w:t>
      </w:r>
      <w:r>
        <w:rPr>
          <w:rFonts w:ascii="Arial" w:hAnsi="Arial" w:cs="Tahoma"/>
          <w:b/>
          <w:bCs/>
          <w:sz w:val="20"/>
          <w:szCs w:val="20"/>
        </w:rPr>
        <w:t xml:space="preserve">die </w:t>
      </w:r>
      <w:r w:rsidRPr="00DF3864">
        <w:rPr>
          <w:rFonts w:ascii="Arial" w:hAnsi="Arial" w:cs="Tahoma"/>
          <w:b/>
          <w:bCs/>
          <w:sz w:val="20"/>
          <w:szCs w:val="20"/>
        </w:rPr>
        <w:t xml:space="preserve">Stadt und </w:t>
      </w:r>
      <w:r>
        <w:rPr>
          <w:rFonts w:ascii="Arial" w:hAnsi="Arial" w:cs="Tahoma"/>
          <w:b/>
          <w:bCs/>
          <w:sz w:val="20"/>
          <w:szCs w:val="20"/>
        </w:rPr>
        <w:t xml:space="preserve">die </w:t>
      </w:r>
      <w:r w:rsidRPr="00DF3864">
        <w:rPr>
          <w:rFonts w:ascii="Arial" w:hAnsi="Arial" w:cs="Tahoma"/>
          <w:b/>
          <w:bCs/>
          <w:sz w:val="20"/>
          <w:szCs w:val="20"/>
        </w:rPr>
        <w:t xml:space="preserve">Stadtwerke Ludwigsburg-Kornwestheim (SWLB) </w:t>
      </w:r>
      <w:r>
        <w:rPr>
          <w:rFonts w:ascii="Arial" w:hAnsi="Arial" w:cs="Tahoma"/>
          <w:b/>
          <w:bCs/>
          <w:sz w:val="20"/>
          <w:szCs w:val="20"/>
        </w:rPr>
        <w:t>an das</w:t>
      </w:r>
      <w:r w:rsidRPr="00DF3864">
        <w:rPr>
          <w:rFonts w:ascii="Arial" w:hAnsi="Arial" w:cs="Tahoma"/>
          <w:b/>
          <w:bCs/>
          <w:sz w:val="20"/>
          <w:szCs w:val="20"/>
        </w:rPr>
        <w:t xml:space="preserve"> Beratungsunternehmen </w:t>
      </w:r>
      <w:proofErr w:type="spellStart"/>
      <w:r w:rsidRPr="00DF3864">
        <w:rPr>
          <w:rFonts w:ascii="Arial" w:hAnsi="Arial" w:cs="Tahoma"/>
          <w:b/>
          <w:bCs/>
          <w:sz w:val="20"/>
          <w:szCs w:val="20"/>
        </w:rPr>
        <w:t>Vivax</w:t>
      </w:r>
      <w:proofErr w:type="spellEnd"/>
      <w:r w:rsidRPr="00DF3864">
        <w:rPr>
          <w:rFonts w:ascii="Arial" w:hAnsi="Arial" w:cs="Tahoma"/>
          <w:b/>
          <w:bCs/>
          <w:sz w:val="20"/>
          <w:szCs w:val="20"/>
        </w:rPr>
        <w:t xml:space="preserve"> </w:t>
      </w:r>
      <w:r>
        <w:rPr>
          <w:rFonts w:ascii="Arial" w:hAnsi="Arial" w:cs="Tahoma"/>
          <w:b/>
          <w:bCs/>
          <w:sz w:val="20"/>
          <w:szCs w:val="20"/>
        </w:rPr>
        <w:t>übergeben</w:t>
      </w:r>
      <w:r w:rsidRPr="00DF3864">
        <w:rPr>
          <w:rFonts w:ascii="Arial" w:hAnsi="Arial" w:cs="Tahoma"/>
          <w:b/>
          <w:bCs/>
          <w:sz w:val="20"/>
          <w:szCs w:val="20"/>
        </w:rPr>
        <w:t xml:space="preserve">, das nun auch bei der Umsetzung unterstützt. Mit Erfolg: In nur </w:t>
      </w:r>
      <w:r>
        <w:rPr>
          <w:rFonts w:ascii="Arial" w:hAnsi="Arial" w:cs="Tahoma"/>
          <w:b/>
          <w:bCs/>
          <w:sz w:val="20"/>
          <w:szCs w:val="20"/>
        </w:rPr>
        <w:t>wenigen</w:t>
      </w:r>
      <w:r w:rsidRPr="00DF3864">
        <w:rPr>
          <w:rFonts w:ascii="Arial" w:hAnsi="Arial" w:cs="Tahoma"/>
          <w:b/>
          <w:bCs/>
          <w:sz w:val="20"/>
          <w:szCs w:val="20"/>
        </w:rPr>
        <w:t xml:space="preserve"> Wochen nach dem Start konnten Verträge für den Anschluss von </w:t>
      </w:r>
      <w:r>
        <w:rPr>
          <w:rFonts w:ascii="Arial" w:hAnsi="Arial" w:cs="Tahoma"/>
          <w:b/>
          <w:bCs/>
          <w:sz w:val="20"/>
          <w:szCs w:val="20"/>
        </w:rPr>
        <w:t>rund 500</w:t>
      </w:r>
      <w:r w:rsidRPr="00DF3864">
        <w:rPr>
          <w:rFonts w:ascii="Arial" w:hAnsi="Arial" w:cs="Tahoma"/>
          <w:b/>
          <w:bCs/>
          <w:sz w:val="20"/>
          <w:szCs w:val="20"/>
        </w:rPr>
        <w:t xml:space="preserve"> </w:t>
      </w:r>
      <w:r>
        <w:rPr>
          <w:rFonts w:ascii="Arial" w:hAnsi="Arial" w:cs="Tahoma"/>
          <w:b/>
          <w:bCs/>
          <w:sz w:val="20"/>
          <w:szCs w:val="20"/>
        </w:rPr>
        <w:t>Privatkunden</w:t>
      </w:r>
      <w:r w:rsidRPr="00DF3864">
        <w:rPr>
          <w:rFonts w:ascii="Arial" w:hAnsi="Arial" w:cs="Tahoma"/>
          <w:b/>
          <w:bCs/>
          <w:sz w:val="20"/>
          <w:szCs w:val="20"/>
        </w:rPr>
        <w:t xml:space="preserve"> abgeschlossen werden. Und dies nicht nur </w:t>
      </w:r>
      <w:r>
        <w:rPr>
          <w:rFonts w:ascii="Arial" w:hAnsi="Arial" w:cs="Tahoma"/>
          <w:b/>
          <w:bCs/>
          <w:sz w:val="20"/>
          <w:szCs w:val="20"/>
        </w:rPr>
        <w:t xml:space="preserve">mit </w:t>
      </w:r>
      <w:r w:rsidRPr="00DF3864">
        <w:rPr>
          <w:rFonts w:ascii="Arial" w:hAnsi="Arial" w:cs="Tahoma"/>
          <w:b/>
          <w:bCs/>
          <w:sz w:val="20"/>
          <w:szCs w:val="20"/>
        </w:rPr>
        <w:t xml:space="preserve">Produkten für Internet und Telefonie: Mit einem eigenen IP-TV-Angebot </w:t>
      </w:r>
      <w:r>
        <w:rPr>
          <w:rFonts w:ascii="Arial" w:hAnsi="Arial" w:cs="Tahoma"/>
          <w:b/>
          <w:bCs/>
          <w:sz w:val="20"/>
          <w:szCs w:val="20"/>
        </w:rPr>
        <w:t xml:space="preserve">und einem speziellen Angebot </w:t>
      </w:r>
      <w:r w:rsidRPr="00DF3864">
        <w:rPr>
          <w:rFonts w:ascii="Arial" w:hAnsi="Arial" w:cs="Tahoma"/>
          <w:b/>
          <w:bCs/>
          <w:sz w:val="20"/>
          <w:szCs w:val="20"/>
        </w:rPr>
        <w:t xml:space="preserve">als Basis-TV-Variante für die Wohnungswirtschaft ist Ludwigsburg </w:t>
      </w:r>
      <w:r>
        <w:rPr>
          <w:rFonts w:ascii="Arial" w:hAnsi="Arial" w:cs="Tahoma"/>
          <w:b/>
          <w:bCs/>
          <w:sz w:val="20"/>
          <w:szCs w:val="20"/>
        </w:rPr>
        <w:t xml:space="preserve">zudem </w:t>
      </w:r>
      <w:r w:rsidRPr="00DF3864">
        <w:rPr>
          <w:rFonts w:ascii="Arial" w:hAnsi="Arial" w:cs="Tahoma"/>
          <w:b/>
          <w:bCs/>
          <w:sz w:val="20"/>
          <w:szCs w:val="20"/>
        </w:rPr>
        <w:t>deutschlandweit ein Vorreiter.</w:t>
      </w:r>
      <w:r>
        <w:rPr>
          <w:rFonts w:ascii="Arial" w:hAnsi="Arial" w:cs="Tahoma"/>
          <w:b/>
          <w:bCs/>
          <w:sz w:val="20"/>
          <w:szCs w:val="20"/>
        </w:rPr>
        <w:t xml:space="preserve"> </w:t>
      </w:r>
      <w:r w:rsidRPr="00DF3864">
        <w:rPr>
          <w:rFonts w:ascii="Arial" w:hAnsi="Arial" w:cs="Tahoma"/>
          <w:b/>
          <w:bCs/>
          <w:sz w:val="20"/>
          <w:szCs w:val="20"/>
        </w:rPr>
        <w:t xml:space="preserve">„Insgesamt haben wir mit Unterstützung von </w:t>
      </w:r>
      <w:proofErr w:type="spellStart"/>
      <w:r w:rsidRPr="00DF3864">
        <w:rPr>
          <w:rFonts w:ascii="Arial" w:hAnsi="Arial" w:cs="Tahoma"/>
          <w:b/>
          <w:bCs/>
          <w:sz w:val="20"/>
          <w:szCs w:val="20"/>
        </w:rPr>
        <w:t>Vivax</w:t>
      </w:r>
      <w:proofErr w:type="spellEnd"/>
      <w:r w:rsidRPr="00DF3864">
        <w:rPr>
          <w:rFonts w:ascii="Arial" w:hAnsi="Arial" w:cs="Tahoma"/>
          <w:b/>
          <w:bCs/>
          <w:sz w:val="20"/>
          <w:szCs w:val="20"/>
        </w:rPr>
        <w:t xml:space="preserve"> die Basis geschaffen, um die hochgesteckten Digitalisierungsziele in Ludwigsburg auch tatsächlich erreichen zu können. Das hohe Interesse schon zu Beginn des Rollouts zeigt, dass wir mit unseren Angeboten genau richtig liegen“, zieht Bodo </w:t>
      </w:r>
      <w:proofErr w:type="spellStart"/>
      <w:r w:rsidRPr="00DF3864">
        <w:rPr>
          <w:rFonts w:ascii="Arial" w:hAnsi="Arial" w:cs="Tahoma"/>
          <w:b/>
          <w:bCs/>
          <w:sz w:val="20"/>
          <w:szCs w:val="20"/>
        </w:rPr>
        <w:t>Skaletz</w:t>
      </w:r>
      <w:proofErr w:type="spellEnd"/>
      <w:r>
        <w:rPr>
          <w:rFonts w:ascii="Arial" w:hAnsi="Arial" w:cs="Tahoma"/>
          <w:b/>
          <w:bCs/>
          <w:sz w:val="20"/>
          <w:szCs w:val="20"/>
        </w:rPr>
        <w:t>, Geschäftsführer der Stadtwerke Ludwigsburg-Kornwestheim GmbH,</w:t>
      </w:r>
      <w:r w:rsidRPr="00DF3864">
        <w:rPr>
          <w:rFonts w:ascii="Arial" w:hAnsi="Arial" w:cs="Tahoma"/>
          <w:b/>
          <w:bCs/>
          <w:sz w:val="20"/>
          <w:szCs w:val="20"/>
        </w:rPr>
        <w:t xml:space="preserve"> eine erste Zwischenbilanz.</w:t>
      </w:r>
    </w:p>
    <w:p w14:paraId="71431804" w14:textId="77777777" w:rsidR="00FB68F7" w:rsidRPr="00DF3864" w:rsidRDefault="00FB68F7" w:rsidP="00FB68F7">
      <w:pPr>
        <w:spacing w:line="360" w:lineRule="auto"/>
        <w:rPr>
          <w:rFonts w:ascii="Arial" w:hAnsi="Arial" w:cs="Tahoma"/>
          <w:sz w:val="20"/>
          <w:szCs w:val="20"/>
        </w:rPr>
      </w:pPr>
      <w:r>
        <w:rPr>
          <w:rFonts w:ascii="Arial" w:hAnsi="Arial" w:cs="Tahoma"/>
          <w:sz w:val="20"/>
          <w:szCs w:val="20"/>
        </w:rPr>
        <w:t xml:space="preserve">In Zusammenarbeit mit </w:t>
      </w:r>
      <w:proofErr w:type="spellStart"/>
      <w:r>
        <w:rPr>
          <w:rFonts w:ascii="Arial" w:hAnsi="Arial" w:cs="Tahoma"/>
          <w:sz w:val="20"/>
          <w:szCs w:val="20"/>
        </w:rPr>
        <w:t>Vivax</w:t>
      </w:r>
      <w:proofErr w:type="spellEnd"/>
      <w:r>
        <w:rPr>
          <w:rFonts w:ascii="Arial" w:hAnsi="Arial" w:cs="Tahoma"/>
          <w:sz w:val="20"/>
          <w:szCs w:val="20"/>
        </w:rPr>
        <w:t xml:space="preserve"> wurde eine </w:t>
      </w:r>
      <w:r w:rsidRPr="00DF3864">
        <w:rPr>
          <w:rFonts w:ascii="Arial" w:hAnsi="Arial" w:cs="Tahoma"/>
          <w:sz w:val="20"/>
          <w:szCs w:val="20"/>
        </w:rPr>
        <w:t xml:space="preserve">umfangreiche Voruntersuchung im ersten Schritt an die realen Gegebenheiten angepasst. </w:t>
      </w:r>
      <w:r>
        <w:rPr>
          <w:rFonts w:ascii="Arial" w:hAnsi="Arial" w:cs="Tahoma"/>
          <w:sz w:val="20"/>
          <w:szCs w:val="20"/>
        </w:rPr>
        <w:t>Dazu gehörte eine Analyse des Bedarfs der unterschiedlichen Zielgruppen w</w:t>
      </w:r>
      <w:r w:rsidRPr="00DF3864">
        <w:rPr>
          <w:rFonts w:ascii="Arial" w:hAnsi="Arial" w:cs="Tahoma"/>
          <w:sz w:val="20"/>
          <w:szCs w:val="20"/>
        </w:rPr>
        <w:t>ie Endverbraucher</w:t>
      </w:r>
      <w:r>
        <w:rPr>
          <w:rFonts w:ascii="Arial" w:hAnsi="Arial" w:cs="Tahoma"/>
          <w:sz w:val="20"/>
          <w:szCs w:val="20"/>
        </w:rPr>
        <w:t>,</w:t>
      </w:r>
      <w:r w:rsidRPr="00DF3864">
        <w:rPr>
          <w:rFonts w:ascii="Arial" w:hAnsi="Arial" w:cs="Tahoma"/>
          <w:sz w:val="20"/>
          <w:szCs w:val="20"/>
        </w:rPr>
        <w:t xml:space="preserve"> Gewerbe</w:t>
      </w:r>
      <w:r>
        <w:rPr>
          <w:rFonts w:ascii="Arial" w:hAnsi="Arial" w:cs="Tahoma"/>
          <w:sz w:val="20"/>
          <w:szCs w:val="20"/>
        </w:rPr>
        <w:t xml:space="preserve">, </w:t>
      </w:r>
      <w:r w:rsidRPr="00DF3864">
        <w:rPr>
          <w:rFonts w:ascii="Arial" w:hAnsi="Arial" w:cs="Tahoma"/>
          <w:sz w:val="20"/>
          <w:szCs w:val="20"/>
        </w:rPr>
        <w:t>Handel</w:t>
      </w:r>
      <w:r>
        <w:rPr>
          <w:rFonts w:ascii="Arial" w:hAnsi="Arial" w:cs="Tahoma"/>
          <w:sz w:val="20"/>
          <w:szCs w:val="20"/>
        </w:rPr>
        <w:t>,</w:t>
      </w:r>
      <w:r w:rsidRPr="00DF3864">
        <w:rPr>
          <w:rFonts w:ascii="Arial" w:hAnsi="Arial" w:cs="Tahoma"/>
          <w:sz w:val="20"/>
          <w:szCs w:val="20"/>
        </w:rPr>
        <w:t xml:space="preserve"> Industrie und Verwaltung. Für die Wirtschaftlichkeit des Breitbandportfolios spielt</w:t>
      </w:r>
      <w:r>
        <w:rPr>
          <w:rFonts w:ascii="Arial" w:hAnsi="Arial" w:cs="Tahoma"/>
          <w:sz w:val="20"/>
          <w:szCs w:val="20"/>
        </w:rPr>
        <w:t>e</w:t>
      </w:r>
      <w:r w:rsidRPr="00DF3864">
        <w:rPr>
          <w:rFonts w:ascii="Arial" w:hAnsi="Arial" w:cs="Tahoma"/>
          <w:sz w:val="20"/>
          <w:szCs w:val="20"/>
        </w:rPr>
        <w:t xml:space="preserve"> </w:t>
      </w:r>
      <w:r>
        <w:rPr>
          <w:rFonts w:ascii="Arial" w:hAnsi="Arial" w:cs="Tahoma"/>
          <w:sz w:val="20"/>
          <w:szCs w:val="20"/>
        </w:rPr>
        <w:t>zudem</w:t>
      </w:r>
      <w:r w:rsidRPr="00DF3864">
        <w:rPr>
          <w:rFonts w:ascii="Arial" w:hAnsi="Arial" w:cs="Tahoma"/>
          <w:sz w:val="20"/>
          <w:szCs w:val="20"/>
        </w:rPr>
        <w:t xml:space="preserve"> die Ausgestaltung der Angebote eine zentrale Rolle. Dazu </w:t>
      </w:r>
      <w:r>
        <w:rPr>
          <w:rFonts w:ascii="Arial" w:hAnsi="Arial" w:cs="Tahoma"/>
          <w:sz w:val="20"/>
          <w:szCs w:val="20"/>
        </w:rPr>
        <w:t>optimierte</w:t>
      </w:r>
      <w:r w:rsidRPr="00DF3864">
        <w:rPr>
          <w:rFonts w:ascii="Arial" w:hAnsi="Arial" w:cs="Tahoma"/>
          <w:sz w:val="20"/>
          <w:szCs w:val="20"/>
        </w:rPr>
        <w:t xml:space="preserve"> </w:t>
      </w:r>
      <w:proofErr w:type="spellStart"/>
      <w:r w:rsidRPr="00DF3864">
        <w:rPr>
          <w:rFonts w:ascii="Arial" w:hAnsi="Arial" w:cs="Tahoma"/>
          <w:sz w:val="20"/>
          <w:szCs w:val="20"/>
        </w:rPr>
        <w:t>Vivax</w:t>
      </w:r>
      <w:proofErr w:type="spellEnd"/>
      <w:r w:rsidRPr="00DF3864">
        <w:rPr>
          <w:rFonts w:ascii="Arial" w:hAnsi="Arial" w:cs="Tahoma"/>
          <w:sz w:val="20"/>
          <w:szCs w:val="20"/>
        </w:rPr>
        <w:t xml:space="preserve"> mit den </w:t>
      </w:r>
      <w:r>
        <w:rPr>
          <w:rFonts w:ascii="Arial" w:hAnsi="Arial" w:cs="Tahoma"/>
          <w:sz w:val="20"/>
          <w:szCs w:val="20"/>
        </w:rPr>
        <w:t>SWLB</w:t>
      </w:r>
      <w:r w:rsidRPr="00DF3864">
        <w:rPr>
          <w:rFonts w:ascii="Arial" w:hAnsi="Arial" w:cs="Tahoma"/>
          <w:sz w:val="20"/>
          <w:szCs w:val="20"/>
        </w:rPr>
        <w:t xml:space="preserve"> verschiedene Business Cases in einem „rollierenden“ Verfahren</w:t>
      </w:r>
      <w:r>
        <w:rPr>
          <w:rFonts w:ascii="Arial" w:hAnsi="Arial" w:cs="Tahoma"/>
          <w:sz w:val="20"/>
          <w:szCs w:val="20"/>
        </w:rPr>
        <w:t>, an dessen</w:t>
      </w:r>
      <w:r w:rsidRPr="00DF3864">
        <w:rPr>
          <w:rFonts w:ascii="Arial" w:hAnsi="Arial" w:cs="Tahoma"/>
          <w:sz w:val="20"/>
          <w:szCs w:val="20"/>
        </w:rPr>
        <w:t xml:space="preserve"> Ende eine solide Basis für die nötigen weiteren Investitionsentscheidungen</w:t>
      </w:r>
      <w:r>
        <w:rPr>
          <w:rFonts w:ascii="Arial" w:hAnsi="Arial" w:cs="Tahoma"/>
          <w:sz w:val="20"/>
          <w:szCs w:val="20"/>
        </w:rPr>
        <w:t xml:space="preserve"> stand</w:t>
      </w:r>
      <w:r w:rsidRPr="00DF3864">
        <w:rPr>
          <w:rFonts w:ascii="Arial" w:hAnsi="Arial" w:cs="Tahoma"/>
          <w:sz w:val="20"/>
          <w:szCs w:val="20"/>
        </w:rPr>
        <w:t>.</w:t>
      </w:r>
    </w:p>
    <w:p w14:paraId="35FD3269" w14:textId="29069CE2" w:rsidR="00FB68F7" w:rsidRDefault="00FB68F7" w:rsidP="00FB68F7">
      <w:pPr>
        <w:spacing w:line="360" w:lineRule="auto"/>
        <w:rPr>
          <w:rFonts w:ascii="Arial" w:hAnsi="Arial" w:cs="Tahoma"/>
          <w:sz w:val="20"/>
          <w:szCs w:val="20"/>
        </w:rPr>
      </w:pPr>
      <w:r>
        <w:rPr>
          <w:rFonts w:ascii="Arial" w:hAnsi="Arial" w:cs="Tahoma"/>
          <w:sz w:val="20"/>
          <w:szCs w:val="20"/>
        </w:rPr>
        <w:t xml:space="preserve">Aufwändig gestalteten sich die </w:t>
      </w:r>
      <w:r w:rsidRPr="000A4C93">
        <w:rPr>
          <w:rFonts w:ascii="Arial" w:hAnsi="Arial" w:cs="Tahoma"/>
          <w:sz w:val="20"/>
          <w:szCs w:val="20"/>
        </w:rPr>
        <w:t>Vertragsverhandlungen mit den einzelnen Anbietern, bei denen die</w:t>
      </w:r>
      <w:r w:rsidRPr="000A4C93">
        <w:rPr>
          <w:rFonts w:ascii="Arial" w:hAnsi="Arial" w:cs="Tahoma"/>
          <w:b/>
          <w:sz w:val="20"/>
          <w:szCs w:val="20"/>
        </w:rPr>
        <w:t xml:space="preserve"> </w:t>
      </w:r>
      <w:r w:rsidRPr="000A4C93">
        <w:rPr>
          <w:rFonts w:ascii="Arial" w:hAnsi="Arial" w:cs="Tahoma"/>
          <w:bCs/>
          <w:sz w:val="20"/>
          <w:szCs w:val="20"/>
        </w:rPr>
        <w:t>SWLB</w:t>
      </w:r>
      <w:r w:rsidRPr="000A4C93">
        <w:rPr>
          <w:rFonts w:ascii="Arial" w:hAnsi="Arial" w:cs="Tahoma"/>
          <w:sz w:val="20"/>
          <w:szCs w:val="20"/>
        </w:rPr>
        <w:t xml:space="preserve"> auf </w:t>
      </w:r>
      <w:r>
        <w:rPr>
          <w:rFonts w:ascii="Arial" w:hAnsi="Arial" w:cs="Tahoma"/>
          <w:sz w:val="20"/>
          <w:szCs w:val="20"/>
        </w:rPr>
        <w:t xml:space="preserve">Empfehlung von </w:t>
      </w:r>
      <w:proofErr w:type="spellStart"/>
      <w:r>
        <w:rPr>
          <w:rFonts w:ascii="Arial" w:hAnsi="Arial" w:cs="Tahoma"/>
          <w:sz w:val="20"/>
          <w:szCs w:val="20"/>
        </w:rPr>
        <w:t>Vivax</w:t>
      </w:r>
      <w:proofErr w:type="spellEnd"/>
      <w:r>
        <w:rPr>
          <w:rFonts w:ascii="Arial" w:hAnsi="Arial" w:cs="Tahoma"/>
          <w:sz w:val="20"/>
          <w:szCs w:val="20"/>
        </w:rPr>
        <w:t xml:space="preserve"> auf </w:t>
      </w:r>
      <w:r w:rsidRPr="000A4C93">
        <w:rPr>
          <w:rFonts w:ascii="Arial" w:hAnsi="Arial" w:cs="Tahoma"/>
          <w:sz w:val="20"/>
          <w:szCs w:val="20"/>
        </w:rPr>
        <w:t xml:space="preserve">die juristische Begleitung durch die Kanzlei Becker Büttner Held BBH setzte. „Gerade die </w:t>
      </w:r>
      <w:r w:rsidRPr="000A4C93">
        <w:rPr>
          <w:rFonts w:ascii="Arial" w:hAnsi="Arial" w:cs="Tahoma"/>
          <w:sz w:val="20"/>
          <w:szCs w:val="20"/>
        </w:rPr>
        <w:lastRenderedPageBreak/>
        <w:t xml:space="preserve">vertragliche Seite hatten wir uns deutlich einfacher vorgestellt. Da steckt der Teufel in fast jedem Detail. Ohne spezialisierten Rechtsbeistand sollte man dieses Thema deswegen keinesfalls angehen“, erzählt Bodo </w:t>
      </w:r>
      <w:proofErr w:type="spellStart"/>
      <w:r w:rsidRPr="000A4C93">
        <w:rPr>
          <w:rFonts w:ascii="Arial" w:hAnsi="Arial" w:cs="Tahoma"/>
          <w:sz w:val="20"/>
          <w:szCs w:val="20"/>
        </w:rPr>
        <w:t>Skaletz</w:t>
      </w:r>
      <w:proofErr w:type="spellEnd"/>
      <w:r w:rsidRPr="000A4C93">
        <w:rPr>
          <w:rFonts w:ascii="Arial" w:hAnsi="Arial" w:cs="Tahoma"/>
          <w:sz w:val="20"/>
          <w:szCs w:val="20"/>
        </w:rPr>
        <w:t xml:space="preserve">. Der jüngste </w:t>
      </w:r>
      <w:bookmarkStart w:id="0" w:name="_GoBack"/>
      <w:r w:rsidRPr="000A4C93">
        <w:rPr>
          <w:rFonts w:ascii="Arial" w:hAnsi="Arial" w:cs="Tahoma"/>
          <w:sz w:val="20"/>
          <w:szCs w:val="20"/>
        </w:rPr>
        <w:t xml:space="preserve">Vertragsabschluss mit der größten Wohnungsbaugesellschaft, die Wohnbau </w:t>
      </w:r>
      <w:bookmarkEnd w:id="0"/>
      <w:r w:rsidRPr="000A4C93">
        <w:rPr>
          <w:rFonts w:ascii="Arial" w:hAnsi="Arial" w:cs="Tahoma"/>
          <w:sz w:val="20"/>
          <w:szCs w:val="20"/>
        </w:rPr>
        <w:t>Ludwigsburg GmbH, mit über 2.</w:t>
      </w:r>
      <w:r w:rsidR="00596BC4">
        <w:rPr>
          <w:rFonts w:ascii="Arial" w:hAnsi="Arial" w:cs="Tahoma"/>
          <w:sz w:val="20"/>
          <w:szCs w:val="20"/>
        </w:rPr>
        <w:t>7</w:t>
      </w:r>
      <w:r>
        <w:rPr>
          <w:rFonts w:ascii="Arial" w:hAnsi="Arial" w:cs="Tahoma"/>
          <w:sz w:val="20"/>
          <w:szCs w:val="20"/>
        </w:rPr>
        <w:t>00 Wohnungen über die Basis-TV-</w:t>
      </w:r>
      <w:r w:rsidRPr="000A4C93">
        <w:rPr>
          <w:rFonts w:ascii="Arial" w:hAnsi="Arial" w:cs="Tahoma"/>
          <w:sz w:val="20"/>
          <w:szCs w:val="20"/>
        </w:rPr>
        <w:t xml:space="preserve">Versorgung ist </w:t>
      </w:r>
      <w:r>
        <w:rPr>
          <w:rFonts w:ascii="Arial" w:hAnsi="Arial" w:cs="Tahoma"/>
          <w:sz w:val="20"/>
          <w:szCs w:val="20"/>
        </w:rPr>
        <w:t>dabei bislang einmalig in Deutschland</w:t>
      </w:r>
      <w:r w:rsidRPr="000A4C93">
        <w:rPr>
          <w:rFonts w:ascii="Arial" w:hAnsi="Arial" w:cs="Tahoma"/>
          <w:sz w:val="20"/>
          <w:szCs w:val="20"/>
        </w:rPr>
        <w:t>.</w:t>
      </w:r>
    </w:p>
    <w:p w14:paraId="5B005D5F" w14:textId="4D83C1C8" w:rsidR="00463FE6" w:rsidRDefault="00FB68F7" w:rsidP="00FB68F7">
      <w:pPr>
        <w:spacing w:line="360" w:lineRule="auto"/>
        <w:rPr>
          <w:rFonts w:ascii="Arial" w:hAnsi="Arial" w:cs="Tahoma"/>
          <w:sz w:val="20"/>
          <w:szCs w:val="20"/>
        </w:rPr>
      </w:pPr>
      <w:r>
        <w:rPr>
          <w:rFonts w:ascii="Arial" w:hAnsi="Arial" w:cs="Tahoma"/>
          <w:sz w:val="20"/>
          <w:szCs w:val="20"/>
        </w:rPr>
        <w:t xml:space="preserve">Für die Umsetzung des digitalen Angebots wurden mit Hilfe von </w:t>
      </w:r>
      <w:proofErr w:type="spellStart"/>
      <w:r>
        <w:rPr>
          <w:rFonts w:ascii="Arial" w:hAnsi="Arial" w:cs="Tahoma"/>
          <w:sz w:val="20"/>
          <w:szCs w:val="20"/>
        </w:rPr>
        <w:t>Vivax</w:t>
      </w:r>
      <w:proofErr w:type="spellEnd"/>
      <w:r>
        <w:rPr>
          <w:rFonts w:ascii="Arial" w:hAnsi="Arial" w:cs="Tahoma"/>
          <w:sz w:val="20"/>
          <w:szCs w:val="20"/>
        </w:rPr>
        <w:t xml:space="preserve"> auch die internen Prozesse neugestaltet und optimiert. </w:t>
      </w:r>
      <w:r w:rsidRPr="00764363">
        <w:rPr>
          <w:rFonts w:ascii="Arial" w:hAnsi="Arial" w:cs="Tahoma"/>
          <w:sz w:val="20"/>
          <w:szCs w:val="20"/>
        </w:rPr>
        <w:t xml:space="preserve">„Zwar handelt es sich bei Breitband auch um ein Netz </w:t>
      </w:r>
      <w:r>
        <w:rPr>
          <w:rFonts w:ascii="Arial" w:hAnsi="Arial" w:cs="Tahoma"/>
          <w:sz w:val="20"/>
          <w:szCs w:val="20"/>
        </w:rPr>
        <w:t>–</w:t>
      </w:r>
      <w:r w:rsidRPr="00764363">
        <w:rPr>
          <w:rFonts w:ascii="Arial" w:hAnsi="Arial" w:cs="Tahoma"/>
          <w:sz w:val="20"/>
          <w:szCs w:val="20"/>
        </w:rPr>
        <w:t xml:space="preserve"> es funktioniert sowohl technologisch als auch prozessual aber nach völlig anderen Regeln als etwa ein Stromnetz. Bei der Prozessgestaltung ist </w:t>
      </w:r>
      <w:r>
        <w:rPr>
          <w:rFonts w:ascii="Arial" w:hAnsi="Arial" w:cs="Tahoma"/>
          <w:sz w:val="20"/>
          <w:szCs w:val="20"/>
        </w:rPr>
        <w:t>vor allem</w:t>
      </w:r>
      <w:r w:rsidRPr="00764363">
        <w:rPr>
          <w:rFonts w:ascii="Arial" w:hAnsi="Arial" w:cs="Tahoma"/>
          <w:sz w:val="20"/>
          <w:szCs w:val="20"/>
        </w:rPr>
        <w:t xml:space="preserve"> darauf zu achten, dass es sich hier um ein</w:t>
      </w:r>
      <w:r>
        <w:rPr>
          <w:rFonts w:ascii="Arial" w:hAnsi="Arial" w:cs="Tahoma"/>
          <w:sz w:val="20"/>
          <w:szCs w:val="20"/>
        </w:rPr>
        <w:t xml:space="preserve"> Massenkundengeschäft handelt. </w:t>
      </w:r>
      <w:r w:rsidRPr="00764363">
        <w:rPr>
          <w:rFonts w:ascii="Arial" w:hAnsi="Arial" w:cs="Tahoma"/>
          <w:sz w:val="20"/>
          <w:szCs w:val="20"/>
        </w:rPr>
        <w:t>Dabei muss es schnell gehen. Denn wer heute online einen Internetanschluss bestellt, erwartet eine sofortige R</w:t>
      </w:r>
      <w:r>
        <w:rPr>
          <w:rFonts w:ascii="Arial" w:hAnsi="Arial" w:cs="Tahoma"/>
          <w:sz w:val="20"/>
          <w:szCs w:val="20"/>
        </w:rPr>
        <w:t>eaktion und umgehende Lieferung</w:t>
      </w:r>
      <w:r w:rsidRPr="00764363">
        <w:rPr>
          <w:rFonts w:ascii="Arial" w:hAnsi="Arial" w:cs="Tahoma"/>
          <w:sz w:val="20"/>
          <w:szCs w:val="20"/>
        </w:rPr>
        <w:t xml:space="preserve">“, so </w:t>
      </w:r>
      <w:proofErr w:type="spellStart"/>
      <w:r>
        <w:rPr>
          <w:rFonts w:ascii="Arial" w:hAnsi="Arial" w:cs="Tahoma"/>
          <w:sz w:val="20"/>
          <w:szCs w:val="20"/>
        </w:rPr>
        <w:t>Vivax</w:t>
      </w:r>
      <w:proofErr w:type="spellEnd"/>
      <w:r>
        <w:rPr>
          <w:rFonts w:ascii="Arial" w:hAnsi="Arial" w:cs="Tahoma"/>
          <w:sz w:val="20"/>
          <w:szCs w:val="20"/>
        </w:rPr>
        <w:t xml:space="preserve">-Geschäftsführer </w:t>
      </w:r>
      <w:r w:rsidRPr="00764363">
        <w:rPr>
          <w:rFonts w:ascii="Arial" w:hAnsi="Arial" w:cs="Tahoma"/>
          <w:sz w:val="20"/>
          <w:szCs w:val="20"/>
        </w:rPr>
        <w:t xml:space="preserve">Dirk </w:t>
      </w:r>
      <w:proofErr w:type="spellStart"/>
      <w:r w:rsidRPr="00764363">
        <w:rPr>
          <w:rFonts w:ascii="Arial" w:hAnsi="Arial" w:cs="Tahoma"/>
          <w:sz w:val="20"/>
          <w:szCs w:val="20"/>
        </w:rPr>
        <w:t>Fieml</w:t>
      </w:r>
      <w:proofErr w:type="spellEnd"/>
      <w:r>
        <w:rPr>
          <w:rFonts w:ascii="Arial" w:hAnsi="Arial" w:cs="Tahoma"/>
          <w:sz w:val="20"/>
          <w:szCs w:val="20"/>
        </w:rPr>
        <w:t>.</w:t>
      </w:r>
    </w:p>
    <w:p w14:paraId="0B8F5A3D" w14:textId="77777777" w:rsidR="00764363" w:rsidRPr="000655B7" w:rsidRDefault="00764363" w:rsidP="006F2189">
      <w:pPr>
        <w:spacing w:line="360" w:lineRule="auto"/>
        <w:rPr>
          <w:rFonts w:ascii="Arial" w:hAnsi="Arial" w:cs="Tahoma"/>
          <w:sz w:val="20"/>
          <w:szCs w:val="20"/>
        </w:rPr>
      </w:pPr>
    </w:p>
    <w:tbl>
      <w:tblPr>
        <w:tblW w:w="9180" w:type="dxa"/>
        <w:tblLook w:val="04A0" w:firstRow="1" w:lastRow="0" w:firstColumn="1" w:lastColumn="0" w:noHBand="0" w:noVBand="1"/>
      </w:tblPr>
      <w:tblGrid>
        <w:gridCol w:w="4361"/>
        <w:gridCol w:w="4819"/>
      </w:tblGrid>
      <w:tr w:rsidR="00CD3EF6" w:rsidRPr="000655B7" w14:paraId="776D8C01" w14:textId="77777777" w:rsidTr="00BF3BB4">
        <w:tc>
          <w:tcPr>
            <w:tcW w:w="4361" w:type="dxa"/>
            <w:shd w:val="clear" w:color="auto" w:fill="auto"/>
          </w:tcPr>
          <w:p w14:paraId="380AE0B3" w14:textId="42EBA2E0" w:rsidR="00CD3EF6" w:rsidRPr="008457BE" w:rsidRDefault="00CD3EF6" w:rsidP="008457BE">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008457BE" w:rsidRPr="008457BE">
              <w:rPr>
                <w:rFonts w:ascii="Arial" w:hAnsi="Arial" w:cs="Calibri"/>
                <w:sz w:val="16"/>
                <w:szCs w:val="26"/>
                <w:lang w:eastAsia="de-DE"/>
              </w:rPr>
              <w:t>Kurfürstendamm 194</w:t>
            </w:r>
            <w:r w:rsidR="008457BE">
              <w:rPr>
                <w:rFonts w:ascii="Arial" w:hAnsi="Arial" w:cs="Calibri"/>
                <w:sz w:val="16"/>
                <w:szCs w:val="26"/>
                <w:lang w:eastAsia="de-DE"/>
              </w:rPr>
              <w:t xml:space="preserve"> – </w:t>
            </w:r>
            <w:r w:rsidR="008457BE" w:rsidRPr="008457BE">
              <w:rPr>
                <w:rFonts w:ascii="Arial" w:hAnsi="Arial" w:cs="Calibri"/>
                <w:sz w:val="16"/>
                <w:szCs w:val="26"/>
                <w:lang w:eastAsia="de-DE"/>
              </w:rPr>
              <w:t>10707 Berlin</w:t>
            </w:r>
            <w:r w:rsidR="008457BE">
              <w:rPr>
                <w:rFonts w:ascii="Arial" w:hAnsi="Arial" w:cs="Calibri"/>
                <w:sz w:val="16"/>
                <w:szCs w:val="26"/>
                <w:lang w:eastAsia="de-DE"/>
              </w:rPr>
              <w:br/>
            </w:r>
            <w:r w:rsidRPr="008457BE">
              <w:rPr>
                <w:rFonts w:ascii="Arial" w:hAnsi="Arial" w:cs="Calibri"/>
                <w:sz w:val="16"/>
                <w:szCs w:val="26"/>
                <w:lang w:eastAsia="de-DE"/>
              </w:rPr>
              <w:t xml:space="preserve">Tel: </w:t>
            </w:r>
            <w:r w:rsidR="008457BE">
              <w:rPr>
                <w:rFonts w:ascii="Arial" w:hAnsi="Arial" w:cs="Calibri"/>
                <w:sz w:val="16"/>
                <w:szCs w:val="26"/>
                <w:lang w:eastAsia="de-DE"/>
              </w:rPr>
              <w:t>+</w:t>
            </w:r>
            <w:r w:rsidR="008457BE" w:rsidRPr="008457BE">
              <w:rPr>
                <w:rFonts w:ascii="Arial" w:hAnsi="Arial" w:cs="Calibri"/>
                <w:sz w:val="16"/>
                <w:szCs w:val="26"/>
                <w:lang w:eastAsia="de-DE"/>
              </w:rPr>
              <w:t>49 30 700 159 805</w:t>
            </w:r>
            <w:r w:rsidR="008457BE">
              <w:rPr>
                <w:rFonts w:ascii="Arial" w:hAnsi="Arial" w:cs="Calibri"/>
                <w:sz w:val="16"/>
                <w:szCs w:val="26"/>
                <w:lang w:eastAsia="de-DE"/>
              </w:rPr>
              <w:br/>
            </w:r>
            <w:hyperlink r:id="rId7" w:history="1">
              <w:r w:rsidR="0010198B" w:rsidRPr="0082244C">
                <w:rPr>
                  <w:rStyle w:val="Hyperlink"/>
                  <w:rFonts w:ascii="Arial" w:hAnsi="Arial" w:cs="Calibri"/>
                  <w:sz w:val="16"/>
                  <w:szCs w:val="26"/>
                  <w:lang w:eastAsia="de-DE"/>
                </w:rPr>
                <w:t>d.fieml@vivax.consulting</w:t>
              </w:r>
            </w:hyperlink>
            <w:r w:rsidR="0010198B" w:rsidRPr="008457BE">
              <w:rPr>
                <w:rFonts w:ascii="Arial" w:hAnsi="Arial" w:cs="Calibri"/>
                <w:sz w:val="16"/>
                <w:szCs w:val="26"/>
                <w:lang w:eastAsia="de-DE"/>
              </w:rPr>
              <w:br/>
              <w:t>www.viva</w:t>
            </w:r>
            <w:r w:rsidR="0010198B">
              <w:rPr>
                <w:rFonts w:ascii="Arial" w:hAnsi="Arial" w:cs="Calibri"/>
                <w:sz w:val="16"/>
                <w:szCs w:val="26"/>
                <w:lang w:eastAsia="de-DE"/>
              </w:rPr>
              <w:t>x.consulting</w:t>
            </w:r>
          </w:p>
          <w:p w14:paraId="145B0F0B" w14:textId="77777777" w:rsidR="00CD3EF6" w:rsidRPr="008457BE" w:rsidRDefault="00CD3EF6" w:rsidP="00CD3EF6">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045CCE93" w14:textId="630DF6C0" w:rsidR="00CD3EF6" w:rsidRPr="000655B7" w:rsidRDefault="00CD3EF6" w:rsidP="00CD3EF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40A101D1" w14:textId="23161F01" w:rsidR="001D2FB7" w:rsidRPr="000655B7" w:rsidRDefault="002B3E9E" w:rsidP="001C51EC">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 xml:space="preserve">Die </w:t>
      </w:r>
      <w:proofErr w:type="spellStart"/>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w:t>
      </w:r>
      <w:r w:rsidR="008457BE" w:rsidRPr="000655B7">
        <w:rPr>
          <w:rFonts w:ascii="Arial" w:hAnsi="Arial" w:cs="Calibri"/>
          <w:sz w:val="16"/>
          <w:szCs w:val="26"/>
          <w:lang w:eastAsia="de-DE"/>
        </w:rPr>
        <w:t xml:space="preserve">mit Sitz in </w:t>
      </w:r>
      <w:r w:rsidR="008457BE">
        <w:rPr>
          <w:rFonts w:ascii="Arial" w:hAnsi="Arial" w:cs="Calibri"/>
          <w:sz w:val="16"/>
          <w:szCs w:val="26"/>
          <w:lang w:eastAsia="de-DE"/>
        </w:rPr>
        <w:t>Berlin</w:t>
      </w:r>
      <w:r w:rsidR="008457BE" w:rsidRPr="000655B7">
        <w:rPr>
          <w:rFonts w:ascii="Arial" w:hAnsi="Arial" w:cs="Calibri"/>
          <w:sz w:val="16"/>
          <w:szCs w:val="26"/>
          <w:lang w:eastAsia="de-DE"/>
        </w:rPr>
        <w:t xml:space="preserve"> </w:t>
      </w:r>
      <w:r w:rsidRPr="000655B7">
        <w:rPr>
          <w:rFonts w:ascii="Arial" w:hAnsi="Arial" w:cs="Calibri"/>
          <w:sz w:val="16"/>
          <w:szCs w:val="26"/>
          <w:lang w:eastAsia="de-DE"/>
        </w:rPr>
        <w:t>wurde 200</w:t>
      </w:r>
      <w:r w:rsidR="0010198B">
        <w:rPr>
          <w:rFonts w:ascii="Arial" w:hAnsi="Arial" w:cs="Calibri"/>
          <w:sz w:val="16"/>
          <w:szCs w:val="26"/>
          <w:lang w:eastAsia="de-DE"/>
        </w:rPr>
        <w:t>9</w:t>
      </w:r>
      <w:r w:rsidRPr="000655B7">
        <w:rPr>
          <w:rFonts w:ascii="Arial" w:hAnsi="Arial" w:cs="Calibri"/>
          <w:sz w:val="16"/>
          <w:szCs w:val="26"/>
          <w:lang w:eastAsia="de-DE"/>
        </w:rPr>
        <w:t xml:space="preserve"> gegründet und ist auf die Beratung von Unternehmen aus der Versorgungswirtschaft, öffentlichen Einrichtungen sowie Körperschaften des öffentlichen Rechts spezialisiert. Hinter </w:t>
      </w:r>
      <w:proofErr w:type="spellStart"/>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stehen ausgewiesene Experten, die über jahrelange Erfahrungen sowohl auf Unternehmensseite als auch in der Beratung verfügen. Das Unternehmen hat sich vor allem auf die Beratung in den Feldern „Management“, „Prozesse“ und „Organisation“ spezialisiert.</w:t>
      </w:r>
    </w:p>
    <w:sectPr w:rsidR="001D2FB7" w:rsidRPr="000655B7" w:rsidSect="000655B7">
      <w:headerReference w:type="default" r:id="rId9"/>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F1337A" w14:textId="77777777" w:rsidR="00F9061B" w:rsidRDefault="00F9061B" w:rsidP="00BF70FE">
      <w:pPr>
        <w:spacing w:after="0" w:line="240" w:lineRule="auto"/>
      </w:pPr>
      <w:r>
        <w:separator/>
      </w:r>
    </w:p>
  </w:endnote>
  <w:endnote w:type="continuationSeparator" w:id="0">
    <w:p w14:paraId="1C89A130" w14:textId="77777777" w:rsidR="00F9061B" w:rsidRDefault="00F9061B"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Arial"/>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9EEF4" w14:textId="77777777" w:rsidR="00F9061B" w:rsidRDefault="00F9061B" w:rsidP="00BF70FE">
      <w:pPr>
        <w:spacing w:after="0" w:line="240" w:lineRule="auto"/>
      </w:pPr>
      <w:r>
        <w:separator/>
      </w:r>
    </w:p>
  </w:footnote>
  <w:footnote w:type="continuationSeparator" w:id="0">
    <w:p w14:paraId="550A0737" w14:textId="77777777" w:rsidR="00F9061B" w:rsidRDefault="00F9061B"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49685" w14:textId="77777777" w:rsidR="00B96701" w:rsidRDefault="00B96701" w:rsidP="002757A3">
    <w:pPr>
      <w:pStyle w:val="Kopfzeile"/>
      <w:ind w:right="-2268"/>
      <w:jc w:val="right"/>
    </w:pPr>
    <w:r>
      <w:rPr>
        <w:noProof/>
        <w:lang w:eastAsia="de-DE"/>
      </w:rPr>
      <w:drawing>
        <wp:inline distT="0" distB="0" distL="0" distR="0" wp14:anchorId="6F3DF14F" wp14:editId="365F5EBB">
          <wp:extent cx="1091184" cy="292608"/>
          <wp:effectExtent l="0" t="0" r="1270" b="1270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1">
                    <a:extLst>
                      <a:ext uri="{28A0092B-C50C-407E-A947-70E740481C1C}">
                        <a14:useLocalDpi xmlns:a14="http://schemas.microsoft.com/office/drawing/2010/main" val="0"/>
                      </a:ext>
                    </a:extLst>
                  </a:blip>
                  <a:stretch>
                    <a:fillRect/>
                  </a:stretch>
                </pic:blipFill>
                <pic:spPr>
                  <a:xfrm>
                    <a:off x="0" y="0"/>
                    <a:ext cx="1091184" cy="292608"/>
                  </a:xfrm>
                  <a:prstGeom prst="rect">
                    <a:avLst/>
                  </a:prstGeom>
                </pic:spPr>
              </pic:pic>
            </a:graphicData>
          </a:graphic>
        </wp:inline>
      </w:drawing>
    </w:r>
    <w:r>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655B7"/>
    <w:rsid w:val="000823CF"/>
    <w:rsid w:val="000A4C93"/>
    <w:rsid w:val="000C4746"/>
    <w:rsid w:val="000E087D"/>
    <w:rsid w:val="000F4F9D"/>
    <w:rsid w:val="0010198B"/>
    <w:rsid w:val="00104674"/>
    <w:rsid w:val="00106821"/>
    <w:rsid w:val="0013234F"/>
    <w:rsid w:val="00181FBB"/>
    <w:rsid w:val="00187FC7"/>
    <w:rsid w:val="001C51EC"/>
    <w:rsid w:val="001D2FB7"/>
    <w:rsid w:val="00205941"/>
    <w:rsid w:val="00262A08"/>
    <w:rsid w:val="00265589"/>
    <w:rsid w:val="002745F8"/>
    <w:rsid w:val="002757A3"/>
    <w:rsid w:val="002A7E29"/>
    <w:rsid w:val="002B3E9E"/>
    <w:rsid w:val="002D5B66"/>
    <w:rsid w:val="002F1BFF"/>
    <w:rsid w:val="0030091A"/>
    <w:rsid w:val="00314048"/>
    <w:rsid w:val="003274D8"/>
    <w:rsid w:val="0035256E"/>
    <w:rsid w:val="00362AE7"/>
    <w:rsid w:val="003953CA"/>
    <w:rsid w:val="003A3B30"/>
    <w:rsid w:val="003C0B6F"/>
    <w:rsid w:val="003D63AC"/>
    <w:rsid w:val="00406C69"/>
    <w:rsid w:val="004137FD"/>
    <w:rsid w:val="004422BD"/>
    <w:rsid w:val="004540FC"/>
    <w:rsid w:val="00463FE6"/>
    <w:rsid w:val="004810F6"/>
    <w:rsid w:val="00497AEF"/>
    <w:rsid w:val="00556FEE"/>
    <w:rsid w:val="00557F58"/>
    <w:rsid w:val="00576E59"/>
    <w:rsid w:val="005958C2"/>
    <w:rsid w:val="00596BC4"/>
    <w:rsid w:val="005F63B7"/>
    <w:rsid w:val="006F2189"/>
    <w:rsid w:val="00705635"/>
    <w:rsid w:val="00714AB5"/>
    <w:rsid w:val="00732F57"/>
    <w:rsid w:val="00751621"/>
    <w:rsid w:val="00752985"/>
    <w:rsid w:val="00764363"/>
    <w:rsid w:val="007768B7"/>
    <w:rsid w:val="00785A83"/>
    <w:rsid w:val="00785BC8"/>
    <w:rsid w:val="00822F51"/>
    <w:rsid w:val="008457BE"/>
    <w:rsid w:val="00872E24"/>
    <w:rsid w:val="0094694E"/>
    <w:rsid w:val="00953399"/>
    <w:rsid w:val="00A257D2"/>
    <w:rsid w:val="00A32BA5"/>
    <w:rsid w:val="00A461EC"/>
    <w:rsid w:val="00A462DC"/>
    <w:rsid w:val="00A56E5A"/>
    <w:rsid w:val="00A86E2E"/>
    <w:rsid w:val="00AC6091"/>
    <w:rsid w:val="00B11CFE"/>
    <w:rsid w:val="00B27B9D"/>
    <w:rsid w:val="00B71C92"/>
    <w:rsid w:val="00B753D5"/>
    <w:rsid w:val="00B96701"/>
    <w:rsid w:val="00BE3C7C"/>
    <w:rsid w:val="00BF3BB4"/>
    <w:rsid w:val="00BF70FE"/>
    <w:rsid w:val="00C27553"/>
    <w:rsid w:val="00C6235A"/>
    <w:rsid w:val="00C91823"/>
    <w:rsid w:val="00CB2102"/>
    <w:rsid w:val="00CC44E9"/>
    <w:rsid w:val="00CD3EF6"/>
    <w:rsid w:val="00CD5183"/>
    <w:rsid w:val="00D02991"/>
    <w:rsid w:val="00D16EBD"/>
    <w:rsid w:val="00D429BE"/>
    <w:rsid w:val="00D572B9"/>
    <w:rsid w:val="00D9728A"/>
    <w:rsid w:val="00DF3864"/>
    <w:rsid w:val="00DF581E"/>
    <w:rsid w:val="00E14982"/>
    <w:rsid w:val="00E20A29"/>
    <w:rsid w:val="00E26B5E"/>
    <w:rsid w:val="00E37F9E"/>
    <w:rsid w:val="00E6120F"/>
    <w:rsid w:val="00E704E3"/>
    <w:rsid w:val="00E73FD3"/>
    <w:rsid w:val="00E92706"/>
    <w:rsid w:val="00EB6A45"/>
    <w:rsid w:val="00ED48B5"/>
    <w:rsid w:val="00EF4362"/>
    <w:rsid w:val="00F9061B"/>
    <w:rsid w:val="00F94262"/>
    <w:rsid w:val="00F965C4"/>
    <w:rsid w:val="00FB68F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mailto:d.fieml@vivax.consult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544</Words>
  <Characters>3433</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2018-07-06T08:33:00Z</cp:lastPrinted>
  <dcterms:created xsi:type="dcterms:W3CDTF">2018-07-17T06:29:00Z</dcterms:created>
  <dcterms:modified xsi:type="dcterms:W3CDTF">2018-07-17T06:33:00Z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