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25A38877"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525A27">
        <w:rPr>
          <w:rFonts w:ascii="Arial" w:hAnsi="Arial" w:cs="Arial"/>
        </w:rPr>
        <w:t>10</w:t>
      </w:r>
      <w:r w:rsidRPr="003A2746">
        <w:rPr>
          <w:rFonts w:ascii="Arial" w:hAnsi="Arial" w:cs="Arial"/>
        </w:rPr>
        <w:t xml:space="preserve"> </w:t>
      </w:r>
      <w:r w:rsidR="00185A48">
        <w:rPr>
          <w:rFonts w:ascii="Arial" w:hAnsi="Arial" w:cs="Arial"/>
        </w:rPr>
        <w:t>September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FD28E7">
        <w:rPr>
          <w:rFonts w:ascii="Arial" w:hAnsi="Arial" w:cs="Arial"/>
          <w:color w:val="000000"/>
        </w:rPr>
        <w:t>4</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6CE94CBD" w:rsidR="000A752F" w:rsidRPr="00F84B58" w:rsidRDefault="00555CD7" w:rsidP="00C105F2">
      <w:pPr>
        <w:autoSpaceDE w:val="0"/>
        <w:autoSpaceDN w:val="0"/>
        <w:adjustRightInd w:val="0"/>
        <w:spacing w:after="0" w:line="360" w:lineRule="auto"/>
        <w:ind w:right="-2693"/>
        <w:rPr>
          <w:rFonts w:ascii="Arial" w:hAnsi="Arial" w:cs="Arial"/>
          <w:color w:val="000000"/>
        </w:rPr>
      </w:pPr>
      <w:proofErr w:type="spellStart"/>
      <w:r>
        <w:rPr>
          <w:rFonts w:ascii="Arial" w:hAnsi="Arial" w:cs="Arial"/>
          <w:b/>
          <w:bCs/>
          <w:color w:val="000000"/>
          <w:sz w:val="28"/>
          <w:szCs w:val="28"/>
        </w:rPr>
        <w:t>Vivax</w:t>
      </w:r>
      <w:proofErr w:type="spellEnd"/>
      <w:r>
        <w:rPr>
          <w:rFonts w:ascii="Arial" w:hAnsi="Arial" w:cs="Arial"/>
          <w:b/>
          <w:bCs/>
          <w:color w:val="000000"/>
          <w:sz w:val="28"/>
          <w:szCs w:val="28"/>
        </w:rPr>
        <w:t xml:space="preserve"> </w:t>
      </w:r>
      <w:proofErr w:type="spellStart"/>
      <w:r>
        <w:rPr>
          <w:rFonts w:ascii="Arial" w:hAnsi="Arial" w:cs="Arial"/>
          <w:b/>
          <w:bCs/>
          <w:color w:val="000000"/>
          <w:sz w:val="28"/>
          <w:szCs w:val="28"/>
        </w:rPr>
        <w:t>FiberValue</w:t>
      </w:r>
      <w:proofErr w:type="spellEnd"/>
      <w:r>
        <w:rPr>
          <w:rFonts w:ascii="Arial" w:hAnsi="Arial" w:cs="Arial"/>
          <w:b/>
          <w:bCs/>
          <w:color w:val="000000"/>
          <w:sz w:val="28"/>
          <w:szCs w:val="28"/>
        </w:rPr>
        <w:t>: Kostentransparenz für Open Access Netze</w:t>
      </w:r>
      <w:r w:rsidR="000A752F" w:rsidRPr="00F84B58">
        <w:rPr>
          <w:rFonts w:ascii="Arial" w:hAnsi="Arial" w:cs="Arial"/>
          <w:b/>
          <w:bCs/>
          <w:color w:val="000000"/>
          <w:sz w:val="28"/>
          <w:szCs w:val="28"/>
        </w:rPr>
        <w:br/>
      </w:r>
      <w:r w:rsidRPr="00555CD7">
        <w:rPr>
          <w:rFonts w:ascii="Arial" w:hAnsi="Arial" w:cs="Arial"/>
          <w:b/>
          <w:bCs/>
          <w:color w:val="000000"/>
        </w:rPr>
        <w:t>Netzentgeltkalkulation</w:t>
      </w:r>
      <w:r>
        <w:rPr>
          <w:rFonts w:ascii="Arial" w:hAnsi="Arial" w:cs="Arial"/>
          <w:b/>
          <w:bCs/>
          <w:color w:val="000000"/>
        </w:rPr>
        <w:t xml:space="preserve"> </w:t>
      </w:r>
      <w:r w:rsidR="006D118E">
        <w:rPr>
          <w:rFonts w:ascii="Arial" w:hAnsi="Arial" w:cs="Arial"/>
          <w:b/>
          <w:bCs/>
          <w:color w:val="000000"/>
        </w:rPr>
        <w:t>für</w:t>
      </w:r>
      <w:r w:rsidR="00372B06">
        <w:rPr>
          <w:rFonts w:ascii="Arial" w:hAnsi="Arial" w:cs="Arial"/>
          <w:b/>
          <w:bCs/>
          <w:color w:val="000000"/>
        </w:rPr>
        <w:t xml:space="preserve"> wirtschaftlichen Betrieb</w:t>
      </w:r>
      <w:r w:rsidR="006D118E">
        <w:rPr>
          <w:rFonts w:ascii="Arial" w:hAnsi="Arial" w:cs="Arial"/>
          <w:b/>
          <w:bCs/>
          <w:color w:val="000000"/>
        </w:rPr>
        <w:t xml:space="preserve"> von Glasfasernetzen </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490C73C2" w14:textId="253257C7" w:rsidR="00653201" w:rsidRDefault="00653201" w:rsidP="005D1AA8">
      <w:pPr>
        <w:spacing w:line="360" w:lineRule="auto"/>
        <w:rPr>
          <w:rFonts w:ascii="Arial" w:hAnsi="Arial" w:cs="Arial"/>
          <w:b/>
          <w:bCs/>
          <w:color w:val="000000"/>
          <w:sz w:val="20"/>
          <w:szCs w:val="20"/>
        </w:rPr>
      </w:pPr>
      <w:r w:rsidRPr="00653201">
        <w:rPr>
          <w:rFonts w:ascii="Arial" w:hAnsi="Arial" w:cs="Arial"/>
          <w:b/>
          <w:bCs/>
          <w:color w:val="000000"/>
          <w:sz w:val="20"/>
          <w:szCs w:val="20"/>
        </w:rPr>
        <w:t xml:space="preserve">Mit </w:t>
      </w:r>
      <w:proofErr w:type="spellStart"/>
      <w:r w:rsidRPr="00653201">
        <w:rPr>
          <w:rFonts w:ascii="Arial" w:hAnsi="Arial" w:cs="Arial"/>
          <w:b/>
          <w:bCs/>
          <w:color w:val="000000"/>
          <w:sz w:val="20"/>
          <w:szCs w:val="20"/>
        </w:rPr>
        <w:t>Vivax</w:t>
      </w:r>
      <w:proofErr w:type="spellEnd"/>
      <w:r w:rsidRPr="00653201">
        <w:rPr>
          <w:rFonts w:ascii="Arial" w:hAnsi="Arial" w:cs="Arial"/>
          <w:b/>
          <w:bCs/>
          <w:color w:val="000000"/>
          <w:sz w:val="20"/>
          <w:szCs w:val="20"/>
        </w:rPr>
        <w:t xml:space="preserve"> </w:t>
      </w:r>
      <w:proofErr w:type="spellStart"/>
      <w:r w:rsidRPr="00653201">
        <w:rPr>
          <w:rFonts w:ascii="Arial" w:hAnsi="Arial" w:cs="Arial"/>
          <w:b/>
          <w:bCs/>
          <w:color w:val="000000"/>
          <w:sz w:val="20"/>
          <w:szCs w:val="20"/>
        </w:rPr>
        <w:t>FiberValue</w:t>
      </w:r>
      <w:proofErr w:type="spellEnd"/>
      <w:r w:rsidRPr="00653201">
        <w:rPr>
          <w:rFonts w:ascii="Arial" w:hAnsi="Arial" w:cs="Arial"/>
          <w:b/>
          <w:bCs/>
          <w:color w:val="000000"/>
          <w:sz w:val="20"/>
          <w:szCs w:val="20"/>
        </w:rPr>
        <w:t xml:space="preserve"> bietet </w:t>
      </w:r>
      <w:proofErr w:type="spellStart"/>
      <w:r w:rsidRPr="00653201">
        <w:rPr>
          <w:rFonts w:ascii="Arial" w:hAnsi="Arial" w:cs="Arial"/>
          <w:b/>
          <w:bCs/>
          <w:color w:val="000000"/>
          <w:sz w:val="20"/>
          <w:szCs w:val="20"/>
        </w:rPr>
        <w:t>Vivax</w:t>
      </w:r>
      <w:proofErr w:type="spellEnd"/>
      <w:r w:rsidRPr="00653201">
        <w:rPr>
          <w:rFonts w:ascii="Arial" w:hAnsi="Arial" w:cs="Arial"/>
          <w:b/>
          <w:bCs/>
          <w:color w:val="000000"/>
          <w:sz w:val="20"/>
          <w:szCs w:val="20"/>
        </w:rPr>
        <w:t xml:space="preserve"> Consulting, die Beratungstochter der </w:t>
      </w:r>
      <w:proofErr w:type="spellStart"/>
      <w:r w:rsidRPr="00653201">
        <w:rPr>
          <w:rFonts w:ascii="Arial" w:hAnsi="Arial" w:cs="Arial"/>
          <w:b/>
          <w:bCs/>
          <w:color w:val="000000"/>
          <w:sz w:val="20"/>
          <w:szCs w:val="20"/>
        </w:rPr>
        <w:t>tktVivax</w:t>
      </w:r>
      <w:proofErr w:type="spellEnd"/>
      <w:r w:rsidRPr="00653201">
        <w:rPr>
          <w:rFonts w:ascii="Arial" w:hAnsi="Arial" w:cs="Arial"/>
          <w:b/>
          <w:bCs/>
          <w:color w:val="000000"/>
          <w:sz w:val="20"/>
          <w:szCs w:val="20"/>
        </w:rPr>
        <w:t xml:space="preserve"> Group, Betreibern von Glasfasernetzen jetzt die Möglichkeit, für Kostentransparenz zu sorgen und auf dieser Basis auskömmliche Netzentgelte für Diensteanbieter zu kalkulieren. Gleichzeitig können sie sich auf mögliche zukünftige regulatorische Anforderungen hinsichtlich Nichtdiskriminierung, Compliance und Monitoring vorbereiten. Nach einer Ist-Aufnahme aller Daten und Parameter durch die Berater von </w:t>
      </w:r>
      <w:proofErr w:type="spellStart"/>
      <w:r w:rsidRPr="00653201">
        <w:rPr>
          <w:rFonts w:ascii="Arial" w:hAnsi="Arial" w:cs="Arial"/>
          <w:b/>
          <w:bCs/>
          <w:color w:val="000000"/>
          <w:sz w:val="20"/>
          <w:szCs w:val="20"/>
        </w:rPr>
        <w:t>Vivax</w:t>
      </w:r>
      <w:proofErr w:type="spellEnd"/>
      <w:r w:rsidRPr="00653201">
        <w:rPr>
          <w:rFonts w:ascii="Arial" w:hAnsi="Arial" w:cs="Arial"/>
          <w:b/>
          <w:bCs/>
          <w:color w:val="000000"/>
          <w:sz w:val="20"/>
          <w:szCs w:val="20"/>
        </w:rPr>
        <w:t xml:space="preserve"> Consulting fließen alle für die Kostenermittlung relevanten Informationen in ein eigenes Kalkulationstool ein, das eine laufende Aktualisierung und Anpassung </w:t>
      </w:r>
      <w:r w:rsidR="00CF3F7D">
        <w:rPr>
          <w:rFonts w:ascii="Arial" w:hAnsi="Arial" w:cs="Arial"/>
          <w:b/>
          <w:bCs/>
          <w:color w:val="000000"/>
          <w:sz w:val="20"/>
          <w:szCs w:val="20"/>
        </w:rPr>
        <w:t>„</w:t>
      </w:r>
      <w:r w:rsidRPr="00653201">
        <w:rPr>
          <w:rFonts w:ascii="Arial" w:hAnsi="Arial" w:cs="Arial"/>
          <w:b/>
          <w:bCs/>
          <w:color w:val="000000"/>
          <w:sz w:val="20"/>
          <w:szCs w:val="20"/>
        </w:rPr>
        <w:t xml:space="preserve">auf Knopfdruck" ermöglicht. Gleichzeitig bewerten die Berater alle rechtlichen und regulatorischen Rahmenbedingungen im Umfeld von Open Access und sorgen so für mehr Rechtssicherheit. „Ohne Kostentransparenz ist ein wirtschaftlicher Betrieb von Open-Access-Netzen kaum möglich. Denn dafür ist nicht nur eine hohe Auslastung des Netzes notwendig, sondern vor allem auch eine Kostenverteilung, die allen beteiligten Diensteanbietern genügend Spielraum lässt, ihre jeweiligen Produkte zu attraktiven Preisen anzubieten“, fasst Frank von Allwörden, </w:t>
      </w:r>
      <w:r w:rsidR="00CF3F7D">
        <w:rPr>
          <w:rFonts w:ascii="Arial" w:hAnsi="Arial" w:cs="Arial"/>
          <w:b/>
          <w:bCs/>
          <w:color w:val="000000"/>
          <w:sz w:val="20"/>
          <w:szCs w:val="20"/>
        </w:rPr>
        <w:t>COO</w:t>
      </w:r>
      <w:r w:rsidRPr="00653201">
        <w:rPr>
          <w:rFonts w:ascii="Arial" w:hAnsi="Arial" w:cs="Arial"/>
          <w:b/>
          <w:bCs/>
          <w:color w:val="000000"/>
          <w:sz w:val="20"/>
          <w:szCs w:val="20"/>
        </w:rPr>
        <w:t xml:space="preserve"> bei der </w:t>
      </w:r>
      <w:proofErr w:type="spellStart"/>
      <w:r w:rsidRPr="00653201">
        <w:rPr>
          <w:rFonts w:ascii="Arial" w:hAnsi="Arial" w:cs="Arial"/>
          <w:b/>
          <w:bCs/>
          <w:color w:val="000000"/>
          <w:sz w:val="20"/>
          <w:szCs w:val="20"/>
        </w:rPr>
        <w:t>Vivax</w:t>
      </w:r>
      <w:proofErr w:type="spellEnd"/>
      <w:r w:rsidRPr="00653201">
        <w:rPr>
          <w:rFonts w:ascii="Arial" w:hAnsi="Arial" w:cs="Arial"/>
          <w:b/>
          <w:bCs/>
          <w:color w:val="000000"/>
          <w:sz w:val="20"/>
          <w:szCs w:val="20"/>
        </w:rPr>
        <w:t xml:space="preserve"> Consulting GmbH, zusammen.</w:t>
      </w:r>
    </w:p>
    <w:p w14:paraId="4208D98E" w14:textId="77777777" w:rsidR="00653201" w:rsidRPr="00653201" w:rsidRDefault="00653201" w:rsidP="00653201">
      <w:pPr>
        <w:spacing w:line="360" w:lineRule="auto"/>
        <w:rPr>
          <w:rFonts w:ascii="Arial" w:hAnsi="Arial" w:cs="Arial"/>
          <w:color w:val="000000"/>
          <w:sz w:val="20"/>
          <w:szCs w:val="20"/>
        </w:rPr>
      </w:pPr>
      <w:r w:rsidRPr="00653201">
        <w:rPr>
          <w:rFonts w:ascii="Arial" w:hAnsi="Arial" w:cs="Arial"/>
          <w:color w:val="000000"/>
          <w:sz w:val="20"/>
          <w:szCs w:val="20"/>
        </w:rPr>
        <w:t xml:space="preserve">Für die Ermittlung der Netzentgelte werden die relevanten Finanzdaten wie Kapitalkosten, Investitionen und Betriebsaufwendungen einbezogen. Dabei können Kostenstellen berücksichtigt und die Kosten verursachungsgerecht zugeordnet werden. Hinzu kommen marktdynamische Einflussfaktoren, die sich in der Netzauslastung, der Endkunden- und Produktstruktur sowie weiteren Potenzialen widerspiegeln. </w:t>
      </w:r>
    </w:p>
    <w:p w14:paraId="23EA982E" w14:textId="688EF3BA" w:rsidR="009D30A6" w:rsidRDefault="00653201" w:rsidP="00653201">
      <w:pPr>
        <w:spacing w:line="360" w:lineRule="auto"/>
        <w:rPr>
          <w:rFonts w:ascii="Arial" w:hAnsi="Arial" w:cs="Arial"/>
          <w:color w:val="000000"/>
          <w:sz w:val="20"/>
          <w:szCs w:val="20"/>
        </w:rPr>
      </w:pPr>
      <w:r w:rsidRPr="00653201">
        <w:rPr>
          <w:rFonts w:ascii="Arial" w:hAnsi="Arial" w:cs="Arial"/>
          <w:color w:val="000000"/>
          <w:sz w:val="20"/>
          <w:szCs w:val="20"/>
        </w:rPr>
        <w:t xml:space="preserve">Mit </w:t>
      </w:r>
      <w:proofErr w:type="spellStart"/>
      <w:r w:rsidRPr="00653201">
        <w:rPr>
          <w:rFonts w:ascii="Arial" w:hAnsi="Arial" w:cs="Arial"/>
          <w:color w:val="000000"/>
          <w:sz w:val="20"/>
          <w:szCs w:val="20"/>
        </w:rPr>
        <w:t>Vivax</w:t>
      </w:r>
      <w:proofErr w:type="spellEnd"/>
      <w:r w:rsidRPr="00653201">
        <w:rPr>
          <w:rFonts w:ascii="Arial" w:hAnsi="Arial" w:cs="Arial"/>
          <w:color w:val="000000"/>
          <w:sz w:val="20"/>
          <w:szCs w:val="20"/>
        </w:rPr>
        <w:t xml:space="preserve"> </w:t>
      </w:r>
      <w:proofErr w:type="spellStart"/>
      <w:r w:rsidRPr="00653201">
        <w:rPr>
          <w:rFonts w:ascii="Arial" w:hAnsi="Arial" w:cs="Arial"/>
          <w:color w:val="000000"/>
          <w:sz w:val="20"/>
          <w:szCs w:val="20"/>
        </w:rPr>
        <w:t>FiberValue</w:t>
      </w:r>
      <w:proofErr w:type="spellEnd"/>
      <w:r w:rsidRPr="00653201">
        <w:rPr>
          <w:rFonts w:ascii="Arial" w:hAnsi="Arial" w:cs="Arial"/>
          <w:color w:val="000000"/>
          <w:sz w:val="20"/>
          <w:szCs w:val="20"/>
        </w:rPr>
        <w:t xml:space="preserve"> unterstützt </w:t>
      </w:r>
      <w:proofErr w:type="spellStart"/>
      <w:r w:rsidRPr="00653201">
        <w:rPr>
          <w:rFonts w:ascii="Arial" w:hAnsi="Arial" w:cs="Arial"/>
          <w:color w:val="000000"/>
          <w:sz w:val="20"/>
          <w:szCs w:val="20"/>
        </w:rPr>
        <w:t>Vivax</w:t>
      </w:r>
      <w:proofErr w:type="spellEnd"/>
      <w:r w:rsidRPr="00653201">
        <w:rPr>
          <w:rFonts w:ascii="Arial" w:hAnsi="Arial" w:cs="Arial"/>
          <w:color w:val="000000"/>
          <w:sz w:val="20"/>
          <w:szCs w:val="20"/>
        </w:rPr>
        <w:t xml:space="preserve"> Consulting Netzbetreiber nicht nur bei der Kalkulation von Netzentgelten für externe Diensteanbieter. Es besteht auch die Möglichkeit, eigene Endkundenprodukte und Open-Access-Produkte </w:t>
      </w:r>
      <w:r w:rsidRPr="00653201">
        <w:rPr>
          <w:rFonts w:ascii="Arial" w:hAnsi="Arial" w:cs="Arial"/>
          <w:color w:val="000000"/>
          <w:sz w:val="20"/>
          <w:szCs w:val="20"/>
        </w:rPr>
        <w:lastRenderedPageBreak/>
        <w:t>preislich abzubilden und zu vergleichen, um eine optimale Preisgestaltung zu erreichen. Über „Was-wäre-wenn-Analysen“ kann laufend überprüft werden, ob Produktpreise und Tarifstaffeln angepasst werden müssen oder nicht. Auch Abweichungen vom Businessplan können frühzeitig erkannt werden. Mit Hilfe von Szenarioanalysen können verschiedene Optionen für das zukünftige Geschäft durchgerechnet werden. Dabei hilft eine jährlich rückwirkende Betrachtung der tatsächlich abgerufenen Bandbreiten.</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5662478C"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Telekommunikationsnetzen.</w:t>
      </w:r>
      <w:r w:rsidR="00FD28E7">
        <w:rPr>
          <w:rFonts w:ascii="Arial" w:hAnsi="Arial" w:cs="Calibri"/>
          <w:sz w:val="16"/>
          <w:szCs w:val="26"/>
          <w:lang w:eastAsia="de-DE"/>
        </w:rPr>
        <w:t xml:space="preserve"> </w:t>
      </w:r>
      <w:r w:rsidRPr="004574AD">
        <w:rPr>
          <w:rFonts w:ascii="Arial" w:hAnsi="Arial" w:cs="Calibri"/>
          <w:sz w:val="16"/>
          <w:szCs w:val="26"/>
          <w:lang w:eastAsia="de-DE"/>
        </w:rPr>
        <w:t xml:space="preserve">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E70381" w14:textId="77777777" w:rsidR="00274E41" w:rsidRDefault="00274E41" w:rsidP="00BF70FE">
      <w:pPr>
        <w:spacing w:after="0" w:line="240" w:lineRule="auto"/>
      </w:pPr>
      <w:r>
        <w:separator/>
      </w:r>
    </w:p>
  </w:endnote>
  <w:endnote w:type="continuationSeparator" w:id="0">
    <w:p w14:paraId="2256C954" w14:textId="77777777" w:rsidR="00274E41" w:rsidRDefault="00274E4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E037C3" w14:textId="77777777" w:rsidR="00274E41" w:rsidRDefault="00274E41" w:rsidP="00BF70FE">
      <w:pPr>
        <w:spacing w:after="0" w:line="240" w:lineRule="auto"/>
      </w:pPr>
      <w:r>
        <w:separator/>
      </w:r>
    </w:p>
  </w:footnote>
  <w:footnote w:type="continuationSeparator" w:id="0">
    <w:p w14:paraId="4A9BBD09" w14:textId="77777777" w:rsidR="00274E41" w:rsidRDefault="00274E4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9"/>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4D44"/>
    <w:rsid w:val="00037481"/>
    <w:rsid w:val="00037B8A"/>
    <w:rsid w:val="00040DBA"/>
    <w:rsid w:val="00041A6A"/>
    <w:rsid w:val="00044557"/>
    <w:rsid w:val="00046762"/>
    <w:rsid w:val="00047718"/>
    <w:rsid w:val="000541F5"/>
    <w:rsid w:val="00054244"/>
    <w:rsid w:val="000551FD"/>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95A30"/>
    <w:rsid w:val="000A0F03"/>
    <w:rsid w:val="000A126E"/>
    <w:rsid w:val="000A1C71"/>
    <w:rsid w:val="000A1E6B"/>
    <w:rsid w:val="000A4C5E"/>
    <w:rsid w:val="000A4C93"/>
    <w:rsid w:val="000A5BF7"/>
    <w:rsid w:val="000A752F"/>
    <w:rsid w:val="000A7E9E"/>
    <w:rsid w:val="000B5BA3"/>
    <w:rsid w:val="000B6A65"/>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4EEC"/>
    <w:rsid w:val="00196421"/>
    <w:rsid w:val="00196D43"/>
    <w:rsid w:val="001A14A1"/>
    <w:rsid w:val="001A220F"/>
    <w:rsid w:val="001B01DF"/>
    <w:rsid w:val="001C51EC"/>
    <w:rsid w:val="001C6603"/>
    <w:rsid w:val="001C7838"/>
    <w:rsid w:val="001D2C4D"/>
    <w:rsid w:val="001D2FB7"/>
    <w:rsid w:val="001D7D3B"/>
    <w:rsid w:val="001E3CB7"/>
    <w:rsid w:val="001E6755"/>
    <w:rsid w:val="001E6F47"/>
    <w:rsid w:val="001F293E"/>
    <w:rsid w:val="00200031"/>
    <w:rsid w:val="0020049A"/>
    <w:rsid w:val="00205941"/>
    <w:rsid w:val="00207A9F"/>
    <w:rsid w:val="00211928"/>
    <w:rsid w:val="00213AF7"/>
    <w:rsid w:val="00221178"/>
    <w:rsid w:val="00221777"/>
    <w:rsid w:val="002230DC"/>
    <w:rsid w:val="00226C07"/>
    <w:rsid w:val="00233C8C"/>
    <w:rsid w:val="00235F66"/>
    <w:rsid w:val="00236787"/>
    <w:rsid w:val="00237217"/>
    <w:rsid w:val="00243944"/>
    <w:rsid w:val="00244E90"/>
    <w:rsid w:val="002507D4"/>
    <w:rsid w:val="00255BB8"/>
    <w:rsid w:val="00262A08"/>
    <w:rsid w:val="00265589"/>
    <w:rsid w:val="00272427"/>
    <w:rsid w:val="00274204"/>
    <w:rsid w:val="002745F8"/>
    <w:rsid w:val="00274B29"/>
    <w:rsid w:val="00274E41"/>
    <w:rsid w:val="002757A3"/>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C01AF"/>
    <w:rsid w:val="002C0624"/>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FF0"/>
    <w:rsid w:val="003902A0"/>
    <w:rsid w:val="003911B7"/>
    <w:rsid w:val="00394D5C"/>
    <w:rsid w:val="003953CA"/>
    <w:rsid w:val="003A2601"/>
    <w:rsid w:val="003A2746"/>
    <w:rsid w:val="003A3B30"/>
    <w:rsid w:val="003A43CA"/>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2B5B"/>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E5F9E"/>
    <w:rsid w:val="004F09E6"/>
    <w:rsid w:val="004F0E10"/>
    <w:rsid w:val="004F25A7"/>
    <w:rsid w:val="004F4FB4"/>
    <w:rsid w:val="004F5892"/>
    <w:rsid w:val="005048EC"/>
    <w:rsid w:val="005071AD"/>
    <w:rsid w:val="00521E6A"/>
    <w:rsid w:val="00525A27"/>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739E1"/>
    <w:rsid w:val="00576A90"/>
    <w:rsid w:val="00576E59"/>
    <w:rsid w:val="00577F31"/>
    <w:rsid w:val="00580B67"/>
    <w:rsid w:val="00580F7D"/>
    <w:rsid w:val="00582EC1"/>
    <w:rsid w:val="00582ECD"/>
    <w:rsid w:val="005845F6"/>
    <w:rsid w:val="00591D88"/>
    <w:rsid w:val="005926D7"/>
    <w:rsid w:val="005958C2"/>
    <w:rsid w:val="00596BC4"/>
    <w:rsid w:val="005A1828"/>
    <w:rsid w:val="005B2C0D"/>
    <w:rsid w:val="005B3C72"/>
    <w:rsid w:val="005B50F1"/>
    <w:rsid w:val="005C1147"/>
    <w:rsid w:val="005D1AA8"/>
    <w:rsid w:val="005D3D1E"/>
    <w:rsid w:val="005D5E32"/>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3201"/>
    <w:rsid w:val="006563BE"/>
    <w:rsid w:val="00664FF9"/>
    <w:rsid w:val="006663C8"/>
    <w:rsid w:val="00666C16"/>
    <w:rsid w:val="006721DA"/>
    <w:rsid w:val="0067331D"/>
    <w:rsid w:val="00673F12"/>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118E"/>
    <w:rsid w:val="006D2116"/>
    <w:rsid w:val="006D38DD"/>
    <w:rsid w:val="006D5955"/>
    <w:rsid w:val="006D6479"/>
    <w:rsid w:val="006E3A41"/>
    <w:rsid w:val="006E3EF8"/>
    <w:rsid w:val="006E7E8E"/>
    <w:rsid w:val="006F2189"/>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232AF"/>
    <w:rsid w:val="007234F3"/>
    <w:rsid w:val="00726D0D"/>
    <w:rsid w:val="00732AF9"/>
    <w:rsid w:val="00732F57"/>
    <w:rsid w:val="007408FB"/>
    <w:rsid w:val="007410A9"/>
    <w:rsid w:val="00742C79"/>
    <w:rsid w:val="00743904"/>
    <w:rsid w:val="007448A8"/>
    <w:rsid w:val="00751621"/>
    <w:rsid w:val="00751A87"/>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B0E5E"/>
    <w:rsid w:val="007B40BC"/>
    <w:rsid w:val="007B561B"/>
    <w:rsid w:val="007B59E3"/>
    <w:rsid w:val="007C0C1B"/>
    <w:rsid w:val="007C19F4"/>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1727B"/>
    <w:rsid w:val="00822F51"/>
    <w:rsid w:val="00825564"/>
    <w:rsid w:val="00825E47"/>
    <w:rsid w:val="0082641D"/>
    <w:rsid w:val="00841C40"/>
    <w:rsid w:val="008457BE"/>
    <w:rsid w:val="00860C87"/>
    <w:rsid w:val="008627A4"/>
    <w:rsid w:val="00870824"/>
    <w:rsid w:val="008709F4"/>
    <w:rsid w:val="00872E24"/>
    <w:rsid w:val="0088232C"/>
    <w:rsid w:val="00883CE3"/>
    <w:rsid w:val="0089252B"/>
    <w:rsid w:val="008956CD"/>
    <w:rsid w:val="008A0DBF"/>
    <w:rsid w:val="008A484E"/>
    <w:rsid w:val="008A52B6"/>
    <w:rsid w:val="008A6550"/>
    <w:rsid w:val="008A663A"/>
    <w:rsid w:val="008B2353"/>
    <w:rsid w:val="008B464E"/>
    <w:rsid w:val="008B5FAE"/>
    <w:rsid w:val="008C3262"/>
    <w:rsid w:val="008D0D7C"/>
    <w:rsid w:val="008E08D3"/>
    <w:rsid w:val="008E0B37"/>
    <w:rsid w:val="008E363F"/>
    <w:rsid w:val="008E3944"/>
    <w:rsid w:val="008F64E2"/>
    <w:rsid w:val="00902E3D"/>
    <w:rsid w:val="00912C77"/>
    <w:rsid w:val="00913D33"/>
    <w:rsid w:val="0091465C"/>
    <w:rsid w:val="009154DD"/>
    <w:rsid w:val="00915DD5"/>
    <w:rsid w:val="009223A3"/>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3042"/>
    <w:rsid w:val="009B3976"/>
    <w:rsid w:val="009B6FBC"/>
    <w:rsid w:val="009B7074"/>
    <w:rsid w:val="009C0CE4"/>
    <w:rsid w:val="009D30A6"/>
    <w:rsid w:val="009D4DFD"/>
    <w:rsid w:val="009E32E3"/>
    <w:rsid w:val="009E44F0"/>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3B34"/>
    <w:rsid w:val="00A461EC"/>
    <w:rsid w:val="00A462DC"/>
    <w:rsid w:val="00A50D16"/>
    <w:rsid w:val="00A549CB"/>
    <w:rsid w:val="00A551F1"/>
    <w:rsid w:val="00A55C3C"/>
    <w:rsid w:val="00A56E5A"/>
    <w:rsid w:val="00A57C12"/>
    <w:rsid w:val="00A636C0"/>
    <w:rsid w:val="00A71BF1"/>
    <w:rsid w:val="00A72FA1"/>
    <w:rsid w:val="00A8365C"/>
    <w:rsid w:val="00A86E2E"/>
    <w:rsid w:val="00A909F7"/>
    <w:rsid w:val="00A90FA9"/>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453C"/>
    <w:rsid w:val="00B67EDA"/>
    <w:rsid w:val="00B7163B"/>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3F7D"/>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4930"/>
    <w:rsid w:val="00D45085"/>
    <w:rsid w:val="00D45EBD"/>
    <w:rsid w:val="00D46770"/>
    <w:rsid w:val="00D52A64"/>
    <w:rsid w:val="00D5306F"/>
    <w:rsid w:val="00D572B9"/>
    <w:rsid w:val="00D61E26"/>
    <w:rsid w:val="00D63982"/>
    <w:rsid w:val="00D64707"/>
    <w:rsid w:val="00D64AA2"/>
    <w:rsid w:val="00D7666E"/>
    <w:rsid w:val="00D77478"/>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4362"/>
    <w:rsid w:val="00EF500E"/>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53665"/>
    <w:rsid w:val="00F60AEE"/>
    <w:rsid w:val="00F61423"/>
    <w:rsid w:val="00F62891"/>
    <w:rsid w:val="00F6520C"/>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3256</Characters>
  <Application>Microsoft Office Word</Application>
  <DocSecurity>0</DocSecurity>
  <Lines>27</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2024-09-10T06:54:00Z</dcterms:created>
  <dcterms:modified xsi:type="dcterms:W3CDTF">2024-09-10T06:54:00Z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