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24810ECF"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D85B12">
        <w:rPr>
          <w:rFonts w:ascii="Arial" w:hAnsi="Arial" w:cs="Arial"/>
          <w:color w:val="000000"/>
        </w:rPr>
        <w:t>27</w:t>
      </w:r>
      <w:r w:rsidRPr="000655B7">
        <w:rPr>
          <w:rFonts w:ascii="Arial" w:hAnsi="Arial" w:cs="Arial"/>
          <w:color w:val="000000"/>
        </w:rPr>
        <w:t xml:space="preserve">. </w:t>
      </w:r>
      <w:r w:rsidR="00BF3DDF">
        <w:rPr>
          <w:rFonts w:ascii="Arial" w:hAnsi="Arial" w:cs="Arial"/>
          <w:color w:val="000000"/>
        </w:rPr>
        <w:t>März</w:t>
      </w:r>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664C2BF1" w14:textId="00F0CCF1" w:rsidR="00A409A1" w:rsidRPr="00630497" w:rsidRDefault="00DB7E36" w:rsidP="009E1EB5">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r w:rsidRPr="00630497">
        <w:rPr>
          <w:rFonts w:ascii="Arial" w:hAnsi="Arial" w:cs="Arial"/>
          <w:b/>
          <w:color w:val="000000"/>
          <w:sz w:val="28"/>
          <w:szCs w:val="28"/>
        </w:rPr>
        <w:t xml:space="preserve">Fit </w:t>
      </w:r>
      <w:proofErr w:type="spellStart"/>
      <w:r w:rsidRPr="00630497">
        <w:rPr>
          <w:rFonts w:ascii="Arial" w:hAnsi="Arial" w:cs="Arial"/>
          <w:b/>
          <w:color w:val="000000"/>
          <w:sz w:val="28"/>
          <w:szCs w:val="28"/>
        </w:rPr>
        <w:t>für</w:t>
      </w:r>
      <w:r w:rsidR="00A409A1" w:rsidRPr="00630497">
        <w:rPr>
          <w:rFonts w:ascii="Arial" w:hAnsi="Arial" w:cs="Arial"/>
          <w:b/>
          <w:color w:val="000000"/>
          <w:sz w:val="28"/>
          <w:szCs w:val="28"/>
        </w:rPr>
        <w:t>’</w:t>
      </w:r>
      <w:r w:rsidRPr="00630497">
        <w:rPr>
          <w:rFonts w:ascii="Arial" w:hAnsi="Arial" w:cs="Arial"/>
          <w:b/>
          <w:color w:val="000000"/>
          <w:sz w:val="28"/>
          <w:szCs w:val="28"/>
        </w:rPr>
        <w:t>s</w:t>
      </w:r>
      <w:proofErr w:type="spellEnd"/>
      <w:r w:rsidRPr="00630497">
        <w:rPr>
          <w:rFonts w:ascii="Arial" w:hAnsi="Arial" w:cs="Arial"/>
          <w:b/>
          <w:color w:val="000000"/>
          <w:sz w:val="28"/>
          <w:szCs w:val="28"/>
        </w:rPr>
        <w:t xml:space="preserve"> Home</w:t>
      </w:r>
      <w:r w:rsidR="00A549CB" w:rsidRPr="00630497">
        <w:rPr>
          <w:rFonts w:ascii="Arial" w:hAnsi="Arial" w:cs="Arial"/>
          <w:b/>
          <w:color w:val="000000"/>
          <w:sz w:val="28"/>
          <w:szCs w:val="28"/>
        </w:rPr>
        <w:t>o</w:t>
      </w:r>
      <w:r w:rsidRPr="00630497">
        <w:rPr>
          <w:rFonts w:ascii="Arial" w:hAnsi="Arial" w:cs="Arial"/>
          <w:b/>
          <w:color w:val="000000"/>
          <w:sz w:val="28"/>
          <w:szCs w:val="28"/>
        </w:rPr>
        <w:t xml:space="preserve">ffice? </w:t>
      </w:r>
    </w:p>
    <w:p w14:paraId="48E9C6D4" w14:textId="5B2F12AB" w:rsidR="003E1E07" w:rsidRPr="00A549CB" w:rsidRDefault="00DB7E36" w:rsidP="009E1EB5">
      <w:pPr>
        <w:autoSpaceDE w:val="0"/>
        <w:autoSpaceDN w:val="0"/>
        <w:adjustRightInd w:val="0"/>
        <w:spacing w:after="0" w:line="360" w:lineRule="auto"/>
        <w:ind w:right="-2268"/>
        <w:rPr>
          <w:rFonts w:ascii="Arial" w:hAnsi="Arial" w:cs="Arial"/>
          <w:b/>
          <w:color w:val="000000"/>
          <w:sz w:val="28"/>
          <w:szCs w:val="28"/>
        </w:rPr>
      </w:pPr>
      <w:r w:rsidRPr="00A549CB">
        <w:rPr>
          <w:rFonts w:ascii="Arial" w:hAnsi="Arial" w:cs="Arial"/>
          <w:b/>
          <w:color w:val="000000"/>
          <w:sz w:val="28"/>
          <w:szCs w:val="28"/>
        </w:rPr>
        <w:t>Unternehmens</w:t>
      </w:r>
      <w:r w:rsidR="00A409A1" w:rsidRPr="00A549CB">
        <w:rPr>
          <w:rFonts w:ascii="Arial" w:hAnsi="Arial" w:cs="Arial"/>
          <w:b/>
          <w:color w:val="000000"/>
          <w:sz w:val="28"/>
          <w:szCs w:val="28"/>
        </w:rPr>
        <w:t>-Checkup mit</w:t>
      </w:r>
      <w:r w:rsidR="003E1E07" w:rsidRPr="00A549CB">
        <w:rPr>
          <w:rFonts w:ascii="Arial" w:hAnsi="Arial" w:cs="Arial"/>
          <w:b/>
          <w:color w:val="000000"/>
          <w:sz w:val="28"/>
          <w:szCs w:val="28"/>
        </w:rPr>
        <w:t xml:space="preserve"> </w:t>
      </w:r>
      <w:proofErr w:type="spellStart"/>
      <w:r w:rsidR="003E1E07" w:rsidRPr="00A549CB">
        <w:rPr>
          <w:rFonts w:ascii="Arial" w:hAnsi="Arial" w:cs="Arial"/>
          <w:b/>
          <w:color w:val="000000"/>
          <w:sz w:val="28"/>
          <w:szCs w:val="28"/>
        </w:rPr>
        <w:t>Vivax</w:t>
      </w:r>
      <w:proofErr w:type="spellEnd"/>
      <w:r w:rsidR="003E1E07" w:rsidRPr="00A549CB">
        <w:rPr>
          <w:rFonts w:ascii="Arial" w:hAnsi="Arial" w:cs="Arial"/>
          <w:b/>
          <w:color w:val="000000"/>
          <w:sz w:val="28"/>
          <w:szCs w:val="28"/>
        </w:rPr>
        <w:t xml:space="preserve"> </w:t>
      </w:r>
      <w:r w:rsidR="00F4188B" w:rsidRPr="00A549CB">
        <w:rPr>
          <w:rFonts w:ascii="Arial" w:hAnsi="Arial" w:cs="Arial"/>
          <w:b/>
          <w:color w:val="000000"/>
          <w:sz w:val="28"/>
          <w:szCs w:val="28"/>
        </w:rPr>
        <w:t xml:space="preserve">Analytics </w:t>
      </w:r>
      <w:proofErr w:type="spellStart"/>
      <w:r w:rsidR="00F4188B" w:rsidRPr="00A549CB">
        <w:rPr>
          <w:rFonts w:ascii="Arial" w:hAnsi="Arial" w:cs="Arial"/>
          <w:b/>
          <w:color w:val="000000"/>
          <w:sz w:val="28"/>
          <w:szCs w:val="28"/>
        </w:rPr>
        <w:t>ProCo</w:t>
      </w:r>
      <w:proofErr w:type="spellEnd"/>
      <w:r w:rsidR="003E1E07" w:rsidRPr="00A549CB">
        <w:rPr>
          <w:rFonts w:ascii="Arial" w:hAnsi="Arial" w:cs="Arial"/>
          <w:b/>
          <w:color w:val="000000"/>
          <w:sz w:val="28"/>
          <w:szCs w:val="28"/>
        </w:rPr>
        <w:t xml:space="preserve"> </w:t>
      </w:r>
    </w:p>
    <w:bookmarkEnd w:id="0"/>
    <w:bookmarkEnd w:id="1"/>
    <w:p w14:paraId="4B7D9C4A" w14:textId="7156C468" w:rsidR="003E1E07" w:rsidRDefault="00A409A1" w:rsidP="009E1EB5">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Schnelle digitale Analyse aller mit dem Home</w:t>
      </w:r>
      <w:r w:rsidR="00A549CB">
        <w:rPr>
          <w:rFonts w:ascii="Arial" w:hAnsi="Arial" w:cs="Tahoma"/>
          <w:b/>
          <w:sz w:val="20"/>
          <w:szCs w:val="20"/>
        </w:rPr>
        <w:t>o</w:t>
      </w:r>
      <w:r>
        <w:rPr>
          <w:rFonts w:ascii="Arial" w:hAnsi="Arial" w:cs="Tahoma"/>
          <w:b/>
          <w:sz w:val="20"/>
          <w:szCs w:val="20"/>
        </w:rPr>
        <w:t>ffice verbundenen Prozesse</w:t>
      </w:r>
    </w:p>
    <w:p w14:paraId="2CE1A497" w14:textId="77777777" w:rsidR="003E1E07" w:rsidRDefault="003E1E07" w:rsidP="009E1EB5">
      <w:pPr>
        <w:autoSpaceDE w:val="0"/>
        <w:autoSpaceDN w:val="0"/>
        <w:adjustRightInd w:val="0"/>
        <w:spacing w:after="0" w:line="360" w:lineRule="auto"/>
        <w:ind w:right="-1984"/>
        <w:rPr>
          <w:rFonts w:ascii="Arial" w:hAnsi="Arial" w:cs="Tahoma"/>
          <w:b/>
          <w:sz w:val="20"/>
          <w:szCs w:val="20"/>
        </w:rPr>
      </w:pPr>
    </w:p>
    <w:p w14:paraId="38676B32" w14:textId="735C22D6" w:rsidR="00A409A1" w:rsidRPr="001A14A1" w:rsidRDefault="001A14A1" w:rsidP="009E1EB5">
      <w:pPr>
        <w:spacing w:line="360" w:lineRule="auto"/>
        <w:rPr>
          <w:rFonts w:ascii="Arial" w:hAnsi="Arial" w:cs="Arial"/>
          <w:b/>
          <w:bCs/>
          <w:color w:val="000000"/>
          <w:sz w:val="20"/>
          <w:szCs w:val="20"/>
        </w:rPr>
      </w:pPr>
      <w:r>
        <w:rPr>
          <w:rFonts w:ascii="Arial" w:hAnsi="Arial" w:cs="Arial"/>
          <w:b/>
          <w:bCs/>
          <w:color w:val="000000"/>
          <w:sz w:val="20"/>
          <w:szCs w:val="20"/>
        </w:rPr>
        <w:t>Angesichts steigende</w:t>
      </w:r>
      <w:r w:rsidR="000678EA">
        <w:rPr>
          <w:rFonts w:ascii="Arial" w:hAnsi="Arial" w:cs="Arial"/>
          <w:b/>
          <w:bCs/>
          <w:color w:val="000000"/>
          <w:sz w:val="20"/>
          <w:szCs w:val="20"/>
        </w:rPr>
        <w:t>r</w:t>
      </w:r>
      <w:r>
        <w:rPr>
          <w:rFonts w:ascii="Arial" w:hAnsi="Arial" w:cs="Arial"/>
          <w:b/>
          <w:bCs/>
          <w:color w:val="000000"/>
          <w:sz w:val="20"/>
          <w:szCs w:val="20"/>
        </w:rPr>
        <w:t xml:space="preserve"> Corona-Fallzahlen verlagern auch die Stadtwerke immer mehr Arbeitsplätze in das Home</w:t>
      </w:r>
      <w:r w:rsidR="00A549CB">
        <w:rPr>
          <w:rFonts w:ascii="Arial" w:hAnsi="Arial" w:cs="Arial"/>
          <w:b/>
          <w:bCs/>
          <w:color w:val="000000"/>
          <w:sz w:val="20"/>
          <w:szCs w:val="20"/>
        </w:rPr>
        <w:t>o</w:t>
      </w:r>
      <w:r>
        <w:rPr>
          <w:rFonts w:ascii="Arial" w:hAnsi="Arial" w:cs="Arial"/>
          <w:b/>
          <w:bCs/>
          <w:color w:val="000000"/>
          <w:sz w:val="20"/>
          <w:szCs w:val="20"/>
        </w:rPr>
        <w:t xml:space="preserve">ffice. Dabei haben die wenigsten Unternehmen einen Überblick, ob die Mitarbeiter zuhause </w:t>
      </w:r>
      <w:r w:rsidR="00565D15">
        <w:rPr>
          <w:rFonts w:ascii="Arial" w:hAnsi="Arial" w:cs="Arial"/>
          <w:b/>
          <w:bCs/>
          <w:color w:val="000000"/>
          <w:sz w:val="20"/>
          <w:szCs w:val="20"/>
        </w:rPr>
        <w:t>überhaupt</w:t>
      </w:r>
      <w:r>
        <w:rPr>
          <w:rFonts w:ascii="Arial" w:hAnsi="Arial" w:cs="Arial"/>
          <w:b/>
          <w:bCs/>
          <w:color w:val="000000"/>
          <w:sz w:val="20"/>
          <w:szCs w:val="20"/>
        </w:rPr>
        <w:t xml:space="preserve"> entsprechend </w:t>
      </w:r>
      <w:r w:rsidR="00A549CB">
        <w:rPr>
          <w:rFonts w:ascii="Arial" w:hAnsi="Arial" w:cs="Arial"/>
          <w:b/>
          <w:bCs/>
          <w:color w:val="000000"/>
          <w:sz w:val="20"/>
          <w:szCs w:val="20"/>
        </w:rPr>
        <w:t>arbeiten</w:t>
      </w:r>
      <w:r>
        <w:rPr>
          <w:rFonts w:ascii="Arial" w:hAnsi="Arial" w:cs="Arial"/>
          <w:b/>
          <w:bCs/>
          <w:color w:val="000000"/>
          <w:sz w:val="20"/>
          <w:szCs w:val="20"/>
        </w:rPr>
        <w:t xml:space="preserve"> </w:t>
      </w:r>
      <w:r w:rsidR="00A549CB">
        <w:rPr>
          <w:rFonts w:ascii="Arial" w:hAnsi="Arial" w:cs="Arial"/>
          <w:b/>
          <w:bCs/>
          <w:color w:val="000000"/>
          <w:sz w:val="20"/>
          <w:szCs w:val="20"/>
        </w:rPr>
        <w:t>können</w:t>
      </w:r>
      <w:r>
        <w:rPr>
          <w:rFonts w:ascii="Arial" w:hAnsi="Arial" w:cs="Arial"/>
          <w:b/>
          <w:bCs/>
          <w:color w:val="000000"/>
          <w:sz w:val="20"/>
          <w:szCs w:val="20"/>
        </w:rPr>
        <w:t xml:space="preserve"> oder wie sich Verfahrensanweisungen wie etwa das Vier-Augen-Prinzip </w:t>
      </w:r>
      <w:r w:rsidR="00A549CB">
        <w:rPr>
          <w:rFonts w:ascii="Arial" w:hAnsi="Arial" w:cs="Arial"/>
          <w:b/>
          <w:bCs/>
          <w:color w:val="000000"/>
          <w:sz w:val="20"/>
          <w:szCs w:val="20"/>
        </w:rPr>
        <w:t>oder Unterschrift</w:t>
      </w:r>
      <w:r w:rsidR="002A7D5D">
        <w:rPr>
          <w:rFonts w:ascii="Arial" w:hAnsi="Arial" w:cs="Arial"/>
          <w:b/>
          <w:bCs/>
          <w:color w:val="000000"/>
          <w:sz w:val="20"/>
          <w:szCs w:val="20"/>
        </w:rPr>
        <w:t>en</w:t>
      </w:r>
      <w:r w:rsidR="00A549CB">
        <w:rPr>
          <w:rFonts w:ascii="Arial" w:hAnsi="Arial" w:cs="Arial"/>
          <w:b/>
          <w:bCs/>
          <w:color w:val="000000"/>
          <w:sz w:val="20"/>
          <w:szCs w:val="20"/>
        </w:rPr>
        <w:t xml:space="preserve">regelungen </w:t>
      </w:r>
      <w:r>
        <w:rPr>
          <w:rFonts w:ascii="Arial" w:hAnsi="Arial" w:cs="Arial"/>
          <w:b/>
          <w:bCs/>
          <w:color w:val="000000"/>
          <w:sz w:val="20"/>
          <w:szCs w:val="20"/>
        </w:rPr>
        <w:t xml:space="preserve">rechtssicher umsetzen lassen. </w:t>
      </w:r>
      <w:r w:rsidR="00630497">
        <w:rPr>
          <w:rFonts w:ascii="Arial" w:hAnsi="Arial" w:cs="Arial"/>
          <w:b/>
          <w:bCs/>
          <w:color w:val="000000"/>
          <w:sz w:val="20"/>
          <w:szCs w:val="20"/>
        </w:rPr>
        <w:t xml:space="preserve">Deswegen hat </w:t>
      </w:r>
      <w:proofErr w:type="spellStart"/>
      <w:r w:rsidR="00630497">
        <w:rPr>
          <w:rFonts w:ascii="Arial" w:hAnsi="Arial" w:cs="Arial"/>
          <w:b/>
          <w:bCs/>
          <w:color w:val="000000"/>
          <w:sz w:val="20"/>
          <w:szCs w:val="20"/>
        </w:rPr>
        <w:t>Vivax</w:t>
      </w:r>
      <w:proofErr w:type="spellEnd"/>
      <w:r w:rsidR="00630497">
        <w:rPr>
          <w:rFonts w:ascii="Arial" w:hAnsi="Arial" w:cs="Arial"/>
          <w:b/>
          <w:bCs/>
          <w:color w:val="000000"/>
          <w:sz w:val="20"/>
          <w:szCs w:val="20"/>
        </w:rPr>
        <w:t xml:space="preserve"> Solution, ein Tochteruntern</w:t>
      </w:r>
      <w:r w:rsidR="00E960D2">
        <w:rPr>
          <w:rFonts w:ascii="Arial" w:hAnsi="Arial" w:cs="Arial"/>
          <w:b/>
          <w:bCs/>
          <w:color w:val="000000"/>
          <w:sz w:val="20"/>
          <w:szCs w:val="20"/>
        </w:rPr>
        <w:t>e</w:t>
      </w:r>
      <w:r w:rsidR="00630497">
        <w:rPr>
          <w:rFonts w:ascii="Arial" w:hAnsi="Arial" w:cs="Arial"/>
          <w:b/>
          <w:bCs/>
          <w:color w:val="000000"/>
          <w:sz w:val="20"/>
          <w:szCs w:val="20"/>
        </w:rPr>
        <w:t>hm</w:t>
      </w:r>
      <w:r w:rsidR="00E960D2">
        <w:rPr>
          <w:rFonts w:ascii="Arial" w:hAnsi="Arial" w:cs="Arial"/>
          <w:b/>
          <w:bCs/>
          <w:color w:val="000000"/>
          <w:sz w:val="20"/>
          <w:szCs w:val="20"/>
        </w:rPr>
        <w:t>e</w:t>
      </w:r>
      <w:r w:rsidR="00630497">
        <w:rPr>
          <w:rFonts w:ascii="Arial" w:hAnsi="Arial" w:cs="Arial"/>
          <w:b/>
          <w:bCs/>
          <w:color w:val="000000"/>
          <w:sz w:val="20"/>
          <w:szCs w:val="20"/>
        </w:rPr>
        <w:t xml:space="preserve">n der </w:t>
      </w:r>
      <w:proofErr w:type="spellStart"/>
      <w:r w:rsidR="00630497">
        <w:rPr>
          <w:rFonts w:ascii="Arial" w:hAnsi="Arial" w:cs="Arial"/>
          <w:b/>
          <w:bCs/>
          <w:color w:val="000000"/>
          <w:sz w:val="20"/>
          <w:szCs w:val="20"/>
        </w:rPr>
        <w:t>tktVivax</w:t>
      </w:r>
      <w:proofErr w:type="spellEnd"/>
      <w:r w:rsidR="00630497">
        <w:rPr>
          <w:rFonts w:ascii="Arial" w:hAnsi="Arial" w:cs="Arial"/>
          <w:b/>
          <w:bCs/>
          <w:color w:val="000000"/>
          <w:sz w:val="20"/>
          <w:szCs w:val="20"/>
        </w:rPr>
        <w:t xml:space="preserve">, jetzt sein Prozessanalyse-Werkzeug </w:t>
      </w:r>
      <w:proofErr w:type="spellStart"/>
      <w:r w:rsidR="00630497" w:rsidRPr="001A14A1">
        <w:rPr>
          <w:rFonts w:ascii="Arial" w:hAnsi="Arial" w:cs="Arial"/>
          <w:b/>
          <w:bCs/>
          <w:color w:val="000000"/>
          <w:sz w:val="20"/>
          <w:szCs w:val="20"/>
        </w:rPr>
        <w:t>Vivax</w:t>
      </w:r>
      <w:proofErr w:type="spellEnd"/>
      <w:r w:rsidR="00630497" w:rsidRPr="001A14A1">
        <w:rPr>
          <w:rFonts w:ascii="Arial" w:hAnsi="Arial" w:cs="Arial"/>
          <w:b/>
          <w:bCs/>
          <w:color w:val="000000"/>
          <w:sz w:val="20"/>
          <w:szCs w:val="20"/>
        </w:rPr>
        <w:t xml:space="preserve"> Analytics </w:t>
      </w:r>
      <w:proofErr w:type="spellStart"/>
      <w:r w:rsidR="00630497" w:rsidRPr="001A14A1">
        <w:rPr>
          <w:rFonts w:ascii="Arial" w:hAnsi="Arial" w:cs="Arial"/>
          <w:b/>
          <w:bCs/>
          <w:color w:val="000000"/>
          <w:sz w:val="20"/>
          <w:szCs w:val="20"/>
        </w:rPr>
        <w:t>ProCo</w:t>
      </w:r>
      <w:proofErr w:type="spellEnd"/>
      <w:r w:rsidR="00630497">
        <w:rPr>
          <w:rFonts w:ascii="Arial" w:hAnsi="Arial" w:cs="Arial"/>
          <w:b/>
          <w:bCs/>
          <w:color w:val="000000"/>
          <w:sz w:val="20"/>
          <w:szCs w:val="20"/>
        </w:rPr>
        <w:t xml:space="preserve"> um einen „</w:t>
      </w:r>
      <w:proofErr w:type="spellStart"/>
      <w:r w:rsidR="00630497">
        <w:rPr>
          <w:rFonts w:ascii="Arial" w:hAnsi="Arial" w:cs="Arial"/>
          <w:b/>
          <w:bCs/>
          <w:color w:val="000000"/>
          <w:sz w:val="20"/>
          <w:szCs w:val="20"/>
        </w:rPr>
        <w:t>HomeOffice</w:t>
      </w:r>
      <w:proofErr w:type="spellEnd"/>
      <w:r w:rsidR="00630497">
        <w:rPr>
          <w:rFonts w:ascii="Arial" w:hAnsi="Arial" w:cs="Arial"/>
          <w:b/>
          <w:bCs/>
          <w:color w:val="000000"/>
          <w:sz w:val="20"/>
          <w:szCs w:val="20"/>
        </w:rPr>
        <w:t xml:space="preserve"> Checkup“ erweitert. Mit dessen Hilfe können sich Unternehmen in kürzester Zeit ein umfassendes Bild davon machen, ob sie tatsächlich digital fit für den breiten Einsatz im Homeoffice sind. Auf Basis des bestehenden </w:t>
      </w:r>
      <w:proofErr w:type="spellStart"/>
      <w:r w:rsidR="00630497">
        <w:rPr>
          <w:rFonts w:ascii="Arial" w:hAnsi="Arial" w:cs="Arial"/>
          <w:b/>
          <w:bCs/>
          <w:color w:val="000000"/>
          <w:sz w:val="20"/>
          <w:szCs w:val="20"/>
        </w:rPr>
        <w:t>Vivax</w:t>
      </w:r>
      <w:proofErr w:type="spellEnd"/>
      <w:r w:rsidR="00630497">
        <w:rPr>
          <w:rFonts w:ascii="Arial" w:hAnsi="Arial" w:cs="Arial"/>
          <w:b/>
          <w:bCs/>
          <w:color w:val="000000"/>
          <w:sz w:val="20"/>
          <w:szCs w:val="20"/>
        </w:rPr>
        <w:t xml:space="preserve"> Analytics-Prozessmodells werden Mitarbeiter dabei strukturiert befragt, welche täglichen Aufgaben sie zuhause erledigen können und welche nicht – beziehungsweise welche Voraussetzungen erfüllt werden müssen, damit sie auch zuhause arbeitsfähig sind. Die Abfrage erfolgt online und damit „kontaktlos“. „Viele Unternehmen befinden sich hier noch im Blindflug, denn sie wissen beispielsweise nicht, welche Aufgaben überhaupt von zuhause erledigt werden können oder welche Maßnahmen zu ergreifen sind, um beispielsweise ein Organisationsverschulden auszuschließen, weil Verfahrensregeln im Homeoffice nicht eingehalten werden können“, beschreibt Dirk </w:t>
      </w:r>
      <w:proofErr w:type="spellStart"/>
      <w:r w:rsidR="00630497">
        <w:rPr>
          <w:rFonts w:ascii="Arial" w:hAnsi="Arial" w:cs="Arial"/>
          <w:b/>
          <w:bCs/>
          <w:color w:val="000000"/>
          <w:sz w:val="20"/>
          <w:szCs w:val="20"/>
        </w:rPr>
        <w:t>Fieml</w:t>
      </w:r>
      <w:proofErr w:type="spellEnd"/>
      <w:r w:rsidR="00630497">
        <w:rPr>
          <w:rFonts w:ascii="Arial" w:hAnsi="Arial" w:cs="Arial"/>
          <w:b/>
          <w:bCs/>
          <w:color w:val="000000"/>
          <w:sz w:val="20"/>
          <w:szCs w:val="20"/>
        </w:rPr>
        <w:t xml:space="preserve">, Geschäftsführer der </w:t>
      </w:r>
      <w:proofErr w:type="spellStart"/>
      <w:r w:rsidR="00630497">
        <w:rPr>
          <w:rFonts w:ascii="Arial" w:hAnsi="Arial" w:cs="Arial"/>
          <w:b/>
          <w:bCs/>
          <w:color w:val="000000"/>
          <w:sz w:val="20"/>
          <w:szCs w:val="20"/>
        </w:rPr>
        <w:t>tktVivax</w:t>
      </w:r>
      <w:proofErr w:type="spellEnd"/>
      <w:r w:rsidR="00630497">
        <w:rPr>
          <w:rFonts w:ascii="Arial" w:hAnsi="Arial" w:cs="Arial"/>
          <w:b/>
          <w:bCs/>
          <w:color w:val="000000"/>
          <w:sz w:val="20"/>
          <w:szCs w:val="20"/>
        </w:rPr>
        <w:t xml:space="preserve"> GmbH, die Herausforderungen.</w:t>
      </w:r>
    </w:p>
    <w:p w14:paraId="4C5DD0BA" w14:textId="1CACB8BE" w:rsidR="00D64707" w:rsidRDefault="00D64707" w:rsidP="00406EFB">
      <w:pPr>
        <w:spacing w:line="360" w:lineRule="auto"/>
        <w:rPr>
          <w:rFonts w:ascii="Arial" w:hAnsi="Arial" w:cs="Arial"/>
          <w:color w:val="000000"/>
          <w:sz w:val="20"/>
          <w:szCs w:val="20"/>
        </w:rPr>
      </w:pPr>
      <w:r>
        <w:rPr>
          <w:rFonts w:ascii="Arial" w:hAnsi="Arial" w:cs="Arial"/>
          <w:color w:val="000000"/>
          <w:sz w:val="20"/>
          <w:szCs w:val="20"/>
        </w:rPr>
        <w:t>Stadtwerke müssen sich jetzt darauf einstellen, dass schon bald ganze Abteilungen zuhause arbeiten müssen, etwa weil eine Kollegin oder ein Kollege positiv auf Corona getestet wurden. Deswegen müssen auch die digitalen Voraussetzungen dafür geschaffen werden. Das beginnt schon beim Posteingang, der in den wenigsten Unternehmen digitalisiert ist. Auch die Belegflüsse und -</w:t>
      </w:r>
      <w:r>
        <w:rPr>
          <w:rFonts w:ascii="Arial" w:hAnsi="Arial" w:cs="Arial"/>
          <w:color w:val="000000"/>
          <w:sz w:val="20"/>
          <w:szCs w:val="20"/>
        </w:rPr>
        <w:lastRenderedPageBreak/>
        <w:t xml:space="preserve">freigaben basieren vielerorts noch auf Papier. Eine weitere Herausforderung ist der Kundenservice: Nachdem persönliche Kontakte nicht mehr möglich sind, müssen neue Wege für </w:t>
      </w:r>
      <w:r w:rsidR="000C46B3">
        <w:rPr>
          <w:rFonts w:ascii="Arial" w:hAnsi="Arial" w:cs="Arial"/>
          <w:color w:val="000000"/>
          <w:sz w:val="20"/>
          <w:szCs w:val="20"/>
        </w:rPr>
        <w:t xml:space="preserve">die </w:t>
      </w:r>
      <w:r>
        <w:rPr>
          <w:rFonts w:ascii="Arial" w:hAnsi="Arial" w:cs="Arial"/>
          <w:color w:val="000000"/>
          <w:sz w:val="20"/>
          <w:szCs w:val="20"/>
        </w:rPr>
        <w:t>direkt</w:t>
      </w:r>
      <w:r w:rsidR="000C46B3">
        <w:rPr>
          <w:rFonts w:ascii="Arial" w:hAnsi="Arial" w:cs="Arial"/>
          <w:color w:val="000000"/>
          <w:sz w:val="20"/>
          <w:szCs w:val="20"/>
        </w:rPr>
        <w:t>e</w:t>
      </w:r>
      <w:r>
        <w:rPr>
          <w:rFonts w:ascii="Arial" w:hAnsi="Arial" w:cs="Arial"/>
          <w:color w:val="000000"/>
          <w:sz w:val="20"/>
          <w:szCs w:val="20"/>
        </w:rPr>
        <w:t xml:space="preserve"> Kommunikation gefunden werden, beispielsweise auch über Video-Chat.</w:t>
      </w:r>
      <w:r w:rsidR="00406EFB">
        <w:rPr>
          <w:rFonts w:ascii="Arial" w:hAnsi="Arial" w:cs="Arial"/>
          <w:color w:val="000000"/>
          <w:sz w:val="20"/>
          <w:szCs w:val="20"/>
        </w:rPr>
        <w:t xml:space="preserve"> Auf Basis des </w:t>
      </w:r>
      <w:proofErr w:type="spellStart"/>
      <w:r w:rsidR="00406EFB">
        <w:rPr>
          <w:rFonts w:ascii="Arial" w:hAnsi="Arial" w:cs="Arial"/>
          <w:color w:val="000000"/>
          <w:sz w:val="20"/>
          <w:szCs w:val="20"/>
        </w:rPr>
        <w:t>HomeOffice</w:t>
      </w:r>
      <w:proofErr w:type="spellEnd"/>
      <w:r w:rsidR="00406EFB">
        <w:rPr>
          <w:rFonts w:ascii="Arial" w:hAnsi="Arial" w:cs="Arial"/>
          <w:color w:val="000000"/>
          <w:sz w:val="20"/>
          <w:szCs w:val="20"/>
        </w:rPr>
        <w:t>-Checkup lassen sich hier mögliche Schwachstellen schnell ermitteln und können so gezielt geschlossen werden. Aber auch die Einsatzplanung und vor allem auch die Mitarbeiterführung werden</w:t>
      </w:r>
      <w:r w:rsidR="000678EA">
        <w:rPr>
          <w:rFonts w:ascii="Arial" w:hAnsi="Arial" w:cs="Arial"/>
          <w:color w:val="000000"/>
          <w:sz w:val="20"/>
          <w:szCs w:val="20"/>
        </w:rPr>
        <w:t xml:space="preserve"> mithilfe der Analyse </w:t>
      </w:r>
      <w:r w:rsidR="00406EFB">
        <w:rPr>
          <w:rFonts w:ascii="Arial" w:hAnsi="Arial" w:cs="Arial"/>
          <w:color w:val="000000"/>
          <w:sz w:val="20"/>
          <w:szCs w:val="20"/>
        </w:rPr>
        <w:t>deutlich</w:t>
      </w:r>
      <w:r w:rsidR="000678EA">
        <w:rPr>
          <w:rFonts w:ascii="Arial" w:hAnsi="Arial" w:cs="Arial"/>
          <w:color w:val="000000"/>
          <w:sz w:val="20"/>
          <w:szCs w:val="20"/>
        </w:rPr>
        <w:t xml:space="preserve"> erleichtert und</w:t>
      </w:r>
      <w:r w:rsidR="00406EFB">
        <w:rPr>
          <w:rFonts w:ascii="Arial" w:hAnsi="Arial" w:cs="Arial"/>
          <w:color w:val="000000"/>
          <w:sz w:val="20"/>
          <w:szCs w:val="20"/>
        </w:rPr>
        <w:t xml:space="preserve"> verbesser</w:t>
      </w:r>
      <w:r w:rsidR="000678EA">
        <w:rPr>
          <w:rFonts w:ascii="Arial" w:hAnsi="Arial" w:cs="Arial"/>
          <w:color w:val="000000"/>
          <w:sz w:val="20"/>
          <w:szCs w:val="20"/>
        </w:rPr>
        <w:t>t</w:t>
      </w:r>
      <w:r w:rsidR="00406EFB">
        <w:rPr>
          <w:rFonts w:ascii="Arial" w:hAnsi="Arial" w:cs="Arial"/>
          <w:color w:val="000000"/>
          <w:sz w:val="20"/>
          <w:szCs w:val="20"/>
        </w:rPr>
        <w:t>.</w:t>
      </w:r>
      <w:r w:rsidR="00630497">
        <w:rPr>
          <w:rFonts w:ascii="Arial" w:hAnsi="Arial" w:cs="Arial"/>
          <w:color w:val="000000"/>
          <w:sz w:val="20"/>
          <w:szCs w:val="20"/>
        </w:rPr>
        <w:t xml:space="preserve"> </w:t>
      </w:r>
      <w:r w:rsidR="00630497" w:rsidRPr="00630497">
        <w:rPr>
          <w:rFonts w:ascii="Arial" w:hAnsi="Arial" w:cs="Arial"/>
          <w:color w:val="000000"/>
          <w:sz w:val="20"/>
          <w:szCs w:val="20"/>
        </w:rPr>
        <w:t>Gespräche mit Stadtwerken haben gezeigt, dass hier ein großer Bedarf an Transparenz und Unterstützung gefragt ist. Die ersten Projekte befinden sich gerade in Vorbereitung.</w:t>
      </w:r>
    </w:p>
    <w:p w14:paraId="2BCDB881" w14:textId="046C08E3" w:rsidR="003E1E07" w:rsidRPr="00AB23C8" w:rsidRDefault="003E1E07" w:rsidP="003E1E07">
      <w:pPr>
        <w:spacing w:line="360" w:lineRule="auto"/>
        <w:rPr>
          <w:rFonts w:ascii="Arial" w:hAnsi="Arial" w:cs="Tahoma"/>
          <w:sz w:val="20"/>
          <w:szCs w:val="20"/>
        </w:rPr>
      </w:pPr>
      <w:proofErr w:type="spellStart"/>
      <w:r w:rsidRPr="00054244">
        <w:rPr>
          <w:rFonts w:ascii="Arial" w:hAnsi="Arial" w:cs="Arial"/>
          <w:color w:val="000000"/>
          <w:sz w:val="20"/>
          <w:szCs w:val="20"/>
        </w:rPr>
        <w:t>Vivax</w:t>
      </w:r>
      <w:proofErr w:type="spellEnd"/>
      <w:r w:rsidRPr="00054244">
        <w:rPr>
          <w:rFonts w:ascii="Arial" w:hAnsi="Arial" w:cs="Arial"/>
          <w:color w:val="000000"/>
          <w:sz w:val="20"/>
          <w:szCs w:val="20"/>
        </w:rPr>
        <w:t xml:space="preserve"> </w:t>
      </w:r>
      <w:r w:rsidR="006847AC" w:rsidRPr="006847AC">
        <w:rPr>
          <w:rFonts w:ascii="Arial" w:hAnsi="Arial" w:cs="Arial"/>
          <w:color w:val="000000"/>
          <w:sz w:val="20"/>
          <w:szCs w:val="20"/>
        </w:rPr>
        <w:t>Analytics</w:t>
      </w:r>
      <w:r w:rsidR="006847AC">
        <w:rPr>
          <w:rFonts w:ascii="Arial" w:hAnsi="Arial" w:cs="Arial"/>
          <w:b/>
          <w:bCs/>
          <w:color w:val="000000"/>
          <w:sz w:val="20"/>
          <w:szCs w:val="20"/>
        </w:rPr>
        <w:t xml:space="preserve"> </w:t>
      </w:r>
      <w:proofErr w:type="spellStart"/>
      <w:r w:rsidR="00F4188B">
        <w:rPr>
          <w:rFonts w:ascii="Arial" w:hAnsi="Arial" w:cs="Arial"/>
          <w:color w:val="000000"/>
          <w:sz w:val="20"/>
          <w:szCs w:val="20"/>
        </w:rPr>
        <w:t>ProCo</w:t>
      </w:r>
      <w:proofErr w:type="spellEnd"/>
      <w:r w:rsidRPr="00054244">
        <w:rPr>
          <w:rFonts w:ascii="Arial" w:hAnsi="Arial" w:cs="Arial"/>
          <w:color w:val="000000"/>
          <w:sz w:val="20"/>
          <w:szCs w:val="20"/>
        </w:rPr>
        <w:t xml:space="preserve">, das Softwaresystem für die Prozesskostenanalyse, </w:t>
      </w:r>
      <w:proofErr w:type="gramStart"/>
      <w:r w:rsidRPr="00054244">
        <w:rPr>
          <w:rFonts w:ascii="Arial" w:hAnsi="Arial" w:cs="Arial"/>
          <w:color w:val="000000"/>
          <w:sz w:val="20"/>
          <w:szCs w:val="20"/>
        </w:rPr>
        <w:t>ermöglicht es</w:t>
      </w:r>
      <w:proofErr w:type="gramEnd"/>
      <w:r w:rsidRPr="00054244">
        <w:rPr>
          <w:rFonts w:ascii="Arial" w:hAnsi="Arial" w:cs="Arial"/>
          <w:color w:val="000000"/>
          <w:sz w:val="20"/>
          <w:szCs w:val="20"/>
        </w:rPr>
        <w:t>, sämtliche Unternehmensprozesse aus Organisations-, Kosten- und Kapazitätssicht zu bewerten. Die Grundlage dafür ist ein Prozessmodell, in dem bereits rund 600 versorgungstypische Geschäftsprozesse mit etwa 6.000 zugeordneten Tätigkeiten je Sparte und Bereich hinterlegt sind. Dazu gehören Strom, Gas, Wasser, Abwasser, Freizeiteinrichtungen</w:t>
      </w:r>
      <w:r w:rsidR="000C46B3" w:rsidRPr="00054244">
        <w:rPr>
          <w:rFonts w:ascii="Arial" w:hAnsi="Arial" w:cs="Arial"/>
          <w:color w:val="000000"/>
          <w:sz w:val="20"/>
          <w:szCs w:val="20"/>
        </w:rPr>
        <w:t>, Telekommunikation, Parkierung, Photovoltaik, Straßenbeleuchtung, Wärme, ÖPNV und Dienstleistungen.</w:t>
      </w: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43388125" w:rsidR="005D3D1E" w:rsidRPr="008457BE" w:rsidRDefault="005D3D1E" w:rsidP="007B0E5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7B0E5E" w:rsidRPr="007B0E5E">
              <w:rPr>
                <w:rFonts w:ascii="Arial" w:hAnsi="Arial" w:cs="Calibri"/>
                <w:sz w:val="16"/>
                <w:szCs w:val="26"/>
                <w:lang w:eastAsia="de-DE"/>
              </w:rPr>
              <w:t>Drakestraße</w:t>
            </w:r>
            <w:proofErr w:type="spellEnd"/>
            <w:r w:rsidR="007B0E5E" w:rsidRPr="007B0E5E">
              <w:rPr>
                <w:rFonts w:ascii="Arial" w:hAnsi="Arial" w:cs="Calibri"/>
                <w:sz w:val="16"/>
                <w:szCs w:val="26"/>
                <w:lang w:eastAsia="de-DE"/>
              </w:rPr>
              <w:t xml:space="preserve"> 24 </w:t>
            </w:r>
            <w:r w:rsidR="007B0E5E">
              <w:rPr>
                <w:rFonts w:ascii="Arial" w:hAnsi="Arial" w:cs="Calibri"/>
                <w:sz w:val="16"/>
                <w:szCs w:val="26"/>
                <w:lang w:eastAsia="de-DE"/>
              </w:rPr>
              <w:t>–</w:t>
            </w:r>
            <w:r w:rsidR="007B0E5E"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1393E74" w14:textId="626BDC51" w:rsidR="001E3CB7" w:rsidRPr="005D3D1E" w:rsidRDefault="001E3CB7" w:rsidP="001E3CB7">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F4188B">
        <w:rPr>
          <w:rFonts w:ascii="Arial" w:hAnsi="Arial" w:cs="Calibri"/>
          <w:sz w:val="16"/>
          <w:szCs w:val="26"/>
          <w:lang w:eastAsia="de-DE"/>
        </w:rPr>
        <w:t xml:space="preserve"> und</w:t>
      </w:r>
      <w:r>
        <w:rPr>
          <w:rFonts w:ascii="Arial" w:hAnsi="Arial" w:cs="Calibri"/>
          <w:sz w:val="16"/>
          <w:szCs w:val="26"/>
          <w:lang w:eastAsia="de-DE"/>
        </w:rPr>
        <w:t xml:space="preserve">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778ED4" w14:textId="77777777" w:rsidR="00BE3481" w:rsidRDefault="00BE3481" w:rsidP="00BF70FE">
      <w:pPr>
        <w:spacing w:after="0" w:line="240" w:lineRule="auto"/>
      </w:pPr>
      <w:r>
        <w:separator/>
      </w:r>
    </w:p>
  </w:endnote>
  <w:endnote w:type="continuationSeparator" w:id="0">
    <w:p w14:paraId="5F326B3D" w14:textId="77777777" w:rsidR="00BE3481" w:rsidRDefault="00BE348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66D4DE" w14:textId="77777777" w:rsidR="00BE3481" w:rsidRDefault="00BE3481" w:rsidP="00BF70FE">
      <w:pPr>
        <w:spacing w:after="0" w:line="240" w:lineRule="auto"/>
      </w:pPr>
      <w:r>
        <w:separator/>
      </w:r>
    </w:p>
  </w:footnote>
  <w:footnote w:type="continuationSeparator" w:id="0">
    <w:p w14:paraId="2DD96199" w14:textId="77777777" w:rsidR="00BE3481" w:rsidRDefault="00BE348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B8A"/>
    <w:rsid w:val="00054244"/>
    <w:rsid w:val="0006200B"/>
    <w:rsid w:val="00065270"/>
    <w:rsid w:val="000655B7"/>
    <w:rsid w:val="00065961"/>
    <w:rsid w:val="000678EA"/>
    <w:rsid w:val="0007688A"/>
    <w:rsid w:val="00076CE4"/>
    <w:rsid w:val="000823CF"/>
    <w:rsid w:val="000A1E6B"/>
    <w:rsid w:val="000A4C5E"/>
    <w:rsid w:val="000A4C93"/>
    <w:rsid w:val="000C46B3"/>
    <w:rsid w:val="000C4746"/>
    <w:rsid w:val="000D4DE3"/>
    <w:rsid w:val="000E087D"/>
    <w:rsid w:val="000E7CE7"/>
    <w:rsid w:val="000F2111"/>
    <w:rsid w:val="000F4F9D"/>
    <w:rsid w:val="0010198B"/>
    <w:rsid w:val="00104674"/>
    <w:rsid w:val="00106821"/>
    <w:rsid w:val="00131142"/>
    <w:rsid w:val="0013234F"/>
    <w:rsid w:val="00132DC4"/>
    <w:rsid w:val="00135237"/>
    <w:rsid w:val="00157861"/>
    <w:rsid w:val="00181FBB"/>
    <w:rsid w:val="00187FC7"/>
    <w:rsid w:val="001A14A1"/>
    <w:rsid w:val="001C51EC"/>
    <w:rsid w:val="001D2FB7"/>
    <w:rsid w:val="001E3CB7"/>
    <w:rsid w:val="001E6755"/>
    <w:rsid w:val="001E6F47"/>
    <w:rsid w:val="001F293E"/>
    <w:rsid w:val="00205941"/>
    <w:rsid w:val="00207A9F"/>
    <w:rsid w:val="00213AF7"/>
    <w:rsid w:val="00221777"/>
    <w:rsid w:val="00237217"/>
    <w:rsid w:val="00255BB8"/>
    <w:rsid w:val="00262A08"/>
    <w:rsid w:val="00265589"/>
    <w:rsid w:val="002745F8"/>
    <w:rsid w:val="002757A3"/>
    <w:rsid w:val="0028558F"/>
    <w:rsid w:val="002A7D5D"/>
    <w:rsid w:val="002A7E29"/>
    <w:rsid w:val="002B36BE"/>
    <w:rsid w:val="002B3E9E"/>
    <w:rsid w:val="002D5B66"/>
    <w:rsid w:val="002D6045"/>
    <w:rsid w:val="002E0481"/>
    <w:rsid w:val="002E33BB"/>
    <w:rsid w:val="002F1BFF"/>
    <w:rsid w:val="0030091A"/>
    <w:rsid w:val="00304113"/>
    <w:rsid w:val="00314048"/>
    <w:rsid w:val="003274D8"/>
    <w:rsid w:val="00341A34"/>
    <w:rsid w:val="0035048A"/>
    <w:rsid w:val="0035256E"/>
    <w:rsid w:val="00362AE7"/>
    <w:rsid w:val="00394D5C"/>
    <w:rsid w:val="003953CA"/>
    <w:rsid w:val="003A3B30"/>
    <w:rsid w:val="003A6602"/>
    <w:rsid w:val="003B1A9C"/>
    <w:rsid w:val="003B4407"/>
    <w:rsid w:val="003B6004"/>
    <w:rsid w:val="003B69BD"/>
    <w:rsid w:val="003C0B6F"/>
    <w:rsid w:val="003C475B"/>
    <w:rsid w:val="003D63AC"/>
    <w:rsid w:val="003D7AC5"/>
    <w:rsid w:val="003E1E07"/>
    <w:rsid w:val="00402F7C"/>
    <w:rsid w:val="00406C69"/>
    <w:rsid w:val="00406EFB"/>
    <w:rsid w:val="004112BE"/>
    <w:rsid w:val="004137FD"/>
    <w:rsid w:val="00427AD2"/>
    <w:rsid w:val="004422BD"/>
    <w:rsid w:val="004467C0"/>
    <w:rsid w:val="004540FC"/>
    <w:rsid w:val="00454989"/>
    <w:rsid w:val="004638B5"/>
    <w:rsid w:val="00463FE6"/>
    <w:rsid w:val="00465CBB"/>
    <w:rsid w:val="004713E0"/>
    <w:rsid w:val="004810F6"/>
    <w:rsid w:val="00497AEF"/>
    <w:rsid w:val="004B0D7E"/>
    <w:rsid w:val="004F5892"/>
    <w:rsid w:val="00521E6A"/>
    <w:rsid w:val="0053379A"/>
    <w:rsid w:val="00556FEE"/>
    <w:rsid w:val="005577A0"/>
    <w:rsid w:val="00557F58"/>
    <w:rsid w:val="00565D15"/>
    <w:rsid w:val="00576A90"/>
    <w:rsid w:val="00576E59"/>
    <w:rsid w:val="00582ECD"/>
    <w:rsid w:val="005926D7"/>
    <w:rsid w:val="005958C2"/>
    <w:rsid w:val="00596BC4"/>
    <w:rsid w:val="005B2C0D"/>
    <w:rsid w:val="005D3D1E"/>
    <w:rsid w:val="005F63B7"/>
    <w:rsid w:val="00630497"/>
    <w:rsid w:val="00633111"/>
    <w:rsid w:val="00640EED"/>
    <w:rsid w:val="00650109"/>
    <w:rsid w:val="006563BE"/>
    <w:rsid w:val="00664FF9"/>
    <w:rsid w:val="006663C8"/>
    <w:rsid w:val="00681349"/>
    <w:rsid w:val="006824CB"/>
    <w:rsid w:val="00682686"/>
    <w:rsid w:val="00682E83"/>
    <w:rsid w:val="006847AC"/>
    <w:rsid w:val="006A652B"/>
    <w:rsid w:val="006D38DD"/>
    <w:rsid w:val="006F2189"/>
    <w:rsid w:val="00705635"/>
    <w:rsid w:val="00712F91"/>
    <w:rsid w:val="00714AB5"/>
    <w:rsid w:val="00715711"/>
    <w:rsid w:val="007162A5"/>
    <w:rsid w:val="007169F8"/>
    <w:rsid w:val="00726D0D"/>
    <w:rsid w:val="00732F57"/>
    <w:rsid w:val="00742C79"/>
    <w:rsid w:val="00751621"/>
    <w:rsid w:val="00752985"/>
    <w:rsid w:val="00753CE4"/>
    <w:rsid w:val="007543B9"/>
    <w:rsid w:val="00764363"/>
    <w:rsid w:val="00766B7A"/>
    <w:rsid w:val="007749DD"/>
    <w:rsid w:val="007768B7"/>
    <w:rsid w:val="00780026"/>
    <w:rsid w:val="00785A83"/>
    <w:rsid w:val="00785BC8"/>
    <w:rsid w:val="007B0E5E"/>
    <w:rsid w:val="007B40BC"/>
    <w:rsid w:val="007E4D6B"/>
    <w:rsid w:val="007F32B3"/>
    <w:rsid w:val="007F3F43"/>
    <w:rsid w:val="00803966"/>
    <w:rsid w:val="00822F51"/>
    <w:rsid w:val="008457BE"/>
    <w:rsid w:val="00860C87"/>
    <w:rsid w:val="00872E24"/>
    <w:rsid w:val="008C3262"/>
    <w:rsid w:val="00915DD5"/>
    <w:rsid w:val="00937B5E"/>
    <w:rsid w:val="0094694E"/>
    <w:rsid w:val="00953399"/>
    <w:rsid w:val="0095460E"/>
    <w:rsid w:val="00972598"/>
    <w:rsid w:val="0098474D"/>
    <w:rsid w:val="00993991"/>
    <w:rsid w:val="009A5414"/>
    <w:rsid w:val="009B04A2"/>
    <w:rsid w:val="009C0CE4"/>
    <w:rsid w:val="009E6B35"/>
    <w:rsid w:val="009F0C3D"/>
    <w:rsid w:val="00A22923"/>
    <w:rsid w:val="00A25183"/>
    <w:rsid w:val="00A257D2"/>
    <w:rsid w:val="00A32BA5"/>
    <w:rsid w:val="00A339B3"/>
    <w:rsid w:val="00A409A1"/>
    <w:rsid w:val="00A461EC"/>
    <w:rsid w:val="00A462DC"/>
    <w:rsid w:val="00A549CB"/>
    <w:rsid w:val="00A551F1"/>
    <w:rsid w:val="00A55C3C"/>
    <w:rsid w:val="00A56E5A"/>
    <w:rsid w:val="00A71BF1"/>
    <w:rsid w:val="00A8365C"/>
    <w:rsid w:val="00A86E2E"/>
    <w:rsid w:val="00AB23C8"/>
    <w:rsid w:val="00AC6091"/>
    <w:rsid w:val="00AD08BE"/>
    <w:rsid w:val="00AD4250"/>
    <w:rsid w:val="00B11CFE"/>
    <w:rsid w:val="00B27B9D"/>
    <w:rsid w:val="00B43DB2"/>
    <w:rsid w:val="00B46CF9"/>
    <w:rsid w:val="00B47F46"/>
    <w:rsid w:val="00B71C92"/>
    <w:rsid w:val="00B753D5"/>
    <w:rsid w:val="00B819A5"/>
    <w:rsid w:val="00B857E2"/>
    <w:rsid w:val="00B96701"/>
    <w:rsid w:val="00BA51BE"/>
    <w:rsid w:val="00BB3C47"/>
    <w:rsid w:val="00BC1CCE"/>
    <w:rsid w:val="00BC3A66"/>
    <w:rsid w:val="00BE3481"/>
    <w:rsid w:val="00BE3C7C"/>
    <w:rsid w:val="00BF3BB4"/>
    <w:rsid w:val="00BF3DDF"/>
    <w:rsid w:val="00BF70FE"/>
    <w:rsid w:val="00C27553"/>
    <w:rsid w:val="00C32033"/>
    <w:rsid w:val="00C424EF"/>
    <w:rsid w:val="00C52268"/>
    <w:rsid w:val="00C61B5D"/>
    <w:rsid w:val="00C6235A"/>
    <w:rsid w:val="00C74157"/>
    <w:rsid w:val="00C84CCA"/>
    <w:rsid w:val="00C91823"/>
    <w:rsid w:val="00CB2102"/>
    <w:rsid w:val="00CB3800"/>
    <w:rsid w:val="00CC44E9"/>
    <w:rsid w:val="00CC4D60"/>
    <w:rsid w:val="00CD3EF6"/>
    <w:rsid w:val="00CD490F"/>
    <w:rsid w:val="00CD5183"/>
    <w:rsid w:val="00CF04AC"/>
    <w:rsid w:val="00D02991"/>
    <w:rsid w:val="00D1662C"/>
    <w:rsid w:val="00D16EBD"/>
    <w:rsid w:val="00D20803"/>
    <w:rsid w:val="00D2582F"/>
    <w:rsid w:val="00D27A64"/>
    <w:rsid w:val="00D429BE"/>
    <w:rsid w:val="00D45085"/>
    <w:rsid w:val="00D52A64"/>
    <w:rsid w:val="00D572B9"/>
    <w:rsid w:val="00D63982"/>
    <w:rsid w:val="00D64707"/>
    <w:rsid w:val="00D7666E"/>
    <w:rsid w:val="00D85B12"/>
    <w:rsid w:val="00D9728A"/>
    <w:rsid w:val="00DA183D"/>
    <w:rsid w:val="00DB7E36"/>
    <w:rsid w:val="00DC1341"/>
    <w:rsid w:val="00DC2EE2"/>
    <w:rsid w:val="00DE4605"/>
    <w:rsid w:val="00DF3864"/>
    <w:rsid w:val="00DF581E"/>
    <w:rsid w:val="00E14982"/>
    <w:rsid w:val="00E20A29"/>
    <w:rsid w:val="00E26B5E"/>
    <w:rsid w:val="00E3135E"/>
    <w:rsid w:val="00E37F9E"/>
    <w:rsid w:val="00E40C42"/>
    <w:rsid w:val="00E478B7"/>
    <w:rsid w:val="00E570C4"/>
    <w:rsid w:val="00E60782"/>
    <w:rsid w:val="00E60990"/>
    <w:rsid w:val="00E6120F"/>
    <w:rsid w:val="00E64CFD"/>
    <w:rsid w:val="00E704E3"/>
    <w:rsid w:val="00E73FD3"/>
    <w:rsid w:val="00E833E9"/>
    <w:rsid w:val="00E835B3"/>
    <w:rsid w:val="00E92706"/>
    <w:rsid w:val="00E960D2"/>
    <w:rsid w:val="00E96682"/>
    <w:rsid w:val="00EA337B"/>
    <w:rsid w:val="00EB6A45"/>
    <w:rsid w:val="00ED3254"/>
    <w:rsid w:val="00ED48B5"/>
    <w:rsid w:val="00EE0D3C"/>
    <w:rsid w:val="00EF4362"/>
    <w:rsid w:val="00F02294"/>
    <w:rsid w:val="00F36DE3"/>
    <w:rsid w:val="00F4188B"/>
    <w:rsid w:val="00F60AEE"/>
    <w:rsid w:val="00F66C89"/>
    <w:rsid w:val="00F66CAF"/>
    <w:rsid w:val="00F80BB7"/>
    <w:rsid w:val="00F875B4"/>
    <w:rsid w:val="00F91B9F"/>
    <w:rsid w:val="00F94262"/>
    <w:rsid w:val="00F94264"/>
    <w:rsid w:val="00F965C4"/>
    <w:rsid w:val="00FB447B"/>
    <w:rsid w:val="00FB53D9"/>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3724</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2020-03-26T11:48:00Z</cp:lastPrinted>
  <dcterms:created xsi:type="dcterms:W3CDTF">2020-03-26T14:57:00Z</dcterms:created>
  <dcterms:modified xsi:type="dcterms:W3CDTF">2020-03-27T07:17:00Z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