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4710F9" w14:textId="777777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17630CE2" w14:textId="77777777" w:rsidR="009E6E2D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543FC36E" w14:textId="167B1388" w:rsidR="009E6E2D" w:rsidRPr="001448F5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Berlin/Backnang</w:t>
      </w:r>
      <w:r w:rsidRPr="000655B7">
        <w:rPr>
          <w:rFonts w:ascii="Arial" w:hAnsi="Arial" w:cs="Arial"/>
          <w:color w:val="000000"/>
        </w:rPr>
        <w:t xml:space="preserve">, </w:t>
      </w:r>
      <w:r w:rsidR="0019751A">
        <w:rPr>
          <w:rFonts w:ascii="Arial" w:hAnsi="Arial" w:cs="Arial"/>
          <w:color w:val="000000"/>
        </w:rPr>
        <w:t>2</w:t>
      </w:r>
      <w:r w:rsidR="007D40CD">
        <w:rPr>
          <w:rFonts w:ascii="Arial" w:hAnsi="Arial" w:cs="Arial"/>
          <w:color w:val="000000"/>
        </w:rPr>
        <w:t>2</w:t>
      </w:r>
      <w:r w:rsidRPr="000655B7">
        <w:rPr>
          <w:rFonts w:ascii="Arial" w:hAnsi="Arial" w:cs="Arial"/>
          <w:color w:val="000000"/>
        </w:rPr>
        <w:t xml:space="preserve">. </w:t>
      </w:r>
      <w:r>
        <w:rPr>
          <w:rFonts w:ascii="Arial" w:hAnsi="Arial" w:cs="Arial"/>
          <w:color w:val="000000"/>
        </w:rPr>
        <w:t>Oktober</w:t>
      </w:r>
      <w:r w:rsidRPr="000655B7">
        <w:rPr>
          <w:rFonts w:ascii="Arial" w:hAnsi="Arial" w:cs="Arial"/>
          <w:color w:val="000000"/>
        </w:rPr>
        <w:t xml:space="preserve"> 201</w:t>
      </w:r>
      <w:r>
        <w:rPr>
          <w:rFonts w:ascii="Arial" w:hAnsi="Arial" w:cs="Arial"/>
          <w:color w:val="000000"/>
        </w:rPr>
        <w:t>9</w:t>
      </w:r>
    </w:p>
    <w:p w14:paraId="2D39315F" w14:textId="77777777" w:rsidR="009E6E2D" w:rsidRPr="000655B7" w:rsidRDefault="009E6E2D" w:rsidP="009E6E2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7693AE5B" w14:textId="41819DAD" w:rsidR="00E257D0" w:rsidRPr="00EB23CD" w:rsidRDefault="00E25CE4" w:rsidP="001448F5">
      <w:pPr>
        <w:autoSpaceDE w:val="0"/>
        <w:autoSpaceDN w:val="0"/>
        <w:adjustRightInd w:val="0"/>
        <w:spacing w:after="0" w:line="312" w:lineRule="auto"/>
        <w:ind w:right="-2268"/>
        <w:rPr>
          <w:rFonts w:ascii="Arial" w:hAnsi="Arial" w:cs="Arial"/>
          <w:b/>
          <w:color w:val="000000"/>
          <w:spacing w:val="4"/>
          <w:sz w:val="28"/>
          <w:szCs w:val="28"/>
        </w:rPr>
      </w:pPr>
      <w:bookmarkStart w:id="0" w:name="OLE_LINK1"/>
      <w:bookmarkStart w:id="1" w:name="OLE_LINK2"/>
      <w:r w:rsidRPr="00EB23CD">
        <w:rPr>
          <w:rFonts w:ascii="Arial" w:hAnsi="Arial" w:cs="Arial"/>
          <w:b/>
          <w:color w:val="000000"/>
          <w:spacing w:val="4"/>
          <w:sz w:val="28"/>
          <w:szCs w:val="28"/>
        </w:rPr>
        <w:t>Förderb</w:t>
      </w:r>
      <w:r w:rsidR="00E257D0" w:rsidRPr="00EB23CD">
        <w:rPr>
          <w:rFonts w:ascii="Arial" w:hAnsi="Arial" w:cs="Arial"/>
          <w:b/>
          <w:color w:val="000000"/>
          <w:spacing w:val="4"/>
          <w:sz w:val="28"/>
          <w:szCs w:val="28"/>
        </w:rPr>
        <w:t xml:space="preserve">eratung </w:t>
      </w:r>
      <w:r w:rsidR="00432379" w:rsidRPr="00EB23CD">
        <w:rPr>
          <w:rFonts w:ascii="Arial" w:hAnsi="Arial" w:cs="Arial"/>
          <w:b/>
          <w:color w:val="000000"/>
          <w:spacing w:val="4"/>
          <w:sz w:val="28"/>
          <w:szCs w:val="28"/>
        </w:rPr>
        <w:t xml:space="preserve">für </w:t>
      </w:r>
      <w:r w:rsidR="00D46C5D" w:rsidRPr="00EB23CD">
        <w:rPr>
          <w:rFonts w:ascii="Arial" w:hAnsi="Arial" w:cs="Arial"/>
          <w:b/>
          <w:color w:val="000000"/>
          <w:spacing w:val="4"/>
          <w:sz w:val="28"/>
          <w:szCs w:val="28"/>
        </w:rPr>
        <w:t xml:space="preserve">174 </w:t>
      </w:r>
      <w:r w:rsidR="00E257D0" w:rsidRPr="00EB23CD">
        <w:rPr>
          <w:rFonts w:ascii="Arial" w:hAnsi="Arial" w:cs="Arial"/>
          <w:b/>
          <w:color w:val="000000"/>
          <w:spacing w:val="4"/>
          <w:sz w:val="28"/>
          <w:szCs w:val="28"/>
        </w:rPr>
        <w:t xml:space="preserve">Städte, Kommunen </w:t>
      </w:r>
      <w:r w:rsidR="00E257D0" w:rsidRPr="00EB23CD">
        <w:rPr>
          <w:rFonts w:ascii="Arial" w:hAnsi="Arial" w:cs="Arial"/>
          <w:b/>
          <w:color w:val="000000"/>
          <w:spacing w:val="4"/>
          <w:sz w:val="28"/>
          <w:szCs w:val="28"/>
        </w:rPr>
        <w:br/>
        <w:t xml:space="preserve">und Zweckverbände der Gigabit Region Stuttgart </w:t>
      </w:r>
    </w:p>
    <w:bookmarkEnd w:id="0"/>
    <w:bookmarkEnd w:id="1"/>
    <w:p w14:paraId="5B235072" w14:textId="0B5AC07F" w:rsidR="00536307" w:rsidRPr="00EB23CD" w:rsidRDefault="00391BA4" w:rsidP="001448F5">
      <w:pPr>
        <w:autoSpaceDE w:val="0"/>
        <w:autoSpaceDN w:val="0"/>
        <w:adjustRightInd w:val="0"/>
        <w:spacing w:before="60" w:after="0" w:line="360" w:lineRule="auto"/>
        <w:ind w:right="-1843"/>
        <w:rPr>
          <w:rFonts w:ascii="Arial" w:hAnsi="Arial" w:cs="Tahoma"/>
          <w:b/>
          <w:spacing w:val="2"/>
          <w:sz w:val="20"/>
          <w:szCs w:val="20"/>
        </w:rPr>
      </w:pPr>
      <w:proofErr w:type="spellStart"/>
      <w:r w:rsidRPr="00EB23CD">
        <w:rPr>
          <w:rFonts w:ascii="Arial" w:hAnsi="Arial" w:cs="Tahoma"/>
          <w:b/>
          <w:spacing w:val="2"/>
          <w:sz w:val="20"/>
          <w:szCs w:val="20"/>
        </w:rPr>
        <w:t>tktVivax</w:t>
      </w:r>
      <w:proofErr w:type="spellEnd"/>
      <w:r w:rsidRPr="00EB23CD">
        <w:rPr>
          <w:rFonts w:ascii="Arial" w:hAnsi="Arial" w:cs="Tahoma"/>
          <w:b/>
          <w:spacing w:val="2"/>
          <w:sz w:val="20"/>
          <w:szCs w:val="20"/>
        </w:rPr>
        <w:t xml:space="preserve"> ist Rahmenvertragspartner </w:t>
      </w:r>
      <w:r w:rsidR="00D23A2E" w:rsidRPr="00EB23CD">
        <w:rPr>
          <w:rFonts w:ascii="Arial" w:hAnsi="Arial" w:cs="Tahoma"/>
          <w:b/>
          <w:spacing w:val="2"/>
          <w:sz w:val="20"/>
          <w:szCs w:val="20"/>
        </w:rPr>
        <w:t xml:space="preserve">für Beratungsleistungen rund um </w:t>
      </w:r>
      <w:r w:rsidR="00D23A2E" w:rsidRPr="00EB23CD">
        <w:rPr>
          <w:rFonts w:ascii="Arial" w:hAnsi="Arial" w:cs="Tahoma"/>
          <w:b/>
          <w:spacing w:val="2"/>
          <w:sz w:val="20"/>
          <w:szCs w:val="20"/>
        </w:rPr>
        <w:br/>
        <w:t xml:space="preserve">den </w:t>
      </w:r>
      <w:r w:rsidR="00F01519" w:rsidRPr="00EB23CD">
        <w:rPr>
          <w:rFonts w:ascii="Arial" w:hAnsi="Arial" w:cs="Tahoma"/>
          <w:b/>
          <w:spacing w:val="2"/>
          <w:sz w:val="20"/>
          <w:szCs w:val="20"/>
        </w:rPr>
        <w:t>Glasfaser</w:t>
      </w:r>
      <w:r w:rsidR="00D23A2E" w:rsidRPr="00EB23CD">
        <w:rPr>
          <w:rFonts w:ascii="Arial" w:hAnsi="Arial" w:cs="Tahoma"/>
          <w:b/>
          <w:spacing w:val="2"/>
          <w:sz w:val="20"/>
          <w:szCs w:val="20"/>
        </w:rPr>
        <w:t>ausbau</w:t>
      </w:r>
    </w:p>
    <w:p w14:paraId="70788C72" w14:textId="77777777" w:rsidR="00E25CE4" w:rsidRPr="00E25CE4" w:rsidRDefault="00E25CE4" w:rsidP="00E25CE4">
      <w:pPr>
        <w:autoSpaceDE w:val="0"/>
        <w:autoSpaceDN w:val="0"/>
        <w:adjustRightInd w:val="0"/>
        <w:spacing w:after="0" w:line="360" w:lineRule="auto"/>
        <w:ind w:right="-1843"/>
        <w:rPr>
          <w:rFonts w:ascii="Arial" w:hAnsi="Arial" w:cs="Tahoma"/>
          <w:b/>
          <w:sz w:val="20"/>
          <w:szCs w:val="20"/>
        </w:rPr>
      </w:pPr>
    </w:p>
    <w:p w14:paraId="04C0DC49" w14:textId="10BCB44D" w:rsidR="006B0075" w:rsidRDefault="00A579FB" w:rsidP="000E13BB">
      <w:pPr>
        <w:autoSpaceDE w:val="0"/>
        <w:autoSpaceDN w:val="0"/>
        <w:adjustRightInd w:val="0"/>
        <w:spacing w:line="360" w:lineRule="auto"/>
        <w:ind w:right="-57"/>
        <w:rPr>
          <w:rFonts w:ascii="Arial" w:hAnsi="Arial" w:cs="Arial"/>
          <w:b/>
          <w:bCs/>
          <w:color w:val="000000"/>
          <w:sz w:val="20"/>
          <w:szCs w:val="20"/>
        </w:rPr>
      </w:pPr>
      <w:bookmarkStart w:id="2" w:name="_GoBack"/>
      <w:r w:rsidRPr="00536307">
        <w:rPr>
          <w:rFonts w:ascii="Arial" w:hAnsi="Arial" w:cs="Arial"/>
          <w:b/>
          <w:bCs/>
          <w:color w:val="000000"/>
          <w:sz w:val="20"/>
          <w:szCs w:val="20"/>
        </w:rPr>
        <w:t xml:space="preserve">174 </w:t>
      </w:r>
      <w:r w:rsidR="00B44D4B">
        <w:rPr>
          <w:rFonts w:ascii="Arial" w:hAnsi="Arial" w:cs="Arial"/>
          <w:b/>
          <w:bCs/>
          <w:color w:val="000000"/>
          <w:sz w:val="20"/>
          <w:szCs w:val="20"/>
        </w:rPr>
        <w:t xml:space="preserve">Städte, </w:t>
      </w:r>
      <w:r w:rsidR="00536307" w:rsidRPr="00536307">
        <w:rPr>
          <w:rFonts w:ascii="Arial" w:hAnsi="Arial" w:cs="Arial"/>
          <w:b/>
          <w:bCs/>
          <w:color w:val="000000"/>
          <w:sz w:val="20"/>
          <w:szCs w:val="20"/>
        </w:rPr>
        <w:t>Kommunen</w:t>
      </w:r>
      <w:r w:rsidR="00AA68D5">
        <w:rPr>
          <w:rFonts w:ascii="Arial" w:hAnsi="Arial" w:cs="Arial"/>
          <w:b/>
          <w:bCs/>
          <w:color w:val="000000"/>
          <w:sz w:val="20"/>
          <w:szCs w:val="20"/>
        </w:rPr>
        <w:t>, Gemeinden</w:t>
      </w:r>
      <w:r w:rsidR="00536307" w:rsidRPr="00536307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B44D4B">
        <w:rPr>
          <w:rFonts w:ascii="Arial" w:hAnsi="Arial" w:cs="Arial"/>
          <w:b/>
          <w:bCs/>
          <w:color w:val="000000"/>
          <w:sz w:val="20"/>
          <w:szCs w:val="20"/>
        </w:rPr>
        <w:t xml:space="preserve">und Zweckverbände </w:t>
      </w:r>
      <w:r w:rsidRPr="00536307">
        <w:rPr>
          <w:rFonts w:ascii="Arial" w:hAnsi="Arial" w:cs="Arial"/>
          <w:b/>
          <w:bCs/>
          <w:color w:val="000000"/>
          <w:sz w:val="20"/>
          <w:szCs w:val="20"/>
        </w:rPr>
        <w:t xml:space="preserve">der Gigabit Region Stuttgart können ab sofort </w:t>
      </w:r>
      <w:r w:rsidR="00004D30">
        <w:rPr>
          <w:rFonts w:ascii="Arial" w:hAnsi="Arial" w:cs="Arial"/>
          <w:b/>
          <w:bCs/>
          <w:color w:val="000000"/>
          <w:sz w:val="20"/>
          <w:szCs w:val="20"/>
        </w:rPr>
        <w:t xml:space="preserve">professionelle </w:t>
      </w:r>
      <w:r w:rsidR="00D46C5D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536307">
        <w:rPr>
          <w:rFonts w:ascii="Arial" w:hAnsi="Arial" w:cs="Arial"/>
          <w:b/>
          <w:bCs/>
          <w:color w:val="000000"/>
          <w:sz w:val="20"/>
          <w:szCs w:val="20"/>
        </w:rPr>
        <w:t>eratungs</w:t>
      </w:r>
      <w:r w:rsidR="00432379">
        <w:rPr>
          <w:rFonts w:ascii="Arial" w:hAnsi="Arial" w:cs="Arial"/>
          <w:b/>
          <w:bCs/>
          <w:color w:val="000000"/>
          <w:sz w:val="20"/>
          <w:szCs w:val="20"/>
        </w:rPr>
        <w:t>unterstützung</w:t>
      </w:r>
      <w:r w:rsidR="00114025">
        <w:rPr>
          <w:rFonts w:ascii="Arial" w:hAnsi="Arial" w:cs="Arial"/>
          <w:b/>
          <w:bCs/>
          <w:color w:val="000000"/>
          <w:sz w:val="20"/>
          <w:szCs w:val="20"/>
        </w:rPr>
        <w:t xml:space="preserve"> für </w:t>
      </w:r>
      <w:r w:rsidRPr="00536307">
        <w:rPr>
          <w:rFonts w:ascii="Arial" w:hAnsi="Arial" w:cs="Arial"/>
          <w:b/>
          <w:bCs/>
          <w:color w:val="000000"/>
          <w:sz w:val="20"/>
          <w:szCs w:val="20"/>
        </w:rPr>
        <w:t xml:space="preserve">den </w:t>
      </w:r>
      <w:r w:rsidR="004165B1">
        <w:rPr>
          <w:rFonts w:ascii="Arial" w:hAnsi="Arial" w:cs="Arial"/>
          <w:b/>
          <w:bCs/>
          <w:color w:val="000000"/>
          <w:sz w:val="20"/>
          <w:szCs w:val="20"/>
        </w:rPr>
        <w:t>Breitband</w:t>
      </w:r>
      <w:r w:rsidR="004165B1" w:rsidRPr="00536307">
        <w:rPr>
          <w:rFonts w:ascii="Arial" w:hAnsi="Arial" w:cs="Arial"/>
          <w:b/>
          <w:bCs/>
          <w:color w:val="000000"/>
          <w:sz w:val="20"/>
          <w:szCs w:val="20"/>
        </w:rPr>
        <w:t xml:space="preserve">ausbau </w:t>
      </w:r>
      <w:r w:rsidRPr="00536307">
        <w:rPr>
          <w:rFonts w:ascii="Arial" w:hAnsi="Arial" w:cs="Arial"/>
          <w:b/>
          <w:bCs/>
          <w:color w:val="000000"/>
          <w:sz w:val="20"/>
          <w:szCs w:val="20"/>
        </w:rPr>
        <w:t xml:space="preserve">in Anspruch nehmen. </w:t>
      </w:r>
      <w:r w:rsidR="00536307">
        <w:rPr>
          <w:rFonts w:ascii="Arial" w:hAnsi="Arial" w:cs="Arial"/>
          <w:b/>
          <w:bCs/>
          <w:color w:val="000000"/>
          <w:sz w:val="20"/>
          <w:szCs w:val="20"/>
        </w:rPr>
        <w:t>Möglich macht dies die</w:t>
      </w:r>
      <w:r w:rsidR="004165B1">
        <w:rPr>
          <w:rFonts w:ascii="Arial" w:hAnsi="Arial" w:cs="Arial"/>
          <w:b/>
          <w:bCs/>
          <w:color w:val="000000"/>
          <w:sz w:val="20"/>
          <w:szCs w:val="20"/>
        </w:rPr>
        <w:t xml:space="preserve"> jüngst geschlossene </w:t>
      </w:r>
      <w:r w:rsidR="00004D30">
        <w:rPr>
          <w:rFonts w:ascii="Arial" w:hAnsi="Arial" w:cs="Arial"/>
          <w:b/>
          <w:bCs/>
          <w:color w:val="000000"/>
          <w:sz w:val="20"/>
          <w:szCs w:val="20"/>
        </w:rPr>
        <w:t xml:space="preserve">Rahmenvertragsvereinbarung </w:t>
      </w:r>
      <w:r w:rsidR="00536307">
        <w:rPr>
          <w:rFonts w:ascii="Arial" w:hAnsi="Arial" w:cs="Arial"/>
          <w:b/>
          <w:bCs/>
          <w:color w:val="000000"/>
          <w:sz w:val="20"/>
          <w:szCs w:val="20"/>
        </w:rPr>
        <w:t>mit dem Breitband-</w:t>
      </w:r>
      <w:r w:rsidR="00AA68D5">
        <w:rPr>
          <w:rFonts w:ascii="Arial" w:hAnsi="Arial" w:cs="Arial"/>
          <w:b/>
          <w:bCs/>
          <w:color w:val="000000"/>
          <w:sz w:val="20"/>
          <w:szCs w:val="20"/>
        </w:rPr>
        <w:t xml:space="preserve">Experten </w:t>
      </w:r>
      <w:proofErr w:type="spellStart"/>
      <w:r w:rsidR="0025070A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25070A">
        <w:rPr>
          <w:rFonts w:ascii="Arial" w:hAnsi="Arial" w:cs="Arial"/>
          <w:b/>
          <w:bCs/>
          <w:color w:val="000000"/>
          <w:sz w:val="20"/>
          <w:szCs w:val="20"/>
        </w:rPr>
        <w:t xml:space="preserve">, der mit umfangreichen Services </w:t>
      </w:r>
      <w:r w:rsidR="00E25CE4">
        <w:rPr>
          <w:rFonts w:ascii="Arial" w:hAnsi="Arial" w:cs="Arial"/>
          <w:b/>
          <w:bCs/>
          <w:color w:val="000000"/>
          <w:sz w:val="20"/>
          <w:szCs w:val="20"/>
        </w:rPr>
        <w:t xml:space="preserve">nicht nur </w:t>
      </w:r>
      <w:r w:rsidR="0025070A">
        <w:rPr>
          <w:rFonts w:ascii="Arial" w:hAnsi="Arial" w:cs="Arial"/>
          <w:b/>
          <w:bCs/>
          <w:color w:val="000000"/>
          <w:sz w:val="20"/>
          <w:szCs w:val="20"/>
        </w:rPr>
        <w:t>die Beantragung von Fördermitteln erleichter</w:t>
      </w:r>
      <w:r w:rsidR="000950DC">
        <w:rPr>
          <w:rFonts w:ascii="Arial" w:hAnsi="Arial" w:cs="Arial"/>
          <w:b/>
          <w:bCs/>
          <w:color w:val="000000"/>
          <w:sz w:val="20"/>
          <w:szCs w:val="20"/>
        </w:rPr>
        <w:t xml:space="preserve">t, sondern auch </w:t>
      </w:r>
      <w:r w:rsidR="00A87E76">
        <w:rPr>
          <w:rFonts w:ascii="Arial" w:hAnsi="Arial" w:cs="Arial"/>
          <w:b/>
          <w:bCs/>
          <w:color w:val="000000"/>
          <w:sz w:val="20"/>
          <w:szCs w:val="20"/>
        </w:rPr>
        <w:t xml:space="preserve">bei der Umsetzung </w:t>
      </w:r>
      <w:r w:rsidR="00114025">
        <w:rPr>
          <w:rFonts w:ascii="Arial" w:hAnsi="Arial" w:cs="Arial"/>
          <w:b/>
          <w:bCs/>
          <w:color w:val="000000"/>
          <w:sz w:val="20"/>
          <w:szCs w:val="20"/>
        </w:rPr>
        <w:t xml:space="preserve">unterstützend </w:t>
      </w:r>
      <w:r w:rsidR="00A87E76">
        <w:rPr>
          <w:rFonts w:ascii="Arial" w:hAnsi="Arial" w:cs="Arial"/>
          <w:b/>
          <w:bCs/>
          <w:color w:val="000000"/>
          <w:sz w:val="20"/>
          <w:szCs w:val="20"/>
        </w:rPr>
        <w:t>beiseite steht</w:t>
      </w:r>
      <w:r w:rsidR="00191218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114025">
        <w:rPr>
          <w:rFonts w:ascii="Arial" w:hAnsi="Arial" w:cs="Arial"/>
          <w:b/>
          <w:bCs/>
          <w:color w:val="000000"/>
          <w:sz w:val="20"/>
          <w:szCs w:val="20"/>
        </w:rPr>
        <w:t xml:space="preserve">Hierzu gehören die Beratung in allen Punkten des von Bund und Land </w:t>
      </w:r>
      <w:r w:rsidR="000E13BB">
        <w:rPr>
          <w:rFonts w:ascii="Arial" w:hAnsi="Arial" w:cs="Arial"/>
          <w:b/>
          <w:bCs/>
          <w:color w:val="000000"/>
          <w:sz w:val="20"/>
          <w:szCs w:val="20"/>
        </w:rPr>
        <w:t xml:space="preserve">finanzierten Förderprogramms </w:t>
      </w:r>
      <w:r w:rsidR="006B0075">
        <w:rPr>
          <w:rFonts w:ascii="Arial" w:hAnsi="Arial" w:cs="Arial"/>
          <w:b/>
          <w:bCs/>
          <w:color w:val="000000"/>
          <w:sz w:val="20"/>
          <w:szCs w:val="20"/>
        </w:rPr>
        <w:t xml:space="preserve">ebenso wie die komplette Betreuung über alle </w:t>
      </w:r>
      <w:r w:rsidR="00B44D4B">
        <w:rPr>
          <w:rFonts w:ascii="Arial" w:hAnsi="Arial" w:cs="Arial"/>
          <w:b/>
          <w:bCs/>
          <w:color w:val="000000"/>
          <w:sz w:val="20"/>
          <w:szCs w:val="20"/>
        </w:rPr>
        <w:t>P</w:t>
      </w:r>
      <w:r w:rsidR="006B0075">
        <w:rPr>
          <w:rFonts w:ascii="Arial" w:hAnsi="Arial" w:cs="Arial"/>
          <w:b/>
          <w:bCs/>
          <w:color w:val="000000"/>
          <w:sz w:val="20"/>
          <w:szCs w:val="20"/>
        </w:rPr>
        <w:t>hasen der Au</w:t>
      </w:r>
      <w:r w:rsidR="007D40CD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="006B0075">
        <w:rPr>
          <w:rFonts w:ascii="Arial" w:hAnsi="Arial" w:cs="Arial"/>
          <w:b/>
          <w:bCs/>
          <w:color w:val="000000"/>
          <w:sz w:val="20"/>
          <w:szCs w:val="20"/>
        </w:rPr>
        <w:t xml:space="preserve">schreibungs- und Vergabeverfahren hinweg. „Wir </w:t>
      </w:r>
      <w:r w:rsidR="00B44D4B">
        <w:rPr>
          <w:rFonts w:ascii="Arial" w:hAnsi="Arial" w:cs="Arial"/>
          <w:b/>
          <w:bCs/>
          <w:color w:val="000000"/>
          <w:sz w:val="20"/>
          <w:szCs w:val="20"/>
        </w:rPr>
        <w:t xml:space="preserve">freuen uns sehr, dass sich die </w:t>
      </w:r>
      <w:r w:rsidR="006B0075">
        <w:rPr>
          <w:rFonts w:ascii="Arial" w:hAnsi="Arial" w:cs="Arial"/>
          <w:b/>
          <w:bCs/>
          <w:color w:val="000000"/>
          <w:sz w:val="20"/>
          <w:szCs w:val="20"/>
        </w:rPr>
        <w:t xml:space="preserve">Gigabit Region Stuttgart </w:t>
      </w:r>
      <w:r w:rsidR="00B44D4B">
        <w:rPr>
          <w:rFonts w:ascii="Arial" w:hAnsi="Arial" w:cs="Arial"/>
          <w:b/>
          <w:bCs/>
          <w:color w:val="000000"/>
          <w:sz w:val="20"/>
          <w:szCs w:val="20"/>
        </w:rPr>
        <w:t>entschlossen hat, ihren Mitgliedern unser Beratungs-Know-how zur Verfügung zu stellen</w:t>
      </w:r>
      <w:r w:rsidR="00A55EBE">
        <w:rPr>
          <w:rFonts w:ascii="Arial" w:hAnsi="Arial" w:cs="Arial"/>
          <w:b/>
          <w:bCs/>
          <w:color w:val="000000"/>
          <w:sz w:val="20"/>
          <w:szCs w:val="20"/>
        </w:rPr>
        <w:t xml:space="preserve">. Auf diese Weise können sie </w:t>
      </w:r>
      <w:r w:rsidR="00F82711">
        <w:rPr>
          <w:rFonts w:ascii="Arial" w:hAnsi="Arial" w:cs="Arial"/>
          <w:b/>
          <w:bCs/>
          <w:color w:val="000000"/>
          <w:sz w:val="20"/>
          <w:szCs w:val="20"/>
        </w:rPr>
        <w:t xml:space="preserve">die Prozesse </w:t>
      </w:r>
      <w:r w:rsidR="00A55EBE">
        <w:rPr>
          <w:rFonts w:ascii="Arial" w:hAnsi="Arial" w:cs="Arial"/>
          <w:b/>
          <w:bCs/>
          <w:color w:val="000000"/>
          <w:sz w:val="20"/>
          <w:szCs w:val="20"/>
        </w:rPr>
        <w:t>von der</w:t>
      </w:r>
      <w:r w:rsidR="00752632">
        <w:rPr>
          <w:rFonts w:ascii="Arial" w:hAnsi="Arial" w:cs="Arial"/>
          <w:b/>
          <w:bCs/>
          <w:color w:val="000000"/>
          <w:sz w:val="20"/>
          <w:szCs w:val="20"/>
        </w:rPr>
        <w:t xml:space="preserve"> Fördergeldb</w:t>
      </w:r>
      <w:r w:rsidR="00A55EBE">
        <w:rPr>
          <w:rFonts w:ascii="Arial" w:hAnsi="Arial" w:cs="Arial"/>
          <w:b/>
          <w:bCs/>
          <w:color w:val="000000"/>
          <w:sz w:val="20"/>
          <w:szCs w:val="20"/>
        </w:rPr>
        <w:t xml:space="preserve">eantragung und </w:t>
      </w:r>
      <w:r w:rsidR="00752632">
        <w:rPr>
          <w:rFonts w:ascii="Arial" w:hAnsi="Arial" w:cs="Arial"/>
          <w:b/>
          <w:bCs/>
          <w:color w:val="000000"/>
          <w:sz w:val="20"/>
          <w:szCs w:val="20"/>
        </w:rPr>
        <w:t>-b</w:t>
      </w:r>
      <w:r w:rsidR="00F82711">
        <w:rPr>
          <w:rFonts w:ascii="Arial" w:hAnsi="Arial" w:cs="Arial"/>
          <w:b/>
          <w:bCs/>
          <w:color w:val="000000"/>
          <w:sz w:val="20"/>
          <w:szCs w:val="20"/>
        </w:rPr>
        <w:t xml:space="preserve">ewilligung </w:t>
      </w:r>
      <w:r w:rsidR="00A55EBE">
        <w:rPr>
          <w:rFonts w:ascii="Arial" w:hAnsi="Arial" w:cs="Arial"/>
          <w:b/>
          <w:bCs/>
          <w:color w:val="000000"/>
          <w:sz w:val="20"/>
          <w:szCs w:val="20"/>
        </w:rPr>
        <w:t xml:space="preserve">bis hin zum </w:t>
      </w:r>
      <w:r w:rsidR="00752632">
        <w:rPr>
          <w:rFonts w:ascii="Arial" w:hAnsi="Arial" w:cs="Arial"/>
          <w:b/>
          <w:bCs/>
          <w:color w:val="000000"/>
          <w:sz w:val="20"/>
          <w:szCs w:val="20"/>
        </w:rPr>
        <w:t>praktischen Ausbau ihrer Breitband-Infrastruk</w:t>
      </w:r>
      <w:r w:rsidR="007D40CD">
        <w:rPr>
          <w:rFonts w:ascii="Arial" w:hAnsi="Arial" w:cs="Arial"/>
          <w:b/>
          <w:bCs/>
          <w:color w:val="000000"/>
          <w:sz w:val="20"/>
          <w:szCs w:val="20"/>
        </w:rPr>
        <w:t>t</w:t>
      </w:r>
      <w:r w:rsidR="00752632">
        <w:rPr>
          <w:rFonts w:ascii="Arial" w:hAnsi="Arial" w:cs="Arial"/>
          <w:b/>
          <w:bCs/>
          <w:color w:val="000000"/>
          <w:sz w:val="20"/>
          <w:szCs w:val="20"/>
        </w:rPr>
        <w:t xml:space="preserve">ur </w:t>
      </w:r>
      <w:r w:rsidR="00F82711">
        <w:rPr>
          <w:rFonts w:ascii="Arial" w:hAnsi="Arial" w:cs="Arial"/>
          <w:b/>
          <w:bCs/>
          <w:color w:val="000000"/>
          <w:sz w:val="20"/>
          <w:szCs w:val="20"/>
        </w:rPr>
        <w:t xml:space="preserve">wesentlich </w:t>
      </w:r>
      <w:r w:rsidR="00F82711" w:rsidRPr="00767BFE"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beschleunig</w:t>
      </w:r>
      <w:r w:rsidR="00A55EBE" w:rsidRPr="00767BFE"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 xml:space="preserve">en </w:t>
      </w:r>
      <w:r w:rsidR="00752632" w:rsidRPr="00767BFE"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 xml:space="preserve">und </w:t>
      </w:r>
      <w:r w:rsidR="00A55EBE" w:rsidRPr="00767BFE"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maßgeblich vorantreiben“</w:t>
      </w:r>
      <w:r w:rsidR="00F82711" w:rsidRPr="00767BFE"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 xml:space="preserve">, so Dirk </w:t>
      </w:r>
      <w:proofErr w:type="spellStart"/>
      <w:r w:rsidR="00F82711" w:rsidRPr="00767BFE"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Fieml</w:t>
      </w:r>
      <w:proofErr w:type="spellEnd"/>
      <w:r w:rsidR="00F82711" w:rsidRPr="00767BFE"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, Geschäftsführer</w:t>
      </w:r>
      <w:r w:rsidR="00F82711">
        <w:rPr>
          <w:rFonts w:ascii="Arial" w:hAnsi="Arial" w:cs="Arial"/>
          <w:b/>
          <w:bCs/>
          <w:color w:val="000000"/>
          <w:sz w:val="20"/>
          <w:szCs w:val="20"/>
        </w:rPr>
        <w:t xml:space="preserve"> der </w:t>
      </w:r>
      <w:proofErr w:type="spellStart"/>
      <w:r w:rsidR="00F82711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F82711">
        <w:rPr>
          <w:rFonts w:ascii="Arial" w:hAnsi="Arial" w:cs="Arial"/>
          <w:b/>
          <w:bCs/>
          <w:color w:val="000000"/>
          <w:sz w:val="20"/>
          <w:szCs w:val="20"/>
        </w:rPr>
        <w:t xml:space="preserve"> GmbH. </w:t>
      </w:r>
    </w:p>
    <w:p w14:paraId="34FC9085" w14:textId="13A7CB61" w:rsidR="006B0075" w:rsidRPr="00EB23CD" w:rsidRDefault="000950DC" w:rsidP="005F42E2">
      <w:pPr>
        <w:autoSpaceDE w:val="0"/>
        <w:autoSpaceDN w:val="0"/>
        <w:adjustRightInd w:val="0"/>
        <w:spacing w:before="40" w:line="360" w:lineRule="auto"/>
        <w:rPr>
          <w:rFonts w:ascii="Arial" w:hAnsi="Arial" w:cs="Arial"/>
          <w:color w:val="000000"/>
          <w:spacing w:val="-1"/>
          <w:sz w:val="20"/>
          <w:szCs w:val="20"/>
        </w:rPr>
      </w:pPr>
      <w:r w:rsidRPr="00EB23CD">
        <w:rPr>
          <w:rFonts w:ascii="Arial" w:hAnsi="Arial" w:cs="Arial"/>
          <w:color w:val="000000"/>
          <w:spacing w:val="-1"/>
          <w:sz w:val="20"/>
          <w:szCs w:val="20"/>
        </w:rPr>
        <w:t>Welche Förder</w:t>
      </w:r>
      <w:r w:rsidR="00A87E76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mittel gibt es? Was ist alles bei der Beantragung zu beachten? </w:t>
      </w:r>
      <w:r w:rsidR="00BD17C2" w:rsidRPr="00BD17C2">
        <w:rPr>
          <w:rFonts w:ascii="Arial" w:hAnsi="Arial" w:cs="Arial"/>
          <w:color w:val="000000"/>
          <w:spacing w:val="-1"/>
          <w:sz w:val="20"/>
          <w:szCs w:val="20"/>
        </w:rPr>
        <w:t>Was sind die notwendigen Inhalte der Ausschreibungen?</w:t>
      </w:r>
      <w:r w:rsidR="00A87E76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="00AA68D5" w:rsidRPr="00EB23CD">
        <w:rPr>
          <w:rFonts w:ascii="Arial" w:hAnsi="Arial" w:cs="Arial"/>
          <w:color w:val="000000"/>
          <w:spacing w:val="-1"/>
          <w:sz w:val="20"/>
          <w:szCs w:val="20"/>
        </w:rPr>
        <w:t>Unterstützung bei der Beantwortung dieser und</w:t>
      </w:r>
      <w:r w:rsidR="00DA57C0">
        <w:rPr>
          <w:rFonts w:ascii="Arial" w:hAnsi="Arial" w:cs="Arial"/>
          <w:color w:val="000000"/>
          <w:spacing w:val="-1"/>
          <w:sz w:val="20"/>
          <w:szCs w:val="20"/>
        </w:rPr>
        <w:t xml:space="preserve"> verwandter </w:t>
      </w:r>
      <w:r w:rsidR="00AA68D5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Fragen finden die in der Gigabit Region Stuttgart zusammengeschlossenen Kommunen und Gemeinden ab sofort bei der </w:t>
      </w:r>
      <w:proofErr w:type="spellStart"/>
      <w:r w:rsidR="00AA68D5" w:rsidRPr="00EB23CD">
        <w:rPr>
          <w:rFonts w:ascii="Arial" w:hAnsi="Arial" w:cs="Arial"/>
          <w:color w:val="000000"/>
          <w:spacing w:val="-1"/>
          <w:sz w:val="20"/>
          <w:szCs w:val="20"/>
        </w:rPr>
        <w:t>tktVivax</w:t>
      </w:r>
      <w:proofErr w:type="spellEnd"/>
      <w:r w:rsidR="00AA68D5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. </w:t>
      </w:r>
      <w:r w:rsidR="00EE51A6" w:rsidRPr="00EB23CD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="00DA57C0">
        <w:rPr>
          <w:rFonts w:ascii="Arial" w:hAnsi="Arial" w:cs="Arial"/>
          <w:color w:val="000000"/>
          <w:spacing w:val="-1"/>
          <w:sz w:val="20"/>
          <w:szCs w:val="20"/>
        </w:rPr>
        <w:t>er versierte Breitband- und 5G-</w:t>
      </w:r>
      <w:r w:rsidR="007A6776">
        <w:rPr>
          <w:rFonts w:ascii="Arial" w:hAnsi="Arial" w:cs="Arial"/>
          <w:color w:val="000000"/>
          <w:spacing w:val="-1"/>
          <w:sz w:val="20"/>
          <w:szCs w:val="20"/>
        </w:rPr>
        <w:t xml:space="preserve">Spezialist </w:t>
      </w:r>
      <w:r w:rsidR="00EE51A6" w:rsidRPr="00EB23CD">
        <w:rPr>
          <w:rFonts w:ascii="Arial" w:hAnsi="Arial" w:cs="Arial"/>
          <w:color w:val="000000"/>
          <w:spacing w:val="-1"/>
          <w:sz w:val="20"/>
          <w:szCs w:val="20"/>
        </w:rPr>
        <w:t>berät seit vielen Jahren kommunale Verwaltungen und Energieversorger</w:t>
      </w:r>
      <w:r w:rsidR="007A6776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="00BB299F" w:rsidRPr="00EB23CD">
        <w:rPr>
          <w:rFonts w:ascii="Arial" w:hAnsi="Arial" w:cs="Arial"/>
          <w:color w:val="000000"/>
          <w:spacing w:val="-1"/>
          <w:sz w:val="20"/>
          <w:szCs w:val="20"/>
        </w:rPr>
        <w:t>erfolgreich</w:t>
      </w:r>
      <w:r w:rsidR="00EE51A6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 in allen Belangen der </w:t>
      </w:r>
      <w:r w:rsidR="00D23A2E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digitalen </w:t>
      </w:r>
      <w:r w:rsidR="00EE51A6" w:rsidRPr="00EB23CD">
        <w:rPr>
          <w:rFonts w:ascii="Arial" w:hAnsi="Arial" w:cs="Arial"/>
          <w:color w:val="000000"/>
          <w:spacing w:val="-1"/>
          <w:sz w:val="20"/>
          <w:szCs w:val="20"/>
        </w:rPr>
        <w:t>Transformation</w:t>
      </w:r>
      <w:r w:rsidR="00BB299F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 und ist eine feste Größe bei Breitbandprojekten in Deutschland</w:t>
      </w:r>
      <w:r w:rsidR="00D23A2E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. </w:t>
      </w:r>
      <w:r w:rsidR="00F01519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„Fast die Hälfte der </w:t>
      </w:r>
      <w:r w:rsidR="00BB299F" w:rsidRPr="00EB23CD">
        <w:rPr>
          <w:rFonts w:ascii="Arial" w:hAnsi="Arial" w:cs="Arial"/>
          <w:color w:val="000000"/>
          <w:spacing w:val="-1"/>
          <w:sz w:val="20"/>
          <w:szCs w:val="20"/>
        </w:rPr>
        <w:t>Mitglieder der Gigabit Region Stuttgart kenn</w:t>
      </w:r>
      <w:r w:rsidR="005F35B3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t </w:t>
      </w:r>
      <w:proofErr w:type="spellStart"/>
      <w:r w:rsidR="005F35B3" w:rsidRPr="00EB23CD">
        <w:rPr>
          <w:rFonts w:ascii="Arial" w:hAnsi="Arial" w:cs="Arial"/>
          <w:color w:val="000000"/>
          <w:spacing w:val="-1"/>
          <w:sz w:val="20"/>
          <w:szCs w:val="20"/>
        </w:rPr>
        <w:t>tktVivax</w:t>
      </w:r>
      <w:proofErr w:type="spellEnd"/>
      <w:r w:rsidR="005F35B3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="00BB299F" w:rsidRPr="00EB23CD">
        <w:rPr>
          <w:rFonts w:ascii="Arial" w:hAnsi="Arial" w:cs="Arial"/>
          <w:color w:val="000000"/>
          <w:spacing w:val="-1"/>
          <w:sz w:val="20"/>
          <w:szCs w:val="20"/>
        </w:rPr>
        <w:t>als verlässlichen Partner bereits aus vergangenen und aktuellen Projekten</w:t>
      </w:r>
      <w:r w:rsidR="00F4130F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. Das </w:t>
      </w:r>
      <w:r w:rsidR="005F35B3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war wohl ein weiterer Grund, der die </w:t>
      </w:r>
      <w:r w:rsidR="00F4130F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Entscheidung für </w:t>
      </w:r>
      <w:r w:rsidR="005F35B3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uns </w:t>
      </w:r>
      <w:r w:rsidR="00EB23CD">
        <w:rPr>
          <w:rFonts w:ascii="Arial" w:hAnsi="Arial" w:cs="Arial"/>
          <w:color w:val="000000"/>
          <w:spacing w:val="-1"/>
          <w:sz w:val="20"/>
          <w:szCs w:val="20"/>
        </w:rPr>
        <w:t>forciert</w:t>
      </w:r>
      <w:r w:rsidR="005F35B3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 hat</w:t>
      </w:r>
      <w:r w:rsidR="00F4130F" w:rsidRPr="00EB23CD">
        <w:rPr>
          <w:rFonts w:ascii="Arial" w:hAnsi="Arial" w:cs="Arial"/>
          <w:color w:val="000000"/>
          <w:spacing w:val="-1"/>
          <w:sz w:val="20"/>
          <w:szCs w:val="20"/>
        </w:rPr>
        <w:t xml:space="preserve">“, so Dirk </w:t>
      </w:r>
      <w:proofErr w:type="spellStart"/>
      <w:r w:rsidR="00F4130F" w:rsidRPr="00EB23CD">
        <w:rPr>
          <w:rFonts w:ascii="Arial" w:hAnsi="Arial" w:cs="Arial"/>
          <w:color w:val="000000"/>
          <w:spacing w:val="-1"/>
          <w:sz w:val="20"/>
          <w:szCs w:val="20"/>
        </w:rPr>
        <w:t>Fieml</w:t>
      </w:r>
      <w:proofErr w:type="spellEnd"/>
      <w:r w:rsidR="00F4130F" w:rsidRPr="00EB23CD">
        <w:rPr>
          <w:rFonts w:ascii="Arial" w:hAnsi="Arial" w:cs="Arial"/>
          <w:color w:val="000000"/>
          <w:spacing w:val="-1"/>
          <w:sz w:val="20"/>
          <w:szCs w:val="20"/>
        </w:rPr>
        <w:t>.</w:t>
      </w:r>
    </w:p>
    <w:p w14:paraId="0C48B353" w14:textId="77777777" w:rsidR="008A170B" w:rsidRPr="00EB23CD" w:rsidRDefault="008A170B" w:rsidP="00EA68EA">
      <w:pPr>
        <w:autoSpaceDE w:val="0"/>
        <w:autoSpaceDN w:val="0"/>
        <w:adjustRightInd w:val="0"/>
        <w:spacing w:before="40" w:line="360" w:lineRule="auto"/>
        <w:rPr>
          <w:rFonts w:ascii="Arial" w:hAnsi="Arial" w:cs="Arial"/>
          <w:color w:val="000000"/>
          <w:spacing w:val="-1"/>
          <w:sz w:val="20"/>
          <w:szCs w:val="20"/>
        </w:rPr>
      </w:pPr>
    </w:p>
    <w:p w14:paraId="5C142349" w14:textId="77777777" w:rsidR="008A170B" w:rsidRPr="0089756B" w:rsidRDefault="008A170B" w:rsidP="008A170B">
      <w:pPr>
        <w:spacing w:line="360" w:lineRule="auto"/>
        <w:rPr>
          <w:rFonts w:ascii="Arial" w:hAnsi="Arial" w:cs="Tahoma"/>
          <w:color w:val="000000" w:themeColor="text1"/>
          <w:spacing w:val="-1"/>
          <w:sz w:val="20"/>
          <w:szCs w:val="20"/>
        </w:rPr>
      </w:pPr>
      <w:r w:rsidRPr="0089756B">
        <w:rPr>
          <w:rFonts w:ascii="Arial" w:hAnsi="Arial" w:cs="Tahoma"/>
          <w:color w:val="000000" w:themeColor="text1"/>
          <w:spacing w:val="-1"/>
          <w:sz w:val="20"/>
          <w:szCs w:val="20"/>
        </w:rPr>
        <w:lastRenderedPageBreak/>
        <w:br/>
      </w:r>
      <w:r w:rsidRPr="00F01519">
        <w:rPr>
          <w:rFonts w:ascii="Arial" w:hAnsi="Arial" w:cs="Tahoma"/>
          <w:color w:val="000000" w:themeColor="text1"/>
          <w:spacing w:val="-1"/>
          <w:sz w:val="20"/>
          <w:szCs w:val="20"/>
        </w:rPr>
        <w:t>Die Gigabit Region Stuttgart GmbH ist eine gemeinsame Gesellschaft der Wirtschaftsförderung Region Stuttgart GmbH, der Landeshauptstadt Stuttgart und den fünf Landkreisen Böblingen, Esslingen, Göppingen, Ludwigsburg und Rems-Murr. Sie koordiniert den Glasfaserausbau in der Region Stuttgart, steuert das Kooperationsprogramm mit der Deutschen Telekom und fördert Smart-Region-Anwendungen. Die Region Stuttgart besteht aus 179 Städten und Gemeinden mit rund 2,8 Millionen Menschen und etwa 140.000 Unternehmensstandorten.</w:t>
      </w:r>
    </w:p>
    <w:tbl>
      <w:tblPr>
        <w:tblW w:w="8618" w:type="dxa"/>
        <w:tblLook w:val="04A0" w:firstRow="1" w:lastRow="0" w:firstColumn="1" w:lastColumn="0" w:noHBand="0" w:noVBand="1"/>
      </w:tblPr>
      <w:tblGrid>
        <w:gridCol w:w="3886"/>
        <w:gridCol w:w="4732"/>
      </w:tblGrid>
      <w:tr w:rsidR="009E6E2D" w:rsidRPr="000655B7" w14:paraId="20EF73C9" w14:textId="77777777" w:rsidTr="0003594E">
        <w:tc>
          <w:tcPr>
            <w:tcW w:w="3969" w:type="dxa"/>
            <w:shd w:val="clear" w:color="auto" w:fill="auto"/>
          </w:tcPr>
          <w:p w14:paraId="73C05C4D" w14:textId="52BE48A7" w:rsidR="009E6E2D" w:rsidRPr="007D40CD" w:rsidRDefault="009E6E2D" w:rsidP="007D40CD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52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Kurfürstendamm 194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10707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tkt-vivax.de</w:t>
            </w:r>
          </w:p>
        </w:tc>
        <w:tc>
          <w:tcPr>
            <w:tcW w:w="4819" w:type="dxa"/>
            <w:shd w:val="clear" w:color="auto" w:fill="auto"/>
          </w:tcPr>
          <w:p w14:paraId="35A1F2E1" w14:textId="77777777" w:rsidR="009E6E2D" w:rsidRPr="000655B7" w:rsidRDefault="009E6E2D" w:rsidP="005F42E2">
            <w:pPr>
              <w:widowControl w:val="0"/>
              <w:autoSpaceDE w:val="0"/>
              <w:autoSpaceDN w:val="0"/>
              <w:adjustRightInd w:val="0"/>
              <w:spacing w:line="252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1D39BBE4" w14:textId="497CAFDC" w:rsidR="009E6E2D" w:rsidRPr="0003594E" w:rsidRDefault="009E6E2D" w:rsidP="0003594E">
      <w:pPr>
        <w:widowControl w:val="0"/>
        <w:autoSpaceDE w:val="0"/>
        <w:autoSpaceDN w:val="0"/>
        <w:adjustRightInd w:val="0"/>
        <w:spacing w:line="252" w:lineRule="auto"/>
        <w:ind w:left="34"/>
        <w:rPr>
          <w:rFonts w:ascii="Arial" w:hAnsi="Arial" w:cs="Calibri"/>
          <w:spacing w:val="-1"/>
          <w:sz w:val="16"/>
          <w:szCs w:val="26"/>
          <w:lang w:eastAsia="de-DE"/>
        </w:rPr>
      </w:pPr>
      <w:r w:rsidRPr="005F42E2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5F42E2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5F42E2">
        <w:rPr>
          <w:rFonts w:ascii="Arial" w:hAnsi="Arial" w:cs="Calibri"/>
          <w:sz w:val="16"/>
          <w:szCs w:val="26"/>
          <w:lang w:eastAsia="de-DE"/>
        </w:rPr>
        <w:t xml:space="preserve"> GmbH mit Sitz in Berlin und Niederlassungen in Stuttgart (Backnang), Köln und</w:t>
      </w:r>
      <w:r w:rsidRPr="0003594E">
        <w:rPr>
          <w:rFonts w:ascii="Arial" w:hAnsi="Arial" w:cs="Calibri"/>
          <w:spacing w:val="-1"/>
          <w:sz w:val="16"/>
          <w:szCs w:val="26"/>
          <w:lang w:eastAsia="de-DE"/>
        </w:rPr>
        <w:t xml:space="preserve"> Potsdam, unterstützt ihre Kunden im Bereich zukunftsorientierter Telekommunikationstechnologien sowie mit Organisations-, Prozess- und Digitalisierungsberatung in der kommunalen Versorgungswirtschaft. Mit rund 50 Mitarbeitern deckt das Beratungsunternehmen ein breites Spek</w:t>
      </w:r>
      <w:r w:rsidRPr="000E13BB">
        <w:rPr>
          <w:rFonts w:ascii="Arial" w:hAnsi="Arial" w:cs="Calibri"/>
          <w:spacing w:val="-2"/>
          <w:sz w:val="16"/>
          <w:szCs w:val="26"/>
          <w:lang w:eastAsia="de-DE"/>
        </w:rPr>
        <w:t xml:space="preserve">trum von der Analyse, Strategiefindung und Fördermittelberatung über die Neu- und Umgestaltung </w:t>
      </w:r>
      <w:r w:rsidRPr="0003594E">
        <w:rPr>
          <w:rFonts w:ascii="Arial" w:hAnsi="Arial" w:cs="Calibri"/>
          <w:spacing w:val="-1"/>
          <w:sz w:val="16"/>
          <w:szCs w:val="26"/>
          <w:lang w:eastAsia="de-DE"/>
        </w:rPr>
        <w:t>von Prozessen und Organisationen in allen Bereichen der Versorgungswirtschaft bis hin zur Planungs- und Umsetzungsbegleitung von Glasfaser- und 5G-Infrastrukturen an. Zielgruppe sind sowohl Stadtwerke als auch Kommunalverwaltungen.</w:t>
      </w:r>
      <w:bookmarkEnd w:id="2"/>
    </w:p>
    <w:p w14:paraId="13120D09" w14:textId="27817F7E" w:rsidR="009E6E2D" w:rsidRPr="005D3D1E" w:rsidRDefault="009E6E2D" w:rsidP="009E6E2D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sectPr w:rsidR="009E6E2D" w:rsidRPr="005D3D1E" w:rsidSect="0003594E">
      <w:headerReference w:type="default" r:id="rId9"/>
      <w:pgSz w:w="11901" w:h="16840"/>
      <w:pgMar w:top="2098" w:right="3686" w:bottom="1418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A8807B" w14:textId="77777777" w:rsidR="00814EEF" w:rsidRDefault="00814EEF" w:rsidP="00BF70FE">
      <w:pPr>
        <w:spacing w:after="0" w:line="240" w:lineRule="auto"/>
      </w:pPr>
      <w:r>
        <w:separator/>
      </w:r>
    </w:p>
  </w:endnote>
  <w:endnote w:type="continuationSeparator" w:id="0">
    <w:p w14:paraId="68EDDE72" w14:textId="77777777" w:rsidR="00814EEF" w:rsidRDefault="00814EEF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A313D7" w14:textId="77777777" w:rsidR="00814EEF" w:rsidRDefault="00814EEF" w:rsidP="00BF70FE">
      <w:pPr>
        <w:spacing w:after="0" w:line="240" w:lineRule="auto"/>
      </w:pPr>
      <w:r>
        <w:separator/>
      </w:r>
    </w:p>
  </w:footnote>
  <w:footnote w:type="continuationSeparator" w:id="0">
    <w:p w14:paraId="677CBBBD" w14:textId="77777777" w:rsidR="00814EEF" w:rsidRDefault="00814EEF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49685" w14:textId="318F9223" w:rsidR="00B96701" w:rsidRDefault="00E478B7" w:rsidP="002757A3">
    <w:pPr>
      <w:pStyle w:val="Kopfzeile"/>
      <w:ind w:right="-2268"/>
      <w:jc w:val="right"/>
    </w:pPr>
    <w:r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4445E150" wp14:editId="1021B113">
          <wp:simplePos x="0" y="0"/>
          <wp:positionH relativeFrom="column">
            <wp:posOffset>4485005</wp:posOffset>
          </wp:positionH>
          <wp:positionV relativeFrom="paragraph">
            <wp:posOffset>0</wp:posOffset>
          </wp:positionV>
          <wp:extent cx="1756800" cy="432000"/>
          <wp:effectExtent l="0" t="0" r="0" b="0"/>
          <wp:wrapTight wrapText="bothSides">
            <wp:wrapPolygon edited="0">
              <wp:start x="0" y="0"/>
              <wp:lineTo x="0" y="20965"/>
              <wp:lineTo x="21397" y="20965"/>
              <wp:lineTo x="21397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56800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5496C"/>
    <w:multiLevelType w:val="multilevel"/>
    <w:tmpl w:val="07688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00387"/>
    <w:multiLevelType w:val="multilevel"/>
    <w:tmpl w:val="17768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05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4D30"/>
    <w:rsid w:val="00006AC0"/>
    <w:rsid w:val="00026CFD"/>
    <w:rsid w:val="0003594E"/>
    <w:rsid w:val="00037B8A"/>
    <w:rsid w:val="00042B3F"/>
    <w:rsid w:val="0006200B"/>
    <w:rsid w:val="00065270"/>
    <w:rsid w:val="000655B7"/>
    <w:rsid w:val="000823CF"/>
    <w:rsid w:val="000950DC"/>
    <w:rsid w:val="000A1E6B"/>
    <w:rsid w:val="000A4C5E"/>
    <w:rsid w:val="000A4C93"/>
    <w:rsid w:val="000C4746"/>
    <w:rsid w:val="000D4DE3"/>
    <w:rsid w:val="000E087D"/>
    <w:rsid w:val="000E13BB"/>
    <w:rsid w:val="000E7CE7"/>
    <w:rsid w:val="000F2111"/>
    <w:rsid w:val="000F4F9D"/>
    <w:rsid w:val="0010198B"/>
    <w:rsid w:val="00104674"/>
    <w:rsid w:val="00106821"/>
    <w:rsid w:val="00114025"/>
    <w:rsid w:val="00117739"/>
    <w:rsid w:val="00131142"/>
    <w:rsid w:val="0013234F"/>
    <w:rsid w:val="00135237"/>
    <w:rsid w:val="001448F5"/>
    <w:rsid w:val="00157861"/>
    <w:rsid w:val="00181FBB"/>
    <w:rsid w:val="00187FC7"/>
    <w:rsid w:val="00191218"/>
    <w:rsid w:val="0019471F"/>
    <w:rsid w:val="00194D0B"/>
    <w:rsid w:val="0019751A"/>
    <w:rsid w:val="001A272C"/>
    <w:rsid w:val="001C0F33"/>
    <w:rsid w:val="001C3322"/>
    <w:rsid w:val="001C51EC"/>
    <w:rsid w:val="001D2FB7"/>
    <w:rsid w:val="001E6755"/>
    <w:rsid w:val="001E6F47"/>
    <w:rsid w:val="00205941"/>
    <w:rsid w:val="002064DB"/>
    <w:rsid w:val="00207A9F"/>
    <w:rsid w:val="00213AF7"/>
    <w:rsid w:val="00221777"/>
    <w:rsid w:val="00225B1D"/>
    <w:rsid w:val="00226733"/>
    <w:rsid w:val="00237217"/>
    <w:rsid w:val="0025070A"/>
    <w:rsid w:val="00262A08"/>
    <w:rsid w:val="00265589"/>
    <w:rsid w:val="002745F8"/>
    <w:rsid w:val="002757A3"/>
    <w:rsid w:val="002840D0"/>
    <w:rsid w:val="0028558F"/>
    <w:rsid w:val="002A5799"/>
    <w:rsid w:val="002A7E29"/>
    <w:rsid w:val="002B36BE"/>
    <w:rsid w:val="002B3E9E"/>
    <w:rsid w:val="002D5B66"/>
    <w:rsid w:val="002D6045"/>
    <w:rsid w:val="002E0481"/>
    <w:rsid w:val="002F1BFF"/>
    <w:rsid w:val="0030091A"/>
    <w:rsid w:val="00304113"/>
    <w:rsid w:val="00314048"/>
    <w:rsid w:val="003274D8"/>
    <w:rsid w:val="00341A34"/>
    <w:rsid w:val="0035256E"/>
    <w:rsid w:val="00362AE7"/>
    <w:rsid w:val="00391BA4"/>
    <w:rsid w:val="00394D5C"/>
    <w:rsid w:val="003953CA"/>
    <w:rsid w:val="003A3B30"/>
    <w:rsid w:val="003A6602"/>
    <w:rsid w:val="003B4407"/>
    <w:rsid w:val="003B6004"/>
    <w:rsid w:val="003B69BD"/>
    <w:rsid w:val="003C0B6F"/>
    <w:rsid w:val="003C475B"/>
    <w:rsid w:val="003D63AC"/>
    <w:rsid w:val="00402F7C"/>
    <w:rsid w:val="00406C69"/>
    <w:rsid w:val="004137FD"/>
    <w:rsid w:val="004165B1"/>
    <w:rsid w:val="00427AD2"/>
    <w:rsid w:val="00432379"/>
    <w:rsid w:val="004422BD"/>
    <w:rsid w:val="004467C0"/>
    <w:rsid w:val="004540FC"/>
    <w:rsid w:val="00454989"/>
    <w:rsid w:val="00463FE6"/>
    <w:rsid w:val="00465A5D"/>
    <w:rsid w:val="00465CBB"/>
    <w:rsid w:val="004713E0"/>
    <w:rsid w:val="004810F6"/>
    <w:rsid w:val="00497AEF"/>
    <w:rsid w:val="004B0D7E"/>
    <w:rsid w:val="004D4B39"/>
    <w:rsid w:val="004F5892"/>
    <w:rsid w:val="00521E6A"/>
    <w:rsid w:val="0053379A"/>
    <w:rsid w:val="00536307"/>
    <w:rsid w:val="00556FEE"/>
    <w:rsid w:val="005577A0"/>
    <w:rsid w:val="00557F58"/>
    <w:rsid w:val="00576A90"/>
    <w:rsid w:val="00576E59"/>
    <w:rsid w:val="00582ECD"/>
    <w:rsid w:val="005926D7"/>
    <w:rsid w:val="005958C2"/>
    <w:rsid w:val="00596BC4"/>
    <w:rsid w:val="005C64BF"/>
    <w:rsid w:val="005D3D1E"/>
    <w:rsid w:val="005F35B3"/>
    <w:rsid w:val="005F42E2"/>
    <w:rsid w:val="005F63B7"/>
    <w:rsid w:val="00633111"/>
    <w:rsid w:val="00640D6D"/>
    <w:rsid w:val="006563BE"/>
    <w:rsid w:val="00664FF9"/>
    <w:rsid w:val="006663C8"/>
    <w:rsid w:val="00681349"/>
    <w:rsid w:val="00682686"/>
    <w:rsid w:val="00682E83"/>
    <w:rsid w:val="006B0075"/>
    <w:rsid w:val="006D38DD"/>
    <w:rsid w:val="006E4FD3"/>
    <w:rsid w:val="006F2189"/>
    <w:rsid w:val="00705635"/>
    <w:rsid w:val="00712F91"/>
    <w:rsid w:val="00714AB5"/>
    <w:rsid w:val="007162A5"/>
    <w:rsid w:val="007169F8"/>
    <w:rsid w:val="00726D0D"/>
    <w:rsid w:val="00732F57"/>
    <w:rsid w:val="00742C79"/>
    <w:rsid w:val="00751621"/>
    <w:rsid w:val="00751B21"/>
    <w:rsid w:val="00752632"/>
    <w:rsid w:val="00752985"/>
    <w:rsid w:val="00753CE4"/>
    <w:rsid w:val="00764363"/>
    <w:rsid w:val="00766B7A"/>
    <w:rsid w:val="00767BFE"/>
    <w:rsid w:val="007749DD"/>
    <w:rsid w:val="00776233"/>
    <w:rsid w:val="007768B7"/>
    <w:rsid w:val="00780026"/>
    <w:rsid w:val="00785A83"/>
    <w:rsid w:val="00785BC8"/>
    <w:rsid w:val="007A6124"/>
    <w:rsid w:val="007A6776"/>
    <w:rsid w:val="007B0615"/>
    <w:rsid w:val="007D40CD"/>
    <w:rsid w:val="007F3F43"/>
    <w:rsid w:val="00803966"/>
    <w:rsid w:val="00814EEF"/>
    <w:rsid w:val="00822F51"/>
    <w:rsid w:val="00837514"/>
    <w:rsid w:val="008457BE"/>
    <w:rsid w:val="00860C87"/>
    <w:rsid w:val="00872E24"/>
    <w:rsid w:val="0089756B"/>
    <w:rsid w:val="008A170B"/>
    <w:rsid w:val="008C3262"/>
    <w:rsid w:val="008E0839"/>
    <w:rsid w:val="00915DD5"/>
    <w:rsid w:val="00937B5E"/>
    <w:rsid w:val="0094694E"/>
    <w:rsid w:val="00953399"/>
    <w:rsid w:val="0095460E"/>
    <w:rsid w:val="00970DA5"/>
    <w:rsid w:val="00972598"/>
    <w:rsid w:val="0098474D"/>
    <w:rsid w:val="00993991"/>
    <w:rsid w:val="009A38C4"/>
    <w:rsid w:val="009A5414"/>
    <w:rsid w:val="009B04A2"/>
    <w:rsid w:val="009C0CE4"/>
    <w:rsid w:val="009E6B35"/>
    <w:rsid w:val="009E6E2D"/>
    <w:rsid w:val="009F0C3D"/>
    <w:rsid w:val="00A22923"/>
    <w:rsid w:val="00A257D2"/>
    <w:rsid w:val="00A32BA5"/>
    <w:rsid w:val="00A339B3"/>
    <w:rsid w:val="00A461EC"/>
    <w:rsid w:val="00A462DC"/>
    <w:rsid w:val="00A551F1"/>
    <w:rsid w:val="00A55C3C"/>
    <w:rsid w:val="00A55EBE"/>
    <w:rsid w:val="00A56E5A"/>
    <w:rsid w:val="00A579FB"/>
    <w:rsid w:val="00A61A47"/>
    <w:rsid w:val="00A86E2E"/>
    <w:rsid w:val="00A87E76"/>
    <w:rsid w:val="00AA68D5"/>
    <w:rsid w:val="00AC6091"/>
    <w:rsid w:val="00AD08BE"/>
    <w:rsid w:val="00AD4250"/>
    <w:rsid w:val="00AF57C8"/>
    <w:rsid w:val="00B11CFE"/>
    <w:rsid w:val="00B27B9D"/>
    <w:rsid w:val="00B36EA2"/>
    <w:rsid w:val="00B43DB2"/>
    <w:rsid w:val="00B44D4B"/>
    <w:rsid w:val="00B46CF9"/>
    <w:rsid w:val="00B47F46"/>
    <w:rsid w:val="00B71C92"/>
    <w:rsid w:val="00B753D5"/>
    <w:rsid w:val="00B819A5"/>
    <w:rsid w:val="00B96701"/>
    <w:rsid w:val="00BA51BE"/>
    <w:rsid w:val="00BB299F"/>
    <w:rsid w:val="00BB3C47"/>
    <w:rsid w:val="00BC1CCE"/>
    <w:rsid w:val="00BC3A66"/>
    <w:rsid w:val="00BD0D88"/>
    <w:rsid w:val="00BD17C2"/>
    <w:rsid w:val="00BE15E7"/>
    <w:rsid w:val="00BE3C7C"/>
    <w:rsid w:val="00BF3BB4"/>
    <w:rsid w:val="00BF70FE"/>
    <w:rsid w:val="00C235D5"/>
    <w:rsid w:val="00C27553"/>
    <w:rsid w:val="00C32033"/>
    <w:rsid w:val="00C424EF"/>
    <w:rsid w:val="00C52268"/>
    <w:rsid w:val="00C61B5D"/>
    <w:rsid w:val="00C6235A"/>
    <w:rsid w:val="00C76849"/>
    <w:rsid w:val="00C84CCA"/>
    <w:rsid w:val="00C91823"/>
    <w:rsid w:val="00CB2102"/>
    <w:rsid w:val="00CB3800"/>
    <w:rsid w:val="00CC44E9"/>
    <w:rsid w:val="00CC4D60"/>
    <w:rsid w:val="00CD3EF6"/>
    <w:rsid w:val="00CD490F"/>
    <w:rsid w:val="00CD5183"/>
    <w:rsid w:val="00D02991"/>
    <w:rsid w:val="00D1662C"/>
    <w:rsid w:val="00D16EBD"/>
    <w:rsid w:val="00D20803"/>
    <w:rsid w:val="00D23A2E"/>
    <w:rsid w:val="00D2582F"/>
    <w:rsid w:val="00D429BE"/>
    <w:rsid w:val="00D46C5D"/>
    <w:rsid w:val="00D52A64"/>
    <w:rsid w:val="00D572B9"/>
    <w:rsid w:val="00D63982"/>
    <w:rsid w:val="00D65213"/>
    <w:rsid w:val="00D87072"/>
    <w:rsid w:val="00D870C9"/>
    <w:rsid w:val="00D9728A"/>
    <w:rsid w:val="00DA183D"/>
    <w:rsid w:val="00DA57C0"/>
    <w:rsid w:val="00DC1341"/>
    <w:rsid w:val="00DC2EE2"/>
    <w:rsid w:val="00DC32A3"/>
    <w:rsid w:val="00DE0150"/>
    <w:rsid w:val="00DE4605"/>
    <w:rsid w:val="00DE740B"/>
    <w:rsid w:val="00DF3864"/>
    <w:rsid w:val="00DF581E"/>
    <w:rsid w:val="00E14982"/>
    <w:rsid w:val="00E20A29"/>
    <w:rsid w:val="00E257D0"/>
    <w:rsid w:val="00E25CE4"/>
    <w:rsid w:val="00E26B5E"/>
    <w:rsid w:val="00E3135E"/>
    <w:rsid w:val="00E37F9E"/>
    <w:rsid w:val="00E41BC0"/>
    <w:rsid w:val="00E478B7"/>
    <w:rsid w:val="00E570C4"/>
    <w:rsid w:val="00E60782"/>
    <w:rsid w:val="00E60990"/>
    <w:rsid w:val="00E6120F"/>
    <w:rsid w:val="00E64CFD"/>
    <w:rsid w:val="00E704E3"/>
    <w:rsid w:val="00E73FD3"/>
    <w:rsid w:val="00E833E9"/>
    <w:rsid w:val="00E835B3"/>
    <w:rsid w:val="00E92706"/>
    <w:rsid w:val="00E9580A"/>
    <w:rsid w:val="00E96682"/>
    <w:rsid w:val="00EA337B"/>
    <w:rsid w:val="00EB23CD"/>
    <w:rsid w:val="00EB5F03"/>
    <w:rsid w:val="00EB6A45"/>
    <w:rsid w:val="00ED3254"/>
    <w:rsid w:val="00ED48B5"/>
    <w:rsid w:val="00ED60BC"/>
    <w:rsid w:val="00EE51A6"/>
    <w:rsid w:val="00EF4362"/>
    <w:rsid w:val="00F01519"/>
    <w:rsid w:val="00F02294"/>
    <w:rsid w:val="00F4130F"/>
    <w:rsid w:val="00F60AEE"/>
    <w:rsid w:val="00F66C89"/>
    <w:rsid w:val="00F66CAF"/>
    <w:rsid w:val="00F80BB7"/>
    <w:rsid w:val="00F82711"/>
    <w:rsid w:val="00F852EB"/>
    <w:rsid w:val="00F875B4"/>
    <w:rsid w:val="00F91B9F"/>
    <w:rsid w:val="00F94262"/>
    <w:rsid w:val="00F94264"/>
    <w:rsid w:val="00F965C4"/>
    <w:rsid w:val="00FB447B"/>
    <w:rsid w:val="00FB53D9"/>
    <w:rsid w:val="00FB68F7"/>
    <w:rsid w:val="00FE2E90"/>
    <w:rsid w:val="00FE30BE"/>
    <w:rsid w:val="00FE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Förderberatung für 174 Städte, Kommunen und Zweckverbände der Gigabit Region Stuttgart</vt:lpstr>
    </vt:vector>
  </TitlesOfParts>
  <Manager/>
  <Company>PnR</Company>
  <LinksUpToDate>false</LinksUpToDate>
  <CharactersWithSpaces>3668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Förderberatung für 174 Städte, Kommunen und Zweckverbände der Gigabit Region Stuttgart</dc:title>
  <dc:subject>tktVivax ist Rahmenvertragspartner für Beratungsleistungen rund um den Glasfaserausbau</dc:subject>
  <dc:creator>Uwe Taeger</dc:creator>
  <cp:keywords/>
  <dc:description>v1</dc:description>
  <cp:lastModifiedBy>Uwe Pagel</cp:lastModifiedBy>
  <cp:revision>4</cp:revision>
  <cp:lastPrinted>2019-10-18T12:38:00Z</cp:lastPrinted>
  <dcterms:created xsi:type="dcterms:W3CDTF">2019-10-22T08:23:00Z</dcterms:created>
  <dcterms:modified xsi:type="dcterms:W3CDTF">2019-10-22T08:27:00Z</dcterms:modified>
  <cp:category>PM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