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66C25D7" w14:textId="77777777" w:rsidR="005D3D1E" w:rsidRPr="000655B7" w:rsidRDefault="005D3D1E" w:rsidP="005D3D1E">
      <w:pPr>
        <w:autoSpaceDE w:val="0"/>
        <w:autoSpaceDN w:val="0"/>
        <w:adjustRightInd w:val="0"/>
        <w:spacing w:after="0" w:line="240" w:lineRule="auto"/>
        <w:rPr>
          <w:rFonts w:ascii="Arial" w:hAnsi="Arial" w:cs="Arial"/>
          <w:b/>
          <w:color w:val="000000"/>
          <w:sz w:val="24"/>
          <w:szCs w:val="24"/>
        </w:rPr>
      </w:pPr>
    </w:p>
    <w:p w14:paraId="6DF482A4" w14:textId="77777777" w:rsidR="005D3D1E" w:rsidRPr="000655B7" w:rsidRDefault="005D3D1E" w:rsidP="005D3D1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844D01A" w14:textId="77777777" w:rsidR="005D3D1E" w:rsidRDefault="005D3D1E" w:rsidP="005D3D1E">
      <w:pPr>
        <w:autoSpaceDE w:val="0"/>
        <w:autoSpaceDN w:val="0"/>
        <w:adjustRightInd w:val="0"/>
        <w:spacing w:after="0" w:line="240" w:lineRule="auto"/>
        <w:rPr>
          <w:rFonts w:ascii="Arial" w:hAnsi="Arial" w:cs="Arial"/>
          <w:color w:val="000000"/>
        </w:rPr>
      </w:pPr>
    </w:p>
    <w:p w14:paraId="62F05F78" w14:textId="6FA35C6B" w:rsidR="005D3D1E" w:rsidRPr="000655B7" w:rsidRDefault="005D3D1E" w:rsidP="005D3D1E">
      <w:pPr>
        <w:autoSpaceDE w:val="0"/>
        <w:autoSpaceDN w:val="0"/>
        <w:adjustRightInd w:val="0"/>
        <w:spacing w:after="0" w:line="240" w:lineRule="auto"/>
        <w:rPr>
          <w:rFonts w:ascii="Arial" w:hAnsi="Arial" w:cs="Arial"/>
          <w:color w:val="000000"/>
        </w:rPr>
      </w:pPr>
      <w:r>
        <w:rPr>
          <w:rFonts w:ascii="Arial" w:hAnsi="Arial" w:cs="Arial"/>
          <w:color w:val="000000"/>
        </w:rPr>
        <w:t>Berlin/Backnang</w:t>
      </w:r>
      <w:r w:rsidRPr="000655B7">
        <w:rPr>
          <w:rFonts w:ascii="Arial" w:hAnsi="Arial" w:cs="Arial"/>
          <w:color w:val="000000"/>
        </w:rPr>
        <w:t xml:space="preserve">, </w:t>
      </w:r>
      <w:r w:rsidR="00CC4D60">
        <w:rPr>
          <w:rFonts w:ascii="Arial" w:hAnsi="Arial" w:cs="Arial"/>
          <w:color w:val="000000"/>
        </w:rPr>
        <w:t>4</w:t>
      </w:r>
      <w:r w:rsidRPr="000655B7">
        <w:rPr>
          <w:rFonts w:ascii="Arial" w:hAnsi="Arial" w:cs="Arial"/>
          <w:color w:val="000000"/>
        </w:rPr>
        <w:t xml:space="preserve">. </w:t>
      </w:r>
      <w:r w:rsidR="00CC4D60">
        <w:rPr>
          <w:rFonts w:ascii="Arial" w:hAnsi="Arial" w:cs="Arial"/>
          <w:color w:val="000000"/>
        </w:rPr>
        <w:t>September</w:t>
      </w:r>
      <w:r w:rsidRPr="000655B7">
        <w:rPr>
          <w:rFonts w:ascii="Arial" w:hAnsi="Arial" w:cs="Arial"/>
          <w:color w:val="000000"/>
        </w:rPr>
        <w:t xml:space="preserve"> 201</w:t>
      </w:r>
      <w:r w:rsidR="00131142">
        <w:rPr>
          <w:rFonts w:ascii="Arial" w:hAnsi="Arial" w:cs="Arial"/>
          <w:color w:val="000000"/>
        </w:rPr>
        <w:t>9</w:t>
      </w:r>
    </w:p>
    <w:p w14:paraId="3A8B5942" w14:textId="77777777" w:rsidR="005D3D1E" w:rsidRPr="000655B7" w:rsidRDefault="005D3D1E" w:rsidP="005D3D1E">
      <w:pPr>
        <w:autoSpaceDE w:val="0"/>
        <w:autoSpaceDN w:val="0"/>
        <w:adjustRightInd w:val="0"/>
        <w:spacing w:after="0" w:line="240" w:lineRule="auto"/>
        <w:rPr>
          <w:rFonts w:ascii="Arial" w:hAnsi="Arial" w:cs="Arial"/>
          <w:color w:val="000000"/>
          <w:sz w:val="24"/>
          <w:szCs w:val="24"/>
        </w:rPr>
      </w:pPr>
    </w:p>
    <w:p w14:paraId="0EEC0A94" w14:textId="77777777" w:rsidR="005D3D1E" w:rsidRPr="000655B7" w:rsidRDefault="005D3D1E" w:rsidP="005D3D1E">
      <w:pPr>
        <w:autoSpaceDE w:val="0"/>
        <w:autoSpaceDN w:val="0"/>
        <w:adjustRightInd w:val="0"/>
        <w:spacing w:after="0" w:line="360" w:lineRule="auto"/>
        <w:rPr>
          <w:rFonts w:ascii="Arial" w:hAnsi="Arial" w:cs="Arial"/>
          <w:color w:val="000000"/>
          <w:sz w:val="20"/>
          <w:szCs w:val="20"/>
        </w:rPr>
      </w:pPr>
    </w:p>
    <w:p w14:paraId="105E7BD4" w14:textId="7DDD84E5" w:rsidR="005D3D1E" w:rsidRDefault="00006AC0" w:rsidP="003A6602">
      <w:pPr>
        <w:autoSpaceDE w:val="0"/>
        <w:autoSpaceDN w:val="0"/>
        <w:adjustRightInd w:val="0"/>
        <w:spacing w:after="0" w:line="360" w:lineRule="auto"/>
        <w:ind w:right="-2268"/>
        <w:rPr>
          <w:rFonts w:ascii="Arial" w:hAnsi="Arial" w:cs="Arial"/>
          <w:b/>
          <w:color w:val="000000"/>
          <w:sz w:val="28"/>
          <w:szCs w:val="28"/>
        </w:rPr>
      </w:pPr>
      <w:bookmarkStart w:id="0" w:name="OLE_LINK1"/>
      <w:bookmarkStart w:id="1" w:name="OLE_LINK2"/>
      <w:r>
        <w:rPr>
          <w:rFonts w:ascii="Arial" w:hAnsi="Arial" w:cs="Arial"/>
          <w:b/>
          <w:color w:val="000000"/>
          <w:sz w:val="28"/>
          <w:szCs w:val="28"/>
        </w:rPr>
        <w:t>Glasfaserziele in Baden-Württemberg gefährdet</w:t>
      </w:r>
    </w:p>
    <w:bookmarkEnd w:id="0"/>
    <w:bookmarkEnd w:id="1"/>
    <w:p w14:paraId="5ED81553" w14:textId="65F5B23B" w:rsidR="00006AC0" w:rsidRDefault="00006AC0" w:rsidP="00EA337B">
      <w:pPr>
        <w:autoSpaceDE w:val="0"/>
        <w:autoSpaceDN w:val="0"/>
        <w:adjustRightInd w:val="0"/>
        <w:spacing w:after="0" w:line="360" w:lineRule="auto"/>
        <w:ind w:right="-850"/>
        <w:rPr>
          <w:rFonts w:ascii="Arial" w:hAnsi="Arial" w:cs="Tahoma"/>
          <w:b/>
          <w:sz w:val="20"/>
          <w:szCs w:val="20"/>
        </w:rPr>
      </w:pPr>
      <w:r>
        <w:rPr>
          <w:rFonts w:ascii="Arial" w:hAnsi="Arial" w:cs="Tahoma"/>
          <w:b/>
          <w:sz w:val="20"/>
          <w:szCs w:val="20"/>
        </w:rPr>
        <w:t>Neu GIS-Nebenbestimmungen führen zu enormen Aufwänden bei Förderanträgen</w:t>
      </w:r>
    </w:p>
    <w:p w14:paraId="6E281BA8" w14:textId="77777777" w:rsidR="00EA337B" w:rsidRPr="000655B7" w:rsidRDefault="00EA337B" w:rsidP="005D3D1E">
      <w:pPr>
        <w:autoSpaceDE w:val="0"/>
        <w:autoSpaceDN w:val="0"/>
        <w:adjustRightInd w:val="0"/>
        <w:spacing w:after="0" w:line="360" w:lineRule="auto"/>
        <w:rPr>
          <w:rFonts w:ascii="Arial" w:hAnsi="Arial" w:cs="Arial"/>
          <w:color w:val="000000"/>
          <w:sz w:val="20"/>
          <w:szCs w:val="20"/>
        </w:rPr>
      </w:pPr>
    </w:p>
    <w:p w14:paraId="099B379C" w14:textId="1FDFC720" w:rsidR="00006AC0" w:rsidRDefault="00006AC0" w:rsidP="003A6602">
      <w:pPr>
        <w:spacing w:line="360" w:lineRule="auto"/>
        <w:rPr>
          <w:rFonts w:ascii="Arial" w:hAnsi="Arial" w:cs="Tahoma"/>
          <w:b/>
          <w:bCs/>
          <w:sz w:val="20"/>
          <w:szCs w:val="20"/>
        </w:rPr>
      </w:pPr>
      <w:bookmarkStart w:id="2" w:name="_GoBack"/>
      <w:r>
        <w:rPr>
          <w:rFonts w:ascii="Arial" w:hAnsi="Arial" w:cs="Tahoma"/>
          <w:b/>
          <w:bCs/>
          <w:sz w:val="20"/>
          <w:szCs w:val="20"/>
        </w:rPr>
        <w:t xml:space="preserve">Mit einem </w:t>
      </w:r>
      <w:r w:rsidR="00972598">
        <w:rPr>
          <w:rFonts w:ascii="Arial" w:hAnsi="Arial" w:cs="Tahoma"/>
          <w:b/>
          <w:bCs/>
          <w:sz w:val="20"/>
          <w:szCs w:val="20"/>
        </w:rPr>
        <w:t>Schreiben</w:t>
      </w:r>
      <w:r>
        <w:rPr>
          <w:rFonts w:ascii="Arial" w:hAnsi="Arial" w:cs="Tahoma"/>
          <w:b/>
          <w:bCs/>
          <w:sz w:val="20"/>
          <w:szCs w:val="20"/>
        </w:rPr>
        <w:t xml:space="preserve"> vom </w:t>
      </w:r>
      <w:r w:rsidR="00972598">
        <w:rPr>
          <w:rFonts w:ascii="Arial" w:hAnsi="Arial" w:cs="Tahoma"/>
          <w:b/>
          <w:bCs/>
          <w:sz w:val="20"/>
          <w:szCs w:val="20"/>
        </w:rPr>
        <w:t>30</w:t>
      </w:r>
      <w:r>
        <w:rPr>
          <w:rFonts w:ascii="Arial" w:hAnsi="Arial" w:cs="Tahoma"/>
          <w:b/>
          <w:bCs/>
          <w:sz w:val="20"/>
          <w:szCs w:val="20"/>
        </w:rPr>
        <w:t>. August 2019 hat d</w:t>
      </w:r>
      <w:r w:rsidR="00972598">
        <w:rPr>
          <w:rFonts w:ascii="Arial" w:hAnsi="Arial" w:cs="Tahoma"/>
          <w:b/>
          <w:bCs/>
          <w:sz w:val="20"/>
          <w:szCs w:val="20"/>
        </w:rPr>
        <w:t>as</w:t>
      </w:r>
      <w:r>
        <w:rPr>
          <w:rFonts w:ascii="Arial" w:hAnsi="Arial" w:cs="Tahoma"/>
          <w:b/>
          <w:bCs/>
          <w:sz w:val="20"/>
          <w:szCs w:val="20"/>
        </w:rPr>
        <w:t xml:space="preserve"> </w:t>
      </w:r>
      <w:r w:rsidR="001E6F47">
        <w:rPr>
          <w:rFonts w:ascii="Arial" w:hAnsi="Arial" w:cs="Tahoma"/>
          <w:b/>
          <w:bCs/>
          <w:sz w:val="20"/>
          <w:szCs w:val="20"/>
        </w:rPr>
        <w:t>b</w:t>
      </w:r>
      <w:r>
        <w:rPr>
          <w:rFonts w:ascii="Arial" w:hAnsi="Arial" w:cs="Tahoma"/>
          <w:b/>
          <w:bCs/>
          <w:sz w:val="20"/>
          <w:szCs w:val="20"/>
        </w:rPr>
        <w:t>aden-</w:t>
      </w:r>
      <w:r w:rsidR="001E6F47">
        <w:rPr>
          <w:rFonts w:ascii="Arial" w:hAnsi="Arial" w:cs="Tahoma"/>
          <w:b/>
          <w:bCs/>
          <w:sz w:val="20"/>
          <w:szCs w:val="20"/>
        </w:rPr>
        <w:t>w</w:t>
      </w:r>
      <w:r>
        <w:rPr>
          <w:rFonts w:ascii="Arial" w:hAnsi="Arial" w:cs="Tahoma"/>
          <w:b/>
          <w:bCs/>
          <w:sz w:val="20"/>
          <w:szCs w:val="20"/>
        </w:rPr>
        <w:t xml:space="preserve">ürttembergische </w:t>
      </w:r>
      <w:r w:rsidR="00972598">
        <w:rPr>
          <w:rFonts w:ascii="Arial" w:hAnsi="Arial" w:cs="Tahoma"/>
          <w:b/>
          <w:bCs/>
          <w:sz w:val="20"/>
          <w:szCs w:val="20"/>
        </w:rPr>
        <w:t>Innenministerium</w:t>
      </w:r>
      <w:r>
        <w:rPr>
          <w:rFonts w:ascii="Arial" w:hAnsi="Arial" w:cs="Tahoma"/>
          <w:b/>
          <w:bCs/>
          <w:sz w:val="20"/>
          <w:szCs w:val="20"/>
        </w:rPr>
        <w:t xml:space="preserve"> darüber informiert, das</w:t>
      </w:r>
      <w:r w:rsidR="00E835B3">
        <w:rPr>
          <w:rFonts w:ascii="Arial" w:hAnsi="Arial" w:cs="Tahoma"/>
          <w:b/>
          <w:bCs/>
          <w:sz w:val="20"/>
          <w:szCs w:val="20"/>
        </w:rPr>
        <w:t>s</w:t>
      </w:r>
      <w:r>
        <w:rPr>
          <w:rFonts w:ascii="Arial" w:hAnsi="Arial" w:cs="Tahoma"/>
          <w:b/>
          <w:bCs/>
          <w:sz w:val="20"/>
          <w:szCs w:val="20"/>
        </w:rPr>
        <w:t xml:space="preserve"> bereits zum 1. November 2019 neue GIS-Nebenbestimmungen in Kraft treten</w:t>
      </w:r>
      <w:r w:rsidR="00EA337B">
        <w:rPr>
          <w:rFonts w:ascii="Arial" w:hAnsi="Arial" w:cs="Tahoma"/>
          <w:b/>
          <w:bCs/>
          <w:sz w:val="20"/>
          <w:szCs w:val="20"/>
        </w:rPr>
        <w:t>.</w:t>
      </w:r>
      <w:r>
        <w:rPr>
          <w:rFonts w:ascii="Arial" w:hAnsi="Arial" w:cs="Tahoma"/>
          <w:b/>
          <w:bCs/>
          <w:sz w:val="20"/>
          <w:szCs w:val="20"/>
        </w:rPr>
        <w:t xml:space="preserve"> Nach Einschätzung der Breitbandspezialisten der </w:t>
      </w:r>
      <w:proofErr w:type="spellStart"/>
      <w:r>
        <w:rPr>
          <w:rFonts w:ascii="Arial" w:hAnsi="Arial" w:cs="Tahoma"/>
          <w:b/>
          <w:bCs/>
          <w:sz w:val="20"/>
          <w:szCs w:val="20"/>
        </w:rPr>
        <w:t>tktVivax</w:t>
      </w:r>
      <w:proofErr w:type="spellEnd"/>
      <w:r>
        <w:rPr>
          <w:rFonts w:ascii="Arial" w:hAnsi="Arial" w:cs="Tahoma"/>
          <w:b/>
          <w:bCs/>
          <w:sz w:val="20"/>
          <w:szCs w:val="20"/>
        </w:rPr>
        <w:t xml:space="preserve"> wird das den Glasfaserausbau in Baden-Württemberg deutlich zurückwerfen. „Mit dieser Maßnahme nimmt das Land die Vereinfachungen bei der Beantragung von Fördermitteln, die der Bund erst im vergangenen Jahr eingeführt hat, jetzt wieder zurück. Mehr noch: So, wie sich das Papier liest, muss nun jede baden-württembergische Kommune einen Masterplan für ein flächendeckendes Glasfasernetzt vorlegen, um überhaupt einen Antrag auf Förderung stellen zu können“, fasst </w:t>
      </w:r>
      <w:r w:rsidR="002B36BE">
        <w:rPr>
          <w:rFonts w:ascii="Arial" w:hAnsi="Arial" w:cs="Tahoma"/>
          <w:b/>
          <w:bCs/>
          <w:sz w:val="20"/>
          <w:szCs w:val="20"/>
        </w:rPr>
        <w:t xml:space="preserve">Dirk </w:t>
      </w:r>
      <w:proofErr w:type="spellStart"/>
      <w:r w:rsidR="002B36BE">
        <w:rPr>
          <w:rFonts w:ascii="Arial" w:hAnsi="Arial" w:cs="Tahoma"/>
          <w:b/>
          <w:bCs/>
          <w:sz w:val="20"/>
          <w:szCs w:val="20"/>
        </w:rPr>
        <w:t>Fieml</w:t>
      </w:r>
      <w:proofErr w:type="spellEnd"/>
      <w:r>
        <w:rPr>
          <w:rFonts w:ascii="Arial" w:hAnsi="Arial" w:cs="Tahoma"/>
          <w:b/>
          <w:bCs/>
          <w:sz w:val="20"/>
          <w:szCs w:val="20"/>
        </w:rPr>
        <w:t xml:space="preserve">, Geschäftsführer der </w:t>
      </w:r>
      <w:proofErr w:type="spellStart"/>
      <w:r>
        <w:rPr>
          <w:rFonts w:ascii="Arial" w:hAnsi="Arial" w:cs="Tahoma"/>
          <w:b/>
          <w:bCs/>
          <w:sz w:val="20"/>
          <w:szCs w:val="20"/>
        </w:rPr>
        <w:t>tktVivax</w:t>
      </w:r>
      <w:proofErr w:type="spellEnd"/>
      <w:r>
        <w:rPr>
          <w:rFonts w:ascii="Arial" w:hAnsi="Arial" w:cs="Tahoma"/>
          <w:b/>
          <w:bCs/>
          <w:sz w:val="20"/>
          <w:szCs w:val="20"/>
        </w:rPr>
        <w:t xml:space="preserve"> GmbH mit Sitz in Backnang und Potsdam, die Problematik zusammen.</w:t>
      </w:r>
      <w:r w:rsidR="00E835B3">
        <w:rPr>
          <w:rFonts w:ascii="Arial" w:hAnsi="Arial" w:cs="Tahoma"/>
          <w:b/>
          <w:bCs/>
          <w:sz w:val="20"/>
          <w:szCs w:val="20"/>
        </w:rPr>
        <w:t xml:space="preserve"> Diese Vorgaben seien </w:t>
      </w:r>
      <w:r w:rsidR="00972598">
        <w:rPr>
          <w:rFonts w:ascii="Arial" w:hAnsi="Arial" w:cs="Tahoma"/>
          <w:b/>
          <w:bCs/>
          <w:sz w:val="20"/>
          <w:szCs w:val="20"/>
        </w:rPr>
        <w:t>insbesondere beim so genannten „Wirtschaftlichkeitslückenmodell“</w:t>
      </w:r>
      <w:r w:rsidR="00E835B3">
        <w:rPr>
          <w:rFonts w:ascii="Arial" w:hAnsi="Arial" w:cs="Tahoma"/>
          <w:b/>
          <w:bCs/>
          <w:sz w:val="20"/>
          <w:szCs w:val="20"/>
        </w:rPr>
        <w:t xml:space="preserve"> überzogen, betont </w:t>
      </w:r>
      <w:proofErr w:type="spellStart"/>
      <w:r w:rsidR="002B36BE">
        <w:rPr>
          <w:rFonts w:ascii="Arial" w:hAnsi="Arial" w:cs="Tahoma"/>
          <w:b/>
          <w:bCs/>
          <w:sz w:val="20"/>
          <w:szCs w:val="20"/>
        </w:rPr>
        <w:t>Fieml</w:t>
      </w:r>
      <w:proofErr w:type="spellEnd"/>
      <w:r w:rsidR="00972598">
        <w:rPr>
          <w:rFonts w:ascii="Arial" w:hAnsi="Arial" w:cs="Tahoma"/>
          <w:b/>
          <w:bCs/>
          <w:sz w:val="20"/>
          <w:szCs w:val="20"/>
        </w:rPr>
        <w:t>.</w:t>
      </w:r>
      <w:r w:rsidR="00E835B3">
        <w:rPr>
          <w:rFonts w:ascii="Arial" w:hAnsi="Arial" w:cs="Tahoma"/>
          <w:b/>
          <w:bCs/>
          <w:sz w:val="20"/>
          <w:szCs w:val="20"/>
        </w:rPr>
        <w:t xml:space="preserve"> </w:t>
      </w:r>
      <w:r w:rsidR="00972598">
        <w:rPr>
          <w:rFonts w:ascii="Arial" w:hAnsi="Arial" w:cs="Tahoma"/>
          <w:b/>
          <w:bCs/>
          <w:sz w:val="20"/>
          <w:szCs w:val="20"/>
        </w:rPr>
        <w:t>D</w:t>
      </w:r>
      <w:r w:rsidR="00E835B3">
        <w:rPr>
          <w:rFonts w:ascii="Arial" w:hAnsi="Arial" w:cs="Tahoma"/>
          <w:b/>
          <w:bCs/>
          <w:sz w:val="20"/>
          <w:szCs w:val="20"/>
        </w:rPr>
        <w:t xml:space="preserve">enn </w:t>
      </w:r>
      <w:r w:rsidR="00972598">
        <w:rPr>
          <w:rFonts w:ascii="Arial" w:hAnsi="Arial" w:cs="Tahoma"/>
          <w:b/>
          <w:bCs/>
          <w:sz w:val="20"/>
          <w:szCs w:val="20"/>
        </w:rPr>
        <w:t>in der Kürze der Zeit</w:t>
      </w:r>
      <w:r w:rsidR="00E835B3">
        <w:rPr>
          <w:rFonts w:ascii="Arial" w:hAnsi="Arial" w:cs="Tahoma"/>
          <w:b/>
          <w:bCs/>
          <w:sz w:val="20"/>
          <w:szCs w:val="20"/>
        </w:rPr>
        <w:t xml:space="preserve"> sei eine derart exakte Planungsvorlage </w:t>
      </w:r>
      <w:r w:rsidR="00C61B5D">
        <w:rPr>
          <w:rFonts w:ascii="Arial" w:hAnsi="Arial" w:cs="Tahoma"/>
          <w:b/>
          <w:bCs/>
          <w:sz w:val="20"/>
          <w:szCs w:val="20"/>
        </w:rPr>
        <w:t>nur mit hohem Aufwand</w:t>
      </w:r>
      <w:r w:rsidR="00E835B3">
        <w:rPr>
          <w:rFonts w:ascii="Arial" w:hAnsi="Arial" w:cs="Tahoma"/>
          <w:b/>
          <w:bCs/>
          <w:sz w:val="20"/>
          <w:szCs w:val="20"/>
        </w:rPr>
        <w:t xml:space="preserve"> umzusetzen.</w:t>
      </w:r>
      <w:r w:rsidR="00402F7C">
        <w:rPr>
          <w:rFonts w:ascii="Arial" w:hAnsi="Arial" w:cs="Tahoma"/>
          <w:b/>
          <w:bCs/>
          <w:sz w:val="20"/>
          <w:szCs w:val="20"/>
        </w:rPr>
        <w:t xml:space="preserve"> </w:t>
      </w:r>
    </w:p>
    <w:p w14:paraId="506DA505" w14:textId="65F8AE82" w:rsidR="00582ECD" w:rsidRDefault="00E835B3" w:rsidP="005D3D1E">
      <w:pPr>
        <w:spacing w:line="360" w:lineRule="auto"/>
        <w:rPr>
          <w:rFonts w:ascii="Arial" w:hAnsi="Arial" w:cs="Tahoma"/>
          <w:sz w:val="20"/>
          <w:szCs w:val="20"/>
        </w:rPr>
      </w:pPr>
      <w:r>
        <w:rPr>
          <w:rFonts w:ascii="Arial" w:hAnsi="Arial" w:cs="Tahoma"/>
          <w:sz w:val="20"/>
          <w:szCs w:val="20"/>
        </w:rPr>
        <w:t>Nach dem geltenden Bundesförderprogramm können baden-württembergische Kommunen für den Glasfaserausbau derzeit Fördermittel vom Bund in Höhe von bis zu 50 Prozent der Investitionskosten erhalten sowie eine Ko-Finanzierung in Höhe von 40 Prozent vom Land. Um den Glasfaserausbau zu beschleunigen, hatte der Bund die Vorgaben für die Beantragung 2018 deutlich vereinfacht. Nach den neuen GIS-Nebenbestimmungen müssen die Kommunen ab dem 1</w:t>
      </w:r>
      <w:r w:rsidR="001E6F47">
        <w:rPr>
          <w:rFonts w:ascii="Arial" w:hAnsi="Arial" w:cs="Tahoma"/>
          <w:sz w:val="20"/>
          <w:szCs w:val="20"/>
        </w:rPr>
        <w:t>.</w:t>
      </w:r>
      <w:r>
        <w:rPr>
          <w:rFonts w:ascii="Arial" w:hAnsi="Arial" w:cs="Tahoma"/>
          <w:sz w:val="20"/>
          <w:szCs w:val="20"/>
        </w:rPr>
        <w:t xml:space="preserve"> November nun sehr detaillierte Planungsdaten vorlegen. So wird in dem Papier beispielsweise gefordert, eine FTTB-Feinplanung (Fiber-</w:t>
      </w:r>
      <w:proofErr w:type="spellStart"/>
      <w:r>
        <w:rPr>
          <w:rFonts w:ascii="Arial" w:hAnsi="Arial" w:cs="Tahoma"/>
          <w:sz w:val="20"/>
          <w:szCs w:val="20"/>
        </w:rPr>
        <w:t>to</w:t>
      </w:r>
      <w:proofErr w:type="spellEnd"/>
      <w:r>
        <w:rPr>
          <w:rFonts w:ascii="Arial" w:hAnsi="Arial" w:cs="Tahoma"/>
          <w:sz w:val="20"/>
          <w:szCs w:val="20"/>
        </w:rPr>
        <w:t>-</w:t>
      </w:r>
      <w:proofErr w:type="spellStart"/>
      <w:r>
        <w:rPr>
          <w:rFonts w:ascii="Arial" w:hAnsi="Arial" w:cs="Tahoma"/>
          <w:sz w:val="20"/>
          <w:szCs w:val="20"/>
        </w:rPr>
        <w:t>the</w:t>
      </w:r>
      <w:proofErr w:type="spellEnd"/>
      <w:r>
        <w:rPr>
          <w:rFonts w:ascii="Arial" w:hAnsi="Arial" w:cs="Tahoma"/>
          <w:sz w:val="20"/>
          <w:szCs w:val="20"/>
        </w:rPr>
        <w:t>-Building) aufzustellen, in der sehr genau dargelegt wird, wo die einzelnen Hausanschlüsse zu installieren sind</w:t>
      </w:r>
      <w:r w:rsidR="00681349">
        <w:rPr>
          <w:rFonts w:ascii="Arial" w:hAnsi="Arial" w:cs="Tahoma"/>
          <w:sz w:val="20"/>
          <w:szCs w:val="20"/>
        </w:rPr>
        <w:t xml:space="preserve">. Auch die einzelnen Trassenabschnitte und die zu verlegenden Rohre müssen exakt aufgeführt werden. „Damit steigt der Planungsaufwand drastisch an, denn inhaltlich wird hier der Aufbau eines Masterplans für eine flächendeckende Glasfaserversorgung in der Kommune </w:t>
      </w:r>
      <w:r w:rsidR="00681349">
        <w:rPr>
          <w:rFonts w:ascii="Arial" w:hAnsi="Arial" w:cs="Tahoma"/>
          <w:sz w:val="20"/>
          <w:szCs w:val="20"/>
        </w:rPr>
        <w:lastRenderedPageBreak/>
        <w:t xml:space="preserve">gefordert. Im Prinzip also eine fertige Planung, und dies bevor überhaupt über die Vergabe von Fördermitteln entschieden wurde. Dies wird den Glasfaserausbau um Monate verzögern, denn viele Kommunen müssen ihre Projekte jetzt völlig neu aufsetzen“, so </w:t>
      </w:r>
      <w:r w:rsidR="002B36BE">
        <w:rPr>
          <w:rFonts w:ascii="Arial" w:hAnsi="Arial" w:cs="Tahoma"/>
          <w:sz w:val="20"/>
          <w:szCs w:val="20"/>
        </w:rPr>
        <w:t xml:space="preserve">Dirk </w:t>
      </w:r>
      <w:proofErr w:type="spellStart"/>
      <w:r w:rsidR="002B36BE">
        <w:rPr>
          <w:rFonts w:ascii="Arial" w:hAnsi="Arial" w:cs="Tahoma"/>
          <w:sz w:val="20"/>
          <w:szCs w:val="20"/>
        </w:rPr>
        <w:t>Fieml</w:t>
      </w:r>
      <w:proofErr w:type="spellEnd"/>
      <w:r w:rsidR="00681349">
        <w:rPr>
          <w:rFonts w:ascii="Arial" w:hAnsi="Arial" w:cs="Tahoma"/>
          <w:sz w:val="20"/>
          <w:szCs w:val="20"/>
        </w:rPr>
        <w:t xml:space="preserve">. </w:t>
      </w:r>
      <w:proofErr w:type="spellStart"/>
      <w:r w:rsidR="00C61B5D" w:rsidRPr="00C61B5D">
        <w:rPr>
          <w:rFonts w:ascii="Arial" w:hAnsi="Arial" w:cs="Tahoma"/>
          <w:sz w:val="20"/>
          <w:szCs w:val="20"/>
        </w:rPr>
        <w:t>tktVivax</w:t>
      </w:r>
      <w:proofErr w:type="spellEnd"/>
      <w:r w:rsidR="00C61B5D" w:rsidRPr="00C61B5D">
        <w:rPr>
          <w:rFonts w:ascii="Arial" w:hAnsi="Arial" w:cs="Tahoma"/>
          <w:sz w:val="20"/>
          <w:szCs w:val="20"/>
        </w:rPr>
        <w:t xml:space="preserve"> hat sich jetzt mit einem Schreiben an das baden-württembergische Ministerium für Inneres, Digitalisierung und Migration gewandt und um Klärung der mit den neuen GIS-Nebenbestimmungen verbunden offenen Fragen gebeten (siehe Anlage).</w:t>
      </w:r>
    </w:p>
    <w:p w14:paraId="43D8735C" w14:textId="77777777" w:rsidR="00C61B5D" w:rsidRPr="000655B7" w:rsidRDefault="00C61B5D" w:rsidP="005D3D1E">
      <w:pPr>
        <w:spacing w:line="360" w:lineRule="auto"/>
        <w:rPr>
          <w:rFonts w:ascii="Arial" w:hAnsi="Arial" w:cs="Tahoma"/>
          <w:sz w:val="20"/>
          <w:szCs w:val="20"/>
        </w:rPr>
      </w:pPr>
    </w:p>
    <w:tbl>
      <w:tblPr>
        <w:tblW w:w="9180" w:type="dxa"/>
        <w:tblLook w:val="04A0" w:firstRow="1" w:lastRow="0" w:firstColumn="1" w:lastColumn="0" w:noHBand="0" w:noVBand="1"/>
      </w:tblPr>
      <w:tblGrid>
        <w:gridCol w:w="4361"/>
        <w:gridCol w:w="4819"/>
      </w:tblGrid>
      <w:tr w:rsidR="005D3D1E" w:rsidRPr="000655B7" w14:paraId="55C2A03B" w14:textId="77777777" w:rsidTr="00B714E4">
        <w:tc>
          <w:tcPr>
            <w:tcW w:w="4361" w:type="dxa"/>
            <w:shd w:val="clear" w:color="auto" w:fill="auto"/>
          </w:tcPr>
          <w:p w14:paraId="357997F4" w14:textId="5F6FB02B" w:rsidR="005D3D1E" w:rsidRPr="008457BE" w:rsidRDefault="005D3D1E" w:rsidP="00B714E4">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8457BE">
              <w:rPr>
                <w:rFonts w:ascii="Arial" w:hAnsi="Arial" w:cs="Calibri"/>
                <w:sz w:val="16"/>
                <w:szCs w:val="26"/>
                <w:lang w:eastAsia="de-DE"/>
              </w:rPr>
              <w:t>Kurfürstendamm 194</w:t>
            </w:r>
            <w:r>
              <w:rPr>
                <w:rFonts w:ascii="Arial" w:hAnsi="Arial" w:cs="Calibri"/>
                <w:sz w:val="16"/>
                <w:szCs w:val="26"/>
                <w:lang w:eastAsia="de-DE"/>
              </w:rPr>
              <w:t xml:space="preserve"> – </w:t>
            </w:r>
            <w:r w:rsidRPr="008457BE">
              <w:rPr>
                <w:rFonts w:ascii="Arial" w:hAnsi="Arial" w:cs="Calibri"/>
                <w:sz w:val="16"/>
                <w:szCs w:val="26"/>
                <w:lang w:eastAsia="de-DE"/>
              </w:rPr>
              <w:t>10707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w:t>
            </w:r>
            <w:r w:rsidR="00CD490F">
              <w:rPr>
                <w:rFonts w:ascii="Arial" w:hAnsi="Arial" w:cs="Calibri"/>
                <w:sz w:val="16"/>
                <w:szCs w:val="26"/>
                <w:lang w:eastAsia="de-DE"/>
              </w:rPr>
              <w:t>tkt</w:t>
            </w:r>
            <w:r w:rsidR="003B6004">
              <w:rPr>
                <w:rFonts w:ascii="Arial" w:hAnsi="Arial" w:cs="Calibri"/>
                <w:sz w:val="16"/>
                <w:szCs w:val="26"/>
                <w:lang w:eastAsia="de-DE"/>
              </w:rPr>
              <w:t>-</w:t>
            </w:r>
            <w:r w:rsidR="00CD490F">
              <w:rPr>
                <w:rFonts w:ascii="Arial" w:hAnsi="Arial" w:cs="Calibri"/>
                <w:sz w:val="16"/>
                <w:szCs w:val="26"/>
                <w:lang w:eastAsia="de-DE"/>
              </w:rPr>
              <w:t>vivax.de</w:t>
            </w:r>
          </w:p>
          <w:p w14:paraId="14C72989" w14:textId="77777777" w:rsidR="005D3D1E" w:rsidRPr="008457BE" w:rsidRDefault="005D3D1E" w:rsidP="00B714E4">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37912198" w14:textId="77777777" w:rsidR="005D3D1E" w:rsidRPr="000655B7" w:rsidRDefault="005D3D1E" w:rsidP="00B714E4">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2E55E5C6" w14:textId="1E049233" w:rsidR="007749DD" w:rsidRPr="005D3D1E" w:rsidRDefault="005D3D1E" w:rsidP="005D3D1E">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 xml:space="preserve">Berlin </w:t>
      </w:r>
      <w:r w:rsidR="00C61B5D">
        <w:rPr>
          <w:rFonts w:ascii="Arial" w:hAnsi="Arial" w:cs="Calibri"/>
          <w:sz w:val="16"/>
          <w:szCs w:val="26"/>
          <w:lang w:eastAsia="de-DE"/>
        </w:rPr>
        <w:t>und Backnang unterstützt ihre Kunden</w:t>
      </w:r>
      <w:r>
        <w:rPr>
          <w:rFonts w:ascii="Arial" w:hAnsi="Arial" w:cs="Calibri"/>
          <w:sz w:val="16"/>
          <w:szCs w:val="26"/>
          <w:lang w:eastAsia="de-DE"/>
        </w:rPr>
        <w:t xml:space="preserve"> im </w:t>
      </w:r>
      <w:r w:rsidRPr="007749DD">
        <w:rPr>
          <w:rFonts w:ascii="Arial" w:hAnsi="Arial" w:cs="Calibri"/>
          <w:sz w:val="16"/>
          <w:szCs w:val="26"/>
          <w:lang w:eastAsia="de-DE"/>
        </w:rPr>
        <w:t xml:space="preserve">Bereich zukunftsorientierter Telekommunikationstechnologien </w:t>
      </w:r>
      <w:r w:rsidR="00C61B5D">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bookmarkEnd w:id="2"/>
    </w:p>
    <w:sectPr w:rsidR="007749DD" w:rsidRPr="005D3D1E" w:rsidSect="000655B7">
      <w:headerReference w:type="default" r:id="rId9"/>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25E81A" w14:textId="77777777" w:rsidR="00DA183D" w:rsidRDefault="00DA183D" w:rsidP="00BF70FE">
      <w:pPr>
        <w:spacing w:after="0" w:line="240" w:lineRule="auto"/>
      </w:pPr>
      <w:r>
        <w:separator/>
      </w:r>
    </w:p>
  </w:endnote>
  <w:endnote w:type="continuationSeparator" w:id="0">
    <w:p w14:paraId="24D6F312" w14:textId="77777777" w:rsidR="00DA183D" w:rsidRDefault="00DA183D"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Calibr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20F596" w14:textId="77777777" w:rsidR="00DA183D" w:rsidRDefault="00DA183D" w:rsidP="00BF70FE">
      <w:pPr>
        <w:spacing w:after="0" w:line="240" w:lineRule="auto"/>
      </w:pPr>
      <w:r>
        <w:separator/>
      </w:r>
    </w:p>
  </w:footnote>
  <w:footnote w:type="continuationSeparator" w:id="0">
    <w:p w14:paraId="2145DC4D" w14:textId="77777777" w:rsidR="00DA183D" w:rsidRDefault="00DA183D"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0"/>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26CFD"/>
    <w:rsid w:val="00037B8A"/>
    <w:rsid w:val="0006200B"/>
    <w:rsid w:val="00065270"/>
    <w:rsid w:val="000655B7"/>
    <w:rsid w:val="000823CF"/>
    <w:rsid w:val="000A1E6B"/>
    <w:rsid w:val="000A4C5E"/>
    <w:rsid w:val="000A4C93"/>
    <w:rsid w:val="000C4746"/>
    <w:rsid w:val="000D4DE3"/>
    <w:rsid w:val="000E087D"/>
    <w:rsid w:val="000E7CE7"/>
    <w:rsid w:val="000F2111"/>
    <w:rsid w:val="000F4F9D"/>
    <w:rsid w:val="0010198B"/>
    <w:rsid w:val="00104674"/>
    <w:rsid w:val="00106821"/>
    <w:rsid w:val="00131142"/>
    <w:rsid w:val="0013234F"/>
    <w:rsid w:val="00135237"/>
    <w:rsid w:val="00157861"/>
    <w:rsid w:val="00181FBB"/>
    <w:rsid w:val="00187FC7"/>
    <w:rsid w:val="001C51EC"/>
    <w:rsid w:val="001D2FB7"/>
    <w:rsid w:val="001E6755"/>
    <w:rsid w:val="001E6F47"/>
    <w:rsid w:val="00205941"/>
    <w:rsid w:val="00207A9F"/>
    <w:rsid w:val="00213AF7"/>
    <w:rsid w:val="00221777"/>
    <w:rsid w:val="00237217"/>
    <w:rsid w:val="00262A08"/>
    <w:rsid w:val="00265589"/>
    <w:rsid w:val="002745F8"/>
    <w:rsid w:val="002757A3"/>
    <w:rsid w:val="0028558F"/>
    <w:rsid w:val="002A7E29"/>
    <w:rsid w:val="002B36BE"/>
    <w:rsid w:val="002B3E9E"/>
    <w:rsid w:val="002D5B66"/>
    <w:rsid w:val="002D6045"/>
    <w:rsid w:val="002E0481"/>
    <w:rsid w:val="002F1BFF"/>
    <w:rsid w:val="0030091A"/>
    <w:rsid w:val="00304113"/>
    <w:rsid w:val="00314048"/>
    <w:rsid w:val="003274D8"/>
    <w:rsid w:val="00341A34"/>
    <w:rsid w:val="0035256E"/>
    <w:rsid w:val="00362AE7"/>
    <w:rsid w:val="00394D5C"/>
    <w:rsid w:val="003953CA"/>
    <w:rsid w:val="003A3B30"/>
    <w:rsid w:val="003A6602"/>
    <w:rsid w:val="003B4407"/>
    <w:rsid w:val="003B6004"/>
    <w:rsid w:val="003B69BD"/>
    <w:rsid w:val="003C0B6F"/>
    <w:rsid w:val="003C475B"/>
    <w:rsid w:val="003D63AC"/>
    <w:rsid w:val="00402F7C"/>
    <w:rsid w:val="00406C69"/>
    <w:rsid w:val="004137FD"/>
    <w:rsid w:val="00427AD2"/>
    <w:rsid w:val="004422BD"/>
    <w:rsid w:val="004467C0"/>
    <w:rsid w:val="004540FC"/>
    <w:rsid w:val="00454989"/>
    <w:rsid w:val="00463FE6"/>
    <w:rsid w:val="00465CBB"/>
    <w:rsid w:val="004713E0"/>
    <w:rsid w:val="004810F6"/>
    <w:rsid w:val="00497AEF"/>
    <w:rsid w:val="004B0D7E"/>
    <w:rsid w:val="004F5892"/>
    <w:rsid w:val="00521E6A"/>
    <w:rsid w:val="0053379A"/>
    <w:rsid w:val="00556FEE"/>
    <w:rsid w:val="005577A0"/>
    <w:rsid w:val="00557F58"/>
    <w:rsid w:val="00576A90"/>
    <w:rsid w:val="00576E59"/>
    <w:rsid w:val="00582ECD"/>
    <w:rsid w:val="005926D7"/>
    <w:rsid w:val="005958C2"/>
    <w:rsid w:val="00596BC4"/>
    <w:rsid w:val="005D3D1E"/>
    <w:rsid w:val="005F63B7"/>
    <w:rsid w:val="00633111"/>
    <w:rsid w:val="006563BE"/>
    <w:rsid w:val="00664FF9"/>
    <w:rsid w:val="006663C8"/>
    <w:rsid w:val="00681349"/>
    <w:rsid w:val="00682686"/>
    <w:rsid w:val="00682E83"/>
    <w:rsid w:val="006D38DD"/>
    <w:rsid w:val="006F2189"/>
    <w:rsid w:val="00705635"/>
    <w:rsid w:val="00712F91"/>
    <w:rsid w:val="00714AB5"/>
    <w:rsid w:val="007162A5"/>
    <w:rsid w:val="007169F8"/>
    <w:rsid w:val="00726D0D"/>
    <w:rsid w:val="00732F57"/>
    <w:rsid w:val="00742C79"/>
    <w:rsid w:val="00751621"/>
    <w:rsid w:val="00752985"/>
    <w:rsid w:val="00753CE4"/>
    <w:rsid w:val="00764363"/>
    <w:rsid w:val="00766B7A"/>
    <w:rsid w:val="007749DD"/>
    <w:rsid w:val="007768B7"/>
    <w:rsid w:val="00780026"/>
    <w:rsid w:val="00785A83"/>
    <w:rsid w:val="00785BC8"/>
    <w:rsid w:val="007F3F43"/>
    <w:rsid w:val="00803966"/>
    <w:rsid w:val="00822F51"/>
    <w:rsid w:val="008457BE"/>
    <w:rsid w:val="00860C87"/>
    <w:rsid w:val="00872E24"/>
    <w:rsid w:val="008C3262"/>
    <w:rsid w:val="00915DD5"/>
    <w:rsid w:val="00937B5E"/>
    <w:rsid w:val="0094694E"/>
    <w:rsid w:val="00953399"/>
    <w:rsid w:val="0095460E"/>
    <w:rsid w:val="00972598"/>
    <w:rsid w:val="0098474D"/>
    <w:rsid w:val="00993991"/>
    <w:rsid w:val="009A5414"/>
    <w:rsid w:val="009B04A2"/>
    <w:rsid w:val="009C0CE4"/>
    <w:rsid w:val="009E6B35"/>
    <w:rsid w:val="009F0C3D"/>
    <w:rsid w:val="00A22923"/>
    <w:rsid w:val="00A257D2"/>
    <w:rsid w:val="00A32BA5"/>
    <w:rsid w:val="00A339B3"/>
    <w:rsid w:val="00A461EC"/>
    <w:rsid w:val="00A462DC"/>
    <w:rsid w:val="00A551F1"/>
    <w:rsid w:val="00A55C3C"/>
    <w:rsid w:val="00A56E5A"/>
    <w:rsid w:val="00A86E2E"/>
    <w:rsid w:val="00AC6091"/>
    <w:rsid w:val="00AD08BE"/>
    <w:rsid w:val="00AD4250"/>
    <w:rsid w:val="00B11CFE"/>
    <w:rsid w:val="00B27B9D"/>
    <w:rsid w:val="00B43DB2"/>
    <w:rsid w:val="00B46CF9"/>
    <w:rsid w:val="00B47F46"/>
    <w:rsid w:val="00B71C92"/>
    <w:rsid w:val="00B753D5"/>
    <w:rsid w:val="00B819A5"/>
    <w:rsid w:val="00B96701"/>
    <w:rsid w:val="00BA51BE"/>
    <w:rsid w:val="00BB3C47"/>
    <w:rsid w:val="00BC1CCE"/>
    <w:rsid w:val="00BC3A66"/>
    <w:rsid w:val="00BE3C7C"/>
    <w:rsid w:val="00BF3BB4"/>
    <w:rsid w:val="00BF70FE"/>
    <w:rsid w:val="00C27553"/>
    <w:rsid w:val="00C32033"/>
    <w:rsid w:val="00C424EF"/>
    <w:rsid w:val="00C52268"/>
    <w:rsid w:val="00C61B5D"/>
    <w:rsid w:val="00C6235A"/>
    <w:rsid w:val="00C84CCA"/>
    <w:rsid w:val="00C91823"/>
    <w:rsid w:val="00CB2102"/>
    <w:rsid w:val="00CB3800"/>
    <w:rsid w:val="00CC44E9"/>
    <w:rsid w:val="00CC4D60"/>
    <w:rsid w:val="00CD3EF6"/>
    <w:rsid w:val="00CD490F"/>
    <w:rsid w:val="00CD5183"/>
    <w:rsid w:val="00D02991"/>
    <w:rsid w:val="00D1662C"/>
    <w:rsid w:val="00D16EBD"/>
    <w:rsid w:val="00D20803"/>
    <w:rsid w:val="00D2582F"/>
    <w:rsid w:val="00D429BE"/>
    <w:rsid w:val="00D52A64"/>
    <w:rsid w:val="00D572B9"/>
    <w:rsid w:val="00D63982"/>
    <w:rsid w:val="00D9728A"/>
    <w:rsid w:val="00DA183D"/>
    <w:rsid w:val="00DC1341"/>
    <w:rsid w:val="00DC2EE2"/>
    <w:rsid w:val="00DE4605"/>
    <w:rsid w:val="00DF3864"/>
    <w:rsid w:val="00DF581E"/>
    <w:rsid w:val="00E14982"/>
    <w:rsid w:val="00E20A29"/>
    <w:rsid w:val="00E26B5E"/>
    <w:rsid w:val="00E3135E"/>
    <w:rsid w:val="00E37F9E"/>
    <w:rsid w:val="00E478B7"/>
    <w:rsid w:val="00E570C4"/>
    <w:rsid w:val="00E60782"/>
    <w:rsid w:val="00E60990"/>
    <w:rsid w:val="00E6120F"/>
    <w:rsid w:val="00E64CFD"/>
    <w:rsid w:val="00E704E3"/>
    <w:rsid w:val="00E73FD3"/>
    <w:rsid w:val="00E833E9"/>
    <w:rsid w:val="00E835B3"/>
    <w:rsid w:val="00E92706"/>
    <w:rsid w:val="00E96682"/>
    <w:rsid w:val="00EA337B"/>
    <w:rsid w:val="00EB6A45"/>
    <w:rsid w:val="00ED3254"/>
    <w:rsid w:val="00ED48B5"/>
    <w:rsid w:val="00EF4362"/>
    <w:rsid w:val="00F02294"/>
    <w:rsid w:val="00F60AEE"/>
    <w:rsid w:val="00F66C89"/>
    <w:rsid w:val="00F66CAF"/>
    <w:rsid w:val="00F80BB7"/>
    <w:rsid w:val="00F875B4"/>
    <w:rsid w:val="00F91B9F"/>
    <w:rsid w:val="00F94262"/>
    <w:rsid w:val="00F94264"/>
    <w:rsid w:val="00F965C4"/>
    <w:rsid w:val="00FB447B"/>
    <w:rsid w:val="00FB53D9"/>
    <w:rsid w:val="00FB68F7"/>
    <w:rsid w:val="00FE2E90"/>
    <w:rsid w:val="00FE30BE"/>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507</Words>
  <Characters>3200</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5</cp:revision>
  <cp:lastPrinted>2019-09-04T07:54:00Z</cp:lastPrinted>
  <dcterms:created xsi:type="dcterms:W3CDTF">2019-09-04T09:15:00Z</dcterms:created>
  <dcterms:modified xsi:type="dcterms:W3CDTF">2019-09-04T10:58:00Z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