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ADB943" w14:textId="77777777" w:rsidR="000A752F" w:rsidRDefault="000A752F" w:rsidP="000A752F">
      <w:pPr>
        <w:autoSpaceDE w:val="0"/>
        <w:autoSpaceDN w:val="0"/>
        <w:adjustRightInd w:val="0"/>
        <w:spacing w:after="0" w:line="240" w:lineRule="auto"/>
        <w:rPr>
          <w:rFonts w:ascii="Arial" w:hAnsi="Arial" w:cs="Arial"/>
          <w:b/>
          <w:color w:val="000000"/>
          <w:sz w:val="24"/>
          <w:szCs w:val="24"/>
        </w:rPr>
      </w:pPr>
    </w:p>
    <w:p w14:paraId="41A91AD4" w14:textId="77777777" w:rsidR="000A752F" w:rsidRPr="000655B7" w:rsidRDefault="000A752F" w:rsidP="000A752F">
      <w:pPr>
        <w:autoSpaceDE w:val="0"/>
        <w:autoSpaceDN w:val="0"/>
        <w:adjustRightInd w:val="0"/>
        <w:spacing w:after="0" w:line="240" w:lineRule="auto"/>
        <w:rPr>
          <w:rFonts w:ascii="Arial" w:hAnsi="Arial" w:cs="Arial"/>
          <w:b/>
          <w:color w:val="000000"/>
          <w:sz w:val="24"/>
          <w:szCs w:val="24"/>
        </w:rPr>
      </w:pPr>
    </w:p>
    <w:p w14:paraId="0F77088A" w14:textId="77777777" w:rsidR="000A752F" w:rsidRPr="000655B7" w:rsidRDefault="000A752F" w:rsidP="000A752F">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648F6195" w14:textId="77777777" w:rsidR="000A752F" w:rsidRDefault="000A752F" w:rsidP="000A752F">
      <w:pPr>
        <w:autoSpaceDE w:val="0"/>
        <w:autoSpaceDN w:val="0"/>
        <w:adjustRightInd w:val="0"/>
        <w:spacing w:after="0" w:line="240" w:lineRule="auto"/>
        <w:rPr>
          <w:rFonts w:ascii="Arial" w:hAnsi="Arial" w:cs="Arial"/>
          <w:color w:val="000000"/>
        </w:rPr>
      </w:pPr>
    </w:p>
    <w:p w14:paraId="6B9F8DF5" w14:textId="343C40B6" w:rsidR="000A752F" w:rsidRDefault="000A752F" w:rsidP="000A752F">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3911B7" w:rsidRPr="003911B7">
        <w:rPr>
          <w:rFonts w:ascii="Arial" w:hAnsi="Arial" w:cs="Arial"/>
        </w:rPr>
        <w:t>22</w:t>
      </w:r>
      <w:r w:rsidRPr="003911B7">
        <w:rPr>
          <w:rFonts w:ascii="Arial" w:hAnsi="Arial" w:cs="Arial"/>
        </w:rPr>
        <w:t>.</w:t>
      </w:r>
      <w:r w:rsidRPr="003A2746">
        <w:rPr>
          <w:rFonts w:ascii="Arial" w:hAnsi="Arial" w:cs="Arial"/>
        </w:rPr>
        <w:t xml:space="preserve"> </w:t>
      </w:r>
      <w:r w:rsidR="001C6603">
        <w:rPr>
          <w:rFonts w:ascii="Arial" w:hAnsi="Arial" w:cs="Arial"/>
        </w:rPr>
        <w:t>März</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Pr>
          <w:rFonts w:ascii="Arial" w:hAnsi="Arial" w:cs="Arial"/>
          <w:color w:val="000000"/>
        </w:rPr>
        <w:t>3</w:t>
      </w:r>
    </w:p>
    <w:p w14:paraId="0B1DB2CF" w14:textId="0D6167D9" w:rsidR="0091465C" w:rsidRDefault="0091465C" w:rsidP="000A752F">
      <w:pPr>
        <w:autoSpaceDE w:val="0"/>
        <w:autoSpaceDN w:val="0"/>
        <w:adjustRightInd w:val="0"/>
        <w:spacing w:after="0" w:line="240" w:lineRule="auto"/>
        <w:rPr>
          <w:rFonts w:ascii="Arial" w:hAnsi="Arial" w:cs="Arial"/>
          <w:color w:val="000000"/>
        </w:rPr>
      </w:pPr>
    </w:p>
    <w:p w14:paraId="6CD9AF98" w14:textId="459BA363" w:rsidR="0091465C" w:rsidRPr="008709F4" w:rsidRDefault="008709F4" w:rsidP="000A752F">
      <w:pPr>
        <w:autoSpaceDE w:val="0"/>
        <w:autoSpaceDN w:val="0"/>
        <w:adjustRightInd w:val="0"/>
        <w:spacing w:after="0" w:line="240" w:lineRule="auto"/>
        <w:rPr>
          <w:rFonts w:ascii="Arial" w:hAnsi="Arial" w:cs="Arial"/>
          <w:b/>
          <w:bCs/>
          <w:color w:val="000000"/>
        </w:rPr>
      </w:pPr>
      <w:r w:rsidRPr="008709F4">
        <w:rPr>
          <w:rFonts w:ascii="Arial" w:hAnsi="Arial" w:cs="Arial"/>
          <w:b/>
          <w:bCs/>
          <w:color w:val="000000"/>
        </w:rPr>
        <w:t xml:space="preserve">E-world energy &amp; water, 23. bis 25. Mai 2023 – </w:t>
      </w:r>
      <w:r w:rsidRPr="00CB17AD">
        <w:rPr>
          <w:rFonts w:ascii="Arial" w:hAnsi="Arial" w:cs="Arial"/>
          <w:b/>
          <w:bCs/>
          <w:color w:val="000000"/>
        </w:rPr>
        <w:t>Halle 2, Stand 322</w:t>
      </w:r>
    </w:p>
    <w:p w14:paraId="6315E15E" w14:textId="77777777" w:rsidR="000A752F" w:rsidRPr="008709F4" w:rsidRDefault="000A752F" w:rsidP="000A752F">
      <w:pPr>
        <w:autoSpaceDE w:val="0"/>
        <w:autoSpaceDN w:val="0"/>
        <w:adjustRightInd w:val="0"/>
        <w:spacing w:after="0" w:line="360" w:lineRule="auto"/>
        <w:ind w:right="-2410"/>
        <w:rPr>
          <w:rFonts w:ascii="Arial" w:hAnsi="Arial" w:cs="Arial"/>
          <w:b/>
          <w:bCs/>
          <w:color w:val="000000"/>
        </w:rPr>
      </w:pPr>
    </w:p>
    <w:p w14:paraId="54E87A1C" w14:textId="71647F28" w:rsidR="000A752F" w:rsidRPr="00CD21DB" w:rsidRDefault="00CD21DB" w:rsidP="001C6603">
      <w:pPr>
        <w:autoSpaceDE w:val="0"/>
        <w:autoSpaceDN w:val="0"/>
        <w:adjustRightInd w:val="0"/>
        <w:spacing w:after="0" w:line="360" w:lineRule="auto"/>
        <w:ind w:right="-1984"/>
        <w:rPr>
          <w:rFonts w:ascii="Arial" w:hAnsi="Arial" w:cs="Arial"/>
          <w:color w:val="000000"/>
        </w:rPr>
      </w:pPr>
      <w:r>
        <w:rPr>
          <w:rFonts w:ascii="Arial" w:hAnsi="Arial" w:cs="Arial"/>
          <w:b/>
          <w:bCs/>
          <w:color w:val="000000"/>
          <w:sz w:val="28"/>
          <w:szCs w:val="28"/>
        </w:rPr>
        <w:t xml:space="preserve">Den </w:t>
      </w:r>
      <w:r w:rsidRPr="00CD21DB">
        <w:rPr>
          <w:rFonts w:ascii="Arial" w:hAnsi="Arial" w:cs="Arial"/>
          <w:b/>
          <w:bCs/>
          <w:color w:val="000000"/>
          <w:sz w:val="28"/>
          <w:szCs w:val="28"/>
        </w:rPr>
        <w:t>Glasfaseraus</w:t>
      </w:r>
      <w:r>
        <w:rPr>
          <w:rFonts w:ascii="Arial" w:hAnsi="Arial" w:cs="Arial"/>
          <w:b/>
          <w:bCs/>
          <w:color w:val="000000"/>
          <w:sz w:val="28"/>
          <w:szCs w:val="28"/>
        </w:rPr>
        <w:t>bau von A bis Z begleiten</w:t>
      </w:r>
      <w:r w:rsidR="000A752F" w:rsidRPr="00CD21DB">
        <w:rPr>
          <w:rFonts w:ascii="Arial" w:hAnsi="Arial" w:cs="Arial"/>
          <w:b/>
          <w:bCs/>
          <w:color w:val="000000"/>
          <w:sz w:val="28"/>
          <w:szCs w:val="28"/>
        </w:rPr>
        <w:br/>
      </w:r>
      <w:r>
        <w:rPr>
          <w:rFonts w:ascii="Arial" w:hAnsi="Arial" w:cs="Arial"/>
          <w:color w:val="000000"/>
        </w:rPr>
        <w:t>tktVivax Group präsentiert auf E-world ganzheitliches Dienstleistungsangebot und weiterentwickelte Software-Lösungen</w:t>
      </w:r>
    </w:p>
    <w:p w14:paraId="6F04F4A1" w14:textId="77777777" w:rsidR="001C6603" w:rsidRPr="00CD21DB" w:rsidRDefault="001C6603" w:rsidP="001C6603">
      <w:pPr>
        <w:autoSpaceDE w:val="0"/>
        <w:autoSpaceDN w:val="0"/>
        <w:adjustRightInd w:val="0"/>
        <w:spacing w:after="0" w:line="360" w:lineRule="auto"/>
        <w:ind w:right="-1984"/>
        <w:rPr>
          <w:rFonts w:ascii="Arial" w:hAnsi="Arial" w:cs="Arial"/>
          <w:color w:val="000000"/>
        </w:rPr>
      </w:pPr>
    </w:p>
    <w:p w14:paraId="75A159F6" w14:textId="18538527" w:rsidR="000A752F" w:rsidRPr="00BD7836" w:rsidRDefault="00BD7836" w:rsidP="000A752F">
      <w:pPr>
        <w:spacing w:line="360" w:lineRule="auto"/>
        <w:rPr>
          <w:rFonts w:ascii="Arial" w:hAnsi="Arial" w:cs="Arial"/>
          <w:b/>
          <w:bCs/>
          <w:color w:val="000000"/>
          <w:sz w:val="20"/>
          <w:szCs w:val="20"/>
        </w:rPr>
      </w:pPr>
      <w:r w:rsidRPr="00BD7836">
        <w:rPr>
          <w:rFonts w:ascii="Arial" w:hAnsi="Arial" w:cs="Arial"/>
          <w:b/>
          <w:bCs/>
          <w:color w:val="000000"/>
          <w:sz w:val="20"/>
          <w:szCs w:val="20"/>
        </w:rPr>
        <w:t>Auf der E-w</w:t>
      </w:r>
      <w:r>
        <w:rPr>
          <w:rFonts w:ascii="Arial" w:hAnsi="Arial" w:cs="Arial"/>
          <w:b/>
          <w:bCs/>
          <w:color w:val="000000"/>
          <w:sz w:val="20"/>
          <w:szCs w:val="20"/>
        </w:rPr>
        <w:t xml:space="preserve">orld 2023 in Essen präsentieren sich die Breitbandspezialisten von tktVivax als umfassender Full-Service-Anbieter für den Glasfaserausbau. </w:t>
      </w:r>
      <w:r w:rsidR="00304800">
        <w:rPr>
          <w:rFonts w:ascii="Arial" w:hAnsi="Arial" w:cs="Arial"/>
          <w:b/>
          <w:bCs/>
          <w:color w:val="000000"/>
          <w:sz w:val="20"/>
          <w:szCs w:val="20"/>
        </w:rPr>
        <w:t xml:space="preserve">Ganz nach dem „One-Stop-Shop“-Gedanken übernimmt hier jedes der Gruppenunternehmen spezifische Aufgaben, um Stadtwerke, Kommunen und Co. von Anfang bis Ende auf dem Weg zu lichtschnellem Internet zu begleiten. </w:t>
      </w:r>
      <w:r w:rsidR="00BD5694">
        <w:rPr>
          <w:rFonts w:ascii="Arial" w:hAnsi="Arial" w:cs="Arial"/>
          <w:b/>
          <w:bCs/>
          <w:color w:val="000000"/>
          <w:sz w:val="20"/>
          <w:szCs w:val="20"/>
        </w:rPr>
        <w:t>Auf dem Messestand werden so unter anderem Vivax Consulting (Beratung), Vivax Engineering (Netzplanung &amp; Bauleitung), Vivax Solution (IT-Entwicklung)</w:t>
      </w:r>
      <w:r w:rsidR="003F589B">
        <w:rPr>
          <w:rFonts w:ascii="Arial" w:hAnsi="Arial" w:cs="Arial"/>
          <w:b/>
          <w:bCs/>
          <w:color w:val="000000"/>
          <w:sz w:val="20"/>
          <w:szCs w:val="20"/>
        </w:rPr>
        <w:t>,</w:t>
      </w:r>
      <w:r w:rsidR="00BD5694">
        <w:rPr>
          <w:rFonts w:ascii="Arial" w:hAnsi="Arial" w:cs="Arial"/>
          <w:b/>
          <w:bCs/>
          <w:color w:val="000000"/>
          <w:sz w:val="20"/>
          <w:szCs w:val="20"/>
        </w:rPr>
        <w:t xml:space="preserve"> Vivax Net (Tiefbau) </w:t>
      </w:r>
      <w:r w:rsidR="003F589B">
        <w:rPr>
          <w:rFonts w:ascii="Arial" w:hAnsi="Arial" w:cs="Arial"/>
          <w:b/>
          <w:bCs/>
          <w:color w:val="000000"/>
          <w:sz w:val="20"/>
          <w:szCs w:val="20"/>
        </w:rPr>
        <w:t xml:space="preserve">sowie die LBG Breitbandgesellschaft (Fördermittelberatung) </w:t>
      </w:r>
      <w:r w:rsidR="00BD5694">
        <w:rPr>
          <w:rFonts w:ascii="Arial" w:hAnsi="Arial" w:cs="Arial"/>
          <w:b/>
          <w:bCs/>
          <w:color w:val="000000"/>
          <w:sz w:val="20"/>
          <w:szCs w:val="20"/>
        </w:rPr>
        <w:t xml:space="preserve">vertreten sein. Neben einem breiten Spektrum an Dienstleistungen im Bereich Breitbandausbau, stellt die tktVivax Group auf der E-world außerdem die neuesten Versionen ihrer Software-Lösungen DICLINA und Breitband-Cockpit vor. </w:t>
      </w:r>
      <w:r w:rsidR="00371C61">
        <w:rPr>
          <w:rFonts w:ascii="Arial" w:hAnsi="Arial" w:cs="Arial"/>
          <w:b/>
          <w:bCs/>
          <w:color w:val="000000"/>
          <w:sz w:val="20"/>
          <w:szCs w:val="20"/>
        </w:rPr>
        <w:t xml:space="preserve">Mit ihnen lassen sich </w:t>
      </w:r>
      <w:r w:rsidR="00B871C2">
        <w:rPr>
          <w:rFonts w:ascii="Arial" w:hAnsi="Arial" w:cs="Arial"/>
          <w:b/>
          <w:bCs/>
          <w:color w:val="000000"/>
          <w:sz w:val="20"/>
          <w:szCs w:val="20"/>
        </w:rPr>
        <w:t xml:space="preserve">Vertrieb, Kundenmanagement und mehr nun noch effizienter umsetzen. </w:t>
      </w:r>
      <w:r w:rsidR="00BD5694">
        <w:rPr>
          <w:rFonts w:ascii="Arial" w:hAnsi="Arial" w:cs="Arial"/>
          <w:b/>
          <w:bCs/>
          <w:color w:val="000000"/>
          <w:sz w:val="20"/>
          <w:szCs w:val="20"/>
        </w:rPr>
        <w:t xml:space="preserve">„Versorgungsunternehmen sind ein entscheidender </w:t>
      </w:r>
      <w:r w:rsidR="00371C61">
        <w:rPr>
          <w:rFonts w:ascii="Arial" w:hAnsi="Arial" w:cs="Arial"/>
          <w:b/>
          <w:bCs/>
          <w:color w:val="000000"/>
          <w:sz w:val="20"/>
          <w:szCs w:val="20"/>
        </w:rPr>
        <w:t>Treiber des Glasfaserausbaus in Deutschland. Mit unserer umfassenden Expertise und den von uns entwickelten Tools können wir sie dabei Schritt für Schritt unterstützen</w:t>
      </w:r>
      <w:r w:rsidR="00B871C2">
        <w:rPr>
          <w:rFonts w:ascii="Arial" w:hAnsi="Arial" w:cs="Arial"/>
          <w:b/>
          <w:bCs/>
          <w:color w:val="000000"/>
          <w:sz w:val="20"/>
          <w:szCs w:val="20"/>
        </w:rPr>
        <w:t>“ so Dirk Fieml, CEO der tktVivax Group.</w:t>
      </w:r>
    </w:p>
    <w:p w14:paraId="12A6E835" w14:textId="069FC83F" w:rsidR="001C6603" w:rsidRDefault="00580B67" w:rsidP="00D95662">
      <w:pPr>
        <w:spacing w:line="360" w:lineRule="auto"/>
        <w:rPr>
          <w:rFonts w:ascii="Arial" w:hAnsi="Arial" w:cs="Arial"/>
          <w:color w:val="000000"/>
          <w:sz w:val="20"/>
          <w:szCs w:val="20"/>
        </w:rPr>
      </w:pPr>
      <w:r>
        <w:rPr>
          <w:rFonts w:ascii="Arial" w:hAnsi="Arial" w:cs="Arial"/>
          <w:color w:val="000000"/>
          <w:sz w:val="20"/>
          <w:szCs w:val="20"/>
        </w:rPr>
        <w:t xml:space="preserve">Von der grundsätzlichen Analyse der Situation vor Ort über die Strategiefindung und prozessuale Ausrichtung im EVU bis hin zur konkreten Planung und Umsetzung, begleitet tktVivax sämtliche Stationen des Glasfaserausbaus. Die Unterstützung endet dabei auch nicht, wenn die ersten Bagger rollen und Leitungen verlegt werden. Auch bei der Gestaltung und dem Vertrieb eigener Internet-, Telefonie- und Fernsehprodukte </w:t>
      </w:r>
      <w:r w:rsidR="00376AF8">
        <w:rPr>
          <w:rFonts w:ascii="Arial" w:hAnsi="Arial" w:cs="Arial"/>
          <w:color w:val="000000"/>
          <w:sz w:val="20"/>
          <w:szCs w:val="20"/>
        </w:rPr>
        <w:t>kann</w:t>
      </w:r>
      <w:r>
        <w:rPr>
          <w:rFonts w:ascii="Arial" w:hAnsi="Arial" w:cs="Arial"/>
          <w:color w:val="000000"/>
          <w:sz w:val="20"/>
          <w:szCs w:val="20"/>
        </w:rPr>
        <w:t xml:space="preserve"> das Unternehmen</w:t>
      </w:r>
      <w:r w:rsidR="00376AF8">
        <w:rPr>
          <w:rFonts w:ascii="Arial" w:hAnsi="Arial" w:cs="Arial"/>
          <w:color w:val="000000"/>
          <w:sz w:val="20"/>
          <w:szCs w:val="20"/>
        </w:rPr>
        <w:t xml:space="preserve"> als Partner fungieren</w:t>
      </w:r>
      <w:r>
        <w:rPr>
          <w:rFonts w:ascii="Arial" w:hAnsi="Arial" w:cs="Arial"/>
          <w:color w:val="000000"/>
          <w:sz w:val="20"/>
          <w:szCs w:val="20"/>
        </w:rPr>
        <w:t xml:space="preserve">. </w:t>
      </w:r>
    </w:p>
    <w:p w14:paraId="6868CE4F" w14:textId="77777777" w:rsidR="0006513A" w:rsidRDefault="00580B67" w:rsidP="00D95662">
      <w:pPr>
        <w:spacing w:line="360" w:lineRule="auto"/>
        <w:rPr>
          <w:rFonts w:ascii="Arial" w:hAnsi="Arial" w:cs="Arial"/>
          <w:color w:val="000000"/>
          <w:sz w:val="20"/>
          <w:szCs w:val="20"/>
        </w:rPr>
      </w:pPr>
      <w:r>
        <w:rPr>
          <w:rFonts w:ascii="Arial" w:hAnsi="Arial" w:cs="Arial"/>
          <w:color w:val="000000"/>
          <w:sz w:val="20"/>
          <w:szCs w:val="20"/>
        </w:rPr>
        <w:lastRenderedPageBreak/>
        <w:t xml:space="preserve">Hierbei kommen die vom Tochterunternehmen Vivax Solution entwickelten Software-Lösungen DICLINA und Breitband-Cockpit zum Einsatz, die auf der E-world 2023 erstmals in ihrer neuesten Version gezeigt werden. </w:t>
      </w:r>
      <w:r w:rsidR="00376AF8" w:rsidRPr="00376AF8">
        <w:rPr>
          <w:rFonts w:ascii="Arial" w:hAnsi="Arial" w:cs="Arial"/>
          <w:color w:val="000000"/>
          <w:sz w:val="20"/>
          <w:szCs w:val="20"/>
        </w:rPr>
        <w:t xml:space="preserve">DICLINA </w:t>
      </w:r>
      <w:r w:rsidR="00376AF8">
        <w:rPr>
          <w:rFonts w:ascii="Arial" w:hAnsi="Arial" w:cs="Arial"/>
          <w:color w:val="000000"/>
          <w:sz w:val="20"/>
          <w:szCs w:val="20"/>
        </w:rPr>
        <w:t xml:space="preserve">bietet angehenden </w:t>
      </w:r>
      <w:r w:rsidR="00376AF8" w:rsidRPr="00376AF8">
        <w:rPr>
          <w:rFonts w:ascii="Arial" w:hAnsi="Arial" w:cs="Arial"/>
          <w:color w:val="000000"/>
          <w:sz w:val="20"/>
          <w:szCs w:val="20"/>
        </w:rPr>
        <w:t>Internet Service Provider</w:t>
      </w:r>
      <w:r w:rsidR="00376AF8">
        <w:rPr>
          <w:rFonts w:ascii="Arial" w:hAnsi="Arial" w:cs="Arial"/>
          <w:color w:val="000000"/>
          <w:sz w:val="20"/>
          <w:szCs w:val="20"/>
        </w:rPr>
        <w:t>n eine leistungsfähige Plattform</w:t>
      </w:r>
      <w:r w:rsidR="00376AF8" w:rsidRPr="00376AF8">
        <w:rPr>
          <w:rFonts w:ascii="Arial" w:hAnsi="Arial" w:cs="Arial"/>
          <w:color w:val="000000"/>
          <w:sz w:val="20"/>
          <w:szCs w:val="20"/>
        </w:rPr>
        <w:t xml:space="preserve">, </w:t>
      </w:r>
      <w:r w:rsidR="00376AF8">
        <w:rPr>
          <w:rFonts w:ascii="Arial" w:hAnsi="Arial" w:cs="Arial"/>
          <w:color w:val="000000"/>
          <w:sz w:val="20"/>
          <w:szCs w:val="20"/>
        </w:rPr>
        <w:t xml:space="preserve">um </w:t>
      </w:r>
      <w:r w:rsidR="00376AF8" w:rsidRPr="00376AF8">
        <w:rPr>
          <w:rFonts w:ascii="Arial" w:hAnsi="Arial" w:cs="Arial"/>
          <w:color w:val="000000"/>
          <w:sz w:val="20"/>
          <w:szCs w:val="20"/>
        </w:rPr>
        <w:t>alle Anforderungen</w:t>
      </w:r>
      <w:r w:rsidR="00376AF8">
        <w:rPr>
          <w:rFonts w:ascii="Arial" w:hAnsi="Arial" w:cs="Arial"/>
          <w:color w:val="000000"/>
          <w:sz w:val="20"/>
          <w:szCs w:val="20"/>
        </w:rPr>
        <w:t xml:space="preserve"> in Sachen</w:t>
      </w:r>
      <w:r w:rsidR="00376AF8" w:rsidRPr="00376AF8">
        <w:rPr>
          <w:rFonts w:ascii="Arial" w:hAnsi="Arial" w:cs="Arial"/>
          <w:color w:val="000000"/>
          <w:sz w:val="20"/>
          <w:szCs w:val="20"/>
        </w:rPr>
        <w:t xml:space="preserve"> Kunden</w:t>
      </w:r>
      <w:r w:rsidR="00376AF8">
        <w:rPr>
          <w:rFonts w:ascii="Arial" w:hAnsi="Arial" w:cs="Arial"/>
          <w:color w:val="000000"/>
          <w:sz w:val="20"/>
          <w:szCs w:val="20"/>
        </w:rPr>
        <w:t xml:space="preserve">- und </w:t>
      </w:r>
      <w:r w:rsidR="00376AF8" w:rsidRPr="00376AF8">
        <w:rPr>
          <w:rFonts w:ascii="Arial" w:hAnsi="Arial" w:cs="Arial"/>
          <w:color w:val="000000"/>
          <w:sz w:val="20"/>
          <w:szCs w:val="20"/>
        </w:rPr>
        <w:t>Vertragsmanagement, technische Provisionierung und Rechnungsstellung ab</w:t>
      </w:r>
      <w:r w:rsidR="00376AF8">
        <w:rPr>
          <w:rFonts w:ascii="Arial" w:hAnsi="Arial" w:cs="Arial"/>
          <w:color w:val="000000"/>
          <w:sz w:val="20"/>
          <w:szCs w:val="20"/>
        </w:rPr>
        <w:t>zubilden</w:t>
      </w:r>
      <w:r w:rsidR="00376AF8" w:rsidRPr="00376AF8">
        <w:rPr>
          <w:rFonts w:ascii="Arial" w:hAnsi="Arial" w:cs="Arial"/>
          <w:color w:val="000000"/>
          <w:sz w:val="20"/>
          <w:szCs w:val="20"/>
        </w:rPr>
        <w:t>.</w:t>
      </w:r>
      <w:r w:rsidR="00376AF8">
        <w:rPr>
          <w:rFonts w:ascii="Arial" w:hAnsi="Arial" w:cs="Arial"/>
          <w:color w:val="000000"/>
          <w:sz w:val="20"/>
          <w:szCs w:val="20"/>
        </w:rPr>
        <w:t xml:space="preserve"> Mit dem Breitband-Cockpit, das sich direkt mit DICLINA verknüpfen lässt, können zudem</w:t>
      </w:r>
      <w:r w:rsidR="00376AF8" w:rsidRPr="00376AF8">
        <w:rPr>
          <w:rFonts w:ascii="Arial" w:hAnsi="Arial" w:cs="Arial"/>
          <w:color w:val="000000"/>
          <w:sz w:val="20"/>
          <w:szCs w:val="20"/>
        </w:rPr>
        <w:t xml:space="preserve"> </w:t>
      </w:r>
      <w:r w:rsidR="00376AF8">
        <w:rPr>
          <w:rFonts w:ascii="Arial" w:hAnsi="Arial" w:cs="Arial"/>
          <w:color w:val="000000"/>
          <w:sz w:val="20"/>
          <w:szCs w:val="20"/>
        </w:rPr>
        <w:t>sämtliche</w:t>
      </w:r>
      <w:r w:rsidR="00376AF8" w:rsidRPr="00376AF8">
        <w:rPr>
          <w:rFonts w:ascii="Arial" w:hAnsi="Arial" w:cs="Arial"/>
          <w:color w:val="000000"/>
          <w:sz w:val="20"/>
          <w:szCs w:val="20"/>
        </w:rPr>
        <w:t xml:space="preserve"> Vertriebs- und Baufortschritte </w:t>
      </w:r>
      <w:r w:rsidR="00376AF8">
        <w:rPr>
          <w:rFonts w:ascii="Arial" w:hAnsi="Arial" w:cs="Arial"/>
          <w:color w:val="000000"/>
          <w:sz w:val="20"/>
          <w:szCs w:val="20"/>
        </w:rPr>
        <w:t>eines</w:t>
      </w:r>
      <w:r w:rsidR="00376AF8" w:rsidRPr="00376AF8">
        <w:rPr>
          <w:rFonts w:ascii="Arial" w:hAnsi="Arial" w:cs="Arial"/>
          <w:color w:val="000000"/>
          <w:sz w:val="20"/>
          <w:szCs w:val="20"/>
        </w:rPr>
        <w:t xml:space="preserve"> Breitbandprojektes </w:t>
      </w:r>
      <w:r w:rsidR="00376AF8">
        <w:rPr>
          <w:rFonts w:ascii="Arial" w:hAnsi="Arial" w:cs="Arial"/>
          <w:color w:val="000000"/>
          <w:sz w:val="20"/>
          <w:szCs w:val="20"/>
        </w:rPr>
        <w:t xml:space="preserve">einfach und effizient überwacht werden. </w:t>
      </w:r>
    </w:p>
    <w:p w14:paraId="0B378DFC" w14:textId="1AA5D5E7" w:rsidR="00580B67" w:rsidRPr="00BD7836" w:rsidRDefault="0006513A" w:rsidP="00D95662">
      <w:pPr>
        <w:spacing w:line="360" w:lineRule="auto"/>
        <w:rPr>
          <w:rFonts w:ascii="Arial" w:hAnsi="Arial" w:cs="Arial"/>
          <w:color w:val="000000"/>
          <w:sz w:val="20"/>
          <w:szCs w:val="20"/>
        </w:rPr>
      </w:pPr>
      <w:r>
        <w:rPr>
          <w:rFonts w:ascii="Arial" w:hAnsi="Arial" w:cs="Arial"/>
          <w:color w:val="000000"/>
          <w:sz w:val="20"/>
          <w:szCs w:val="20"/>
        </w:rPr>
        <w:t>Im Bereich Consulting kommt zudem die ebenfalls selbst entwickelte Analysesoftware ProCo zum Einsatz. Auf Basis von über 600 hinterlegten Prozessen und über 6.900 Aufgaben lassen sich mit ihr Arbeitsabl</w:t>
      </w:r>
      <w:r w:rsidR="004E5801">
        <w:rPr>
          <w:rFonts w:ascii="Arial" w:hAnsi="Arial" w:cs="Arial"/>
          <w:color w:val="000000"/>
          <w:sz w:val="20"/>
          <w:szCs w:val="20"/>
        </w:rPr>
        <w:t>ä</w:t>
      </w:r>
      <w:r>
        <w:rPr>
          <w:rFonts w:ascii="Arial" w:hAnsi="Arial" w:cs="Arial"/>
          <w:color w:val="000000"/>
          <w:sz w:val="20"/>
          <w:szCs w:val="20"/>
        </w:rPr>
        <w:t>ufe und Strukturen in Versorgungsunternehmen datenbasiert umgestalten und optimieren.</w:t>
      </w:r>
    </w:p>
    <w:p w14:paraId="3BFD68EB" w14:textId="77777777" w:rsidR="003D557E" w:rsidRPr="00BD7836" w:rsidRDefault="003D557E" w:rsidP="00C836B4">
      <w:pPr>
        <w:spacing w:line="360" w:lineRule="auto"/>
        <w:rPr>
          <w:rFonts w:ascii="Arial" w:hAnsi="Arial" w:cs="Arial"/>
          <w:color w:val="000000"/>
          <w:sz w:val="20"/>
          <w:szCs w:val="20"/>
        </w:rPr>
      </w:pPr>
    </w:p>
    <w:tbl>
      <w:tblPr>
        <w:tblW w:w="8080" w:type="dxa"/>
        <w:tblLook w:val="04A0" w:firstRow="1" w:lastRow="0" w:firstColumn="1" w:lastColumn="0" w:noHBand="0" w:noVBand="1"/>
      </w:tblPr>
      <w:tblGrid>
        <w:gridCol w:w="3261"/>
        <w:gridCol w:w="4819"/>
      </w:tblGrid>
      <w:tr w:rsidR="000A752F" w:rsidRPr="000655B7" w14:paraId="14BEE28C" w14:textId="77777777" w:rsidTr="008D0446">
        <w:tc>
          <w:tcPr>
            <w:tcW w:w="3261" w:type="dxa"/>
            <w:shd w:val="clear" w:color="auto" w:fill="auto"/>
          </w:tcPr>
          <w:p w14:paraId="284214D6"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b/>
                <w:sz w:val="16"/>
                <w:szCs w:val="26"/>
                <w:lang w:eastAsia="de-DE"/>
              </w:rPr>
            </w:pPr>
            <w:r w:rsidRPr="000655B7">
              <w:rPr>
                <w:rFonts w:ascii="Arial" w:hAnsi="Arial" w:cs="Calibri"/>
                <w:b/>
                <w:sz w:val="16"/>
                <w:szCs w:val="26"/>
                <w:lang w:eastAsia="de-DE"/>
              </w:rPr>
              <w:t>Kontaktdaten:</w:t>
            </w:r>
          </w:p>
          <w:p w14:paraId="0A261E34"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r>
              <w:rPr>
                <w:rFonts w:ascii="Arial" w:hAnsi="Arial" w:cs="Calibri"/>
                <w:sz w:val="16"/>
                <w:szCs w:val="26"/>
                <w:lang w:eastAsia="de-DE"/>
              </w:rPr>
              <w:t>tkt</w:t>
            </w:r>
            <w:r w:rsidRPr="000655B7">
              <w:rPr>
                <w:rFonts w:ascii="Arial" w:hAnsi="Arial" w:cs="Calibri"/>
                <w:sz w:val="16"/>
                <w:szCs w:val="26"/>
                <w:lang w:eastAsia="de-DE"/>
              </w:rPr>
              <w:t>Vivax GmbH – Dirk Fieml</w:t>
            </w:r>
            <w:r w:rsidRPr="000655B7">
              <w:rPr>
                <w:rFonts w:ascii="Arial" w:hAnsi="Arial" w:cs="Calibri"/>
                <w:sz w:val="16"/>
                <w:szCs w:val="26"/>
                <w:lang w:eastAsia="de-DE"/>
              </w:rPr>
              <w:br/>
            </w:r>
            <w:r w:rsidRPr="00BA0B62">
              <w:rPr>
                <w:rFonts w:ascii="Arial" w:hAnsi="Arial" w:cs="Calibri"/>
                <w:sz w:val="16"/>
                <w:szCs w:val="26"/>
                <w:lang w:eastAsia="de-DE"/>
              </w:rPr>
              <w:t>Fasanenstr. 3</w:t>
            </w:r>
            <w:r>
              <w:rPr>
                <w:rFonts w:ascii="Arial" w:hAnsi="Arial" w:cs="Calibri"/>
                <w:sz w:val="16"/>
                <w:szCs w:val="26"/>
                <w:lang w:eastAsia="de-DE"/>
              </w:rPr>
              <w:t>3 –</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736156CD" w14:textId="77777777" w:rsidR="000A752F" w:rsidRPr="004E3948" w:rsidRDefault="000A752F" w:rsidP="008D0446">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784BF33A" w14:textId="77777777" w:rsidR="000A752F" w:rsidRPr="000655B7" w:rsidRDefault="000A752F" w:rsidP="008D0446">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bookmarkEnd w:id="0"/>
    <w:bookmarkEnd w:id="1"/>
    <w:p w14:paraId="7A05CCAE" w14:textId="77777777" w:rsidR="000A752F" w:rsidRPr="009F0F94" w:rsidRDefault="000A752F" w:rsidP="000A752F">
      <w:pPr>
        <w:widowControl w:val="0"/>
        <w:autoSpaceDE w:val="0"/>
        <w:autoSpaceDN w:val="0"/>
        <w:adjustRightInd w:val="0"/>
        <w:spacing w:line="240" w:lineRule="auto"/>
        <w:ind w:left="34" w:right="-141"/>
        <w:rPr>
          <w:rFonts w:ascii="Arial" w:hAnsi="Arial" w:cs="Calibri"/>
          <w:sz w:val="16"/>
          <w:szCs w:val="26"/>
          <w:lang w:eastAsia="de-DE"/>
        </w:rPr>
      </w:pPr>
      <w:r w:rsidRPr="004574AD">
        <w:rPr>
          <w:rFonts w:ascii="Arial" w:hAnsi="Arial" w:cs="Calibri"/>
          <w:sz w:val="16"/>
          <w:szCs w:val="26"/>
          <w:lang w:eastAsia="de-DE"/>
        </w:rPr>
        <w:t xml:space="preserve">Die tktVivax Group mit Sitz in Berlin und Niederlassungen in Stuttgart, Köln unterstützt ihre Kunden als ganzheitlicher Umsetzungsbegleiter für den Glasfaserausbau. Mit rund 150 Beschäftigten in den Gruppenunternehmen deckt tktVivax den kompletten Prozess bei der Planung und Umsetzung von Glasfaserprojekten ab. Die Palette der Leistungen reicht von der Strategiefindung, Business-Analyse und Fördermittelberatung über die Planung und den Bau von Glasfaserinfrastrukturen bis hin zum Vertrieb von Telekommunikations-Produkten und dem Betrieb von Telekommunikationsnetzen. Dazu kommen eigene IT-Lösungen wie etwa das Netz- und Betriebsmanagementsystem DICILINA. Unter dem Dach der tktVivax Group sind die Unternehmen Vivax Consulting, Vivax Engineering, Vivax Solution, Vivax Net, Cogento sowie </w:t>
      </w:r>
      <w:r>
        <w:rPr>
          <w:rFonts w:ascii="Arial" w:hAnsi="Arial" w:cs="Calibri"/>
          <w:sz w:val="16"/>
          <w:szCs w:val="26"/>
          <w:lang w:eastAsia="de-DE"/>
        </w:rPr>
        <w:t>die</w:t>
      </w:r>
      <w:r w:rsidRPr="004574AD">
        <w:rPr>
          <w:rFonts w:ascii="Arial" w:hAnsi="Arial" w:cs="Calibri"/>
          <w:sz w:val="16"/>
          <w:szCs w:val="26"/>
          <w:lang w:eastAsia="de-DE"/>
        </w:rPr>
        <w:t xml:space="preserve"> </w:t>
      </w:r>
      <w:proofErr w:type="gramStart"/>
      <w:r>
        <w:rPr>
          <w:rFonts w:ascii="Arial" w:hAnsi="Arial" w:cs="Calibri"/>
          <w:sz w:val="16"/>
          <w:szCs w:val="26"/>
          <w:lang w:eastAsia="de-DE"/>
        </w:rPr>
        <w:t>LBG B</w:t>
      </w:r>
      <w:r w:rsidRPr="004574AD">
        <w:rPr>
          <w:rFonts w:ascii="Arial" w:hAnsi="Arial" w:cs="Calibri"/>
          <w:sz w:val="16"/>
          <w:szCs w:val="26"/>
          <w:lang w:eastAsia="de-DE"/>
        </w:rPr>
        <w:t>reitbandgesellschaft</w:t>
      </w:r>
      <w:proofErr w:type="gramEnd"/>
      <w:r w:rsidRPr="004574AD">
        <w:rPr>
          <w:rFonts w:ascii="Arial" w:hAnsi="Arial" w:cs="Calibri"/>
          <w:sz w:val="16"/>
          <w:szCs w:val="26"/>
          <w:lang w:eastAsia="de-DE"/>
        </w:rPr>
        <w:t xml:space="preserve"> angesiedelt. Zielgruppe für Produkte und Dienstleistungen sind sowohl Stadtwerke, Netzbetreiber als auch Kommunalverwaltungen und Landkreise.</w:t>
      </w:r>
    </w:p>
    <w:p w14:paraId="2E55E5C6" w14:textId="014AD25D" w:rsidR="007749DD" w:rsidRPr="000A752F" w:rsidRDefault="007749DD" w:rsidP="000A752F"/>
    <w:sectPr w:rsidR="007749DD" w:rsidRPr="000A752F"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DBF244" w14:textId="77777777" w:rsidR="00A2689F" w:rsidRDefault="00A2689F" w:rsidP="00BF70FE">
      <w:pPr>
        <w:spacing w:after="0" w:line="240" w:lineRule="auto"/>
      </w:pPr>
      <w:r>
        <w:separator/>
      </w:r>
    </w:p>
  </w:endnote>
  <w:endnote w:type="continuationSeparator" w:id="0">
    <w:p w14:paraId="3A1518A3" w14:textId="77777777" w:rsidR="00A2689F" w:rsidRDefault="00A2689F"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69500E" w14:textId="77777777" w:rsidR="00A2689F" w:rsidRDefault="00A2689F" w:rsidP="00BF70FE">
      <w:pPr>
        <w:spacing w:after="0" w:line="240" w:lineRule="auto"/>
      </w:pPr>
      <w:r>
        <w:separator/>
      </w:r>
    </w:p>
  </w:footnote>
  <w:footnote w:type="continuationSeparator" w:id="0">
    <w:p w14:paraId="4D103B56" w14:textId="77777777" w:rsidR="00A2689F" w:rsidRDefault="00A2689F"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37F416E4" w:rsidR="00B96701" w:rsidRDefault="00AE0EC0" w:rsidP="00DA6A21">
    <w:pPr>
      <w:pStyle w:val="Kopfzeile"/>
      <w:tabs>
        <w:tab w:val="clear" w:pos="9072"/>
      </w:tabs>
      <w:ind w:right="-2551"/>
    </w:pPr>
    <w:r>
      <w:rPr>
        <w:noProof/>
        <w:lang w:eastAsia="de-DE"/>
      </w:rPr>
      <w:tab/>
    </w:r>
    <w:r w:rsidR="00E14F96">
      <w:rPr>
        <w:noProof/>
        <w:lang w:eastAsia="de-DE"/>
      </w:rPr>
      <w:t xml:space="preserve">        </w:t>
    </w:r>
    <w:r w:rsidR="00E14F96">
      <w:rPr>
        <w:noProof/>
        <w:lang w:eastAsia="de-DE"/>
      </w:rPr>
      <w:tab/>
    </w:r>
    <w:r w:rsidR="00E14F96">
      <w:rPr>
        <w:noProof/>
        <w:lang w:eastAsia="de-DE"/>
      </w:rPr>
      <w:tab/>
    </w:r>
    <w:r w:rsidR="00E14F96">
      <w:rPr>
        <w:noProof/>
        <w:lang w:eastAsia="de-DE"/>
      </w:rPr>
      <w:tab/>
    </w:r>
    <w:r w:rsidR="004F0E10">
      <w:rPr>
        <w:noProof/>
        <w:lang w:eastAsia="de-DE"/>
      </w:rPr>
      <w:drawing>
        <wp:inline distT="0" distB="0" distL="0" distR="0" wp14:anchorId="5DFE89A5" wp14:editId="08F35A48">
          <wp:extent cx="2040475" cy="588245"/>
          <wp:effectExtent l="0" t="0" r="4445" b="0"/>
          <wp:docPr id="1" name="Grafik 1"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stretch>
                    <a:fillRect/>
                  </a:stretch>
                </pic:blipFill>
                <pic:spPr>
                  <a:xfrm>
                    <a:off x="0" y="0"/>
                    <a:ext cx="2083477" cy="600642"/>
                  </a:xfrm>
                  <a:prstGeom prst="rect">
                    <a:avLst/>
                  </a:prstGeom>
                </pic:spPr>
              </pic:pic>
            </a:graphicData>
          </a:graphic>
        </wp:inline>
      </w:drawing>
    </w:r>
    <w:r w:rsidR="00A201A5">
      <w:rPr>
        <w:noProof/>
        <w:lang w:eastAsia="de-DE"/>
      </w:rPr>
      <w:t xml:space="preserve"> </w:t>
    </w:r>
    <w:r w:rsidR="00A201A5">
      <w:rPr>
        <w:noProof/>
        <w:lang w:eastAsia="de-D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639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6AC0"/>
    <w:rsid w:val="0001276C"/>
    <w:rsid w:val="00013970"/>
    <w:rsid w:val="00026CFD"/>
    <w:rsid w:val="00037481"/>
    <w:rsid w:val="00037B8A"/>
    <w:rsid w:val="00040DBA"/>
    <w:rsid w:val="00041A6A"/>
    <w:rsid w:val="00044557"/>
    <w:rsid w:val="000541F5"/>
    <w:rsid w:val="00054244"/>
    <w:rsid w:val="0006200B"/>
    <w:rsid w:val="0006513A"/>
    <w:rsid w:val="00065270"/>
    <w:rsid w:val="000655B7"/>
    <w:rsid w:val="0006582C"/>
    <w:rsid w:val="00065961"/>
    <w:rsid w:val="000678EA"/>
    <w:rsid w:val="0006791F"/>
    <w:rsid w:val="0007688A"/>
    <w:rsid w:val="00076CE4"/>
    <w:rsid w:val="000823CF"/>
    <w:rsid w:val="0008686C"/>
    <w:rsid w:val="00091E09"/>
    <w:rsid w:val="00095595"/>
    <w:rsid w:val="0009573A"/>
    <w:rsid w:val="000A0F03"/>
    <w:rsid w:val="000A1C71"/>
    <w:rsid w:val="000A1E6B"/>
    <w:rsid w:val="000A4C5E"/>
    <w:rsid w:val="000A4C93"/>
    <w:rsid w:val="000A5BF7"/>
    <w:rsid w:val="000A752F"/>
    <w:rsid w:val="000A7E9E"/>
    <w:rsid w:val="000B5BA3"/>
    <w:rsid w:val="000C2AF9"/>
    <w:rsid w:val="000C46B3"/>
    <w:rsid w:val="000C4746"/>
    <w:rsid w:val="000D4DE3"/>
    <w:rsid w:val="000E087D"/>
    <w:rsid w:val="000E11A2"/>
    <w:rsid w:val="000E7CE7"/>
    <w:rsid w:val="000E7DB1"/>
    <w:rsid w:val="000F2111"/>
    <w:rsid w:val="000F4F9D"/>
    <w:rsid w:val="00101591"/>
    <w:rsid w:val="0010198B"/>
    <w:rsid w:val="00104674"/>
    <w:rsid w:val="00104719"/>
    <w:rsid w:val="00106821"/>
    <w:rsid w:val="00121300"/>
    <w:rsid w:val="00126EDD"/>
    <w:rsid w:val="00131142"/>
    <w:rsid w:val="0013234F"/>
    <w:rsid w:val="00132DC4"/>
    <w:rsid w:val="00135237"/>
    <w:rsid w:val="00143BC5"/>
    <w:rsid w:val="0014450F"/>
    <w:rsid w:val="001449F6"/>
    <w:rsid w:val="001457D5"/>
    <w:rsid w:val="00155D50"/>
    <w:rsid w:val="00157861"/>
    <w:rsid w:val="00162140"/>
    <w:rsid w:val="001700C4"/>
    <w:rsid w:val="00170B30"/>
    <w:rsid w:val="00172009"/>
    <w:rsid w:val="00181FBB"/>
    <w:rsid w:val="001849A2"/>
    <w:rsid w:val="00187FC7"/>
    <w:rsid w:val="00194EEC"/>
    <w:rsid w:val="00196421"/>
    <w:rsid w:val="001A14A1"/>
    <w:rsid w:val="001A220F"/>
    <w:rsid w:val="001B01DF"/>
    <w:rsid w:val="001C51EC"/>
    <w:rsid w:val="001C6603"/>
    <w:rsid w:val="001C7838"/>
    <w:rsid w:val="001D2C4D"/>
    <w:rsid w:val="001D2FB7"/>
    <w:rsid w:val="001E3CB7"/>
    <w:rsid w:val="001E6755"/>
    <w:rsid w:val="001E6F47"/>
    <w:rsid w:val="001F293E"/>
    <w:rsid w:val="0020049A"/>
    <w:rsid w:val="00205941"/>
    <w:rsid w:val="00207A9F"/>
    <w:rsid w:val="00211928"/>
    <w:rsid w:val="00213AF7"/>
    <w:rsid w:val="00221178"/>
    <w:rsid w:val="00221777"/>
    <w:rsid w:val="00233C8C"/>
    <w:rsid w:val="00235F66"/>
    <w:rsid w:val="00236787"/>
    <w:rsid w:val="00237217"/>
    <w:rsid w:val="00244E90"/>
    <w:rsid w:val="00255BB8"/>
    <w:rsid w:val="00262A08"/>
    <w:rsid w:val="00265589"/>
    <w:rsid w:val="00274204"/>
    <w:rsid w:val="002745F8"/>
    <w:rsid w:val="002757A3"/>
    <w:rsid w:val="002811BF"/>
    <w:rsid w:val="0028558F"/>
    <w:rsid w:val="0028717A"/>
    <w:rsid w:val="002A7D5D"/>
    <w:rsid w:val="002A7E29"/>
    <w:rsid w:val="002B1340"/>
    <w:rsid w:val="002B245C"/>
    <w:rsid w:val="002B36BE"/>
    <w:rsid w:val="002B3E9E"/>
    <w:rsid w:val="002B5436"/>
    <w:rsid w:val="002C01AF"/>
    <w:rsid w:val="002C0624"/>
    <w:rsid w:val="002D5B66"/>
    <w:rsid w:val="002D6045"/>
    <w:rsid w:val="002E0481"/>
    <w:rsid w:val="002E1504"/>
    <w:rsid w:val="002E33BB"/>
    <w:rsid w:val="002E6EA0"/>
    <w:rsid w:val="002F1BFF"/>
    <w:rsid w:val="002F66DA"/>
    <w:rsid w:val="002F6E7A"/>
    <w:rsid w:val="0030091A"/>
    <w:rsid w:val="00304113"/>
    <w:rsid w:val="00304144"/>
    <w:rsid w:val="00304800"/>
    <w:rsid w:val="00314048"/>
    <w:rsid w:val="00315669"/>
    <w:rsid w:val="00321DE9"/>
    <w:rsid w:val="003228B7"/>
    <w:rsid w:val="003274D8"/>
    <w:rsid w:val="00341A34"/>
    <w:rsid w:val="0035048A"/>
    <w:rsid w:val="00350A47"/>
    <w:rsid w:val="0035256E"/>
    <w:rsid w:val="00362AE7"/>
    <w:rsid w:val="00371C61"/>
    <w:rsid w:val="00376AF8"/>
    <w:rsid w:val="00381049"/>
    <w:rsid w:val="003911B7"/>
    <w:rsid w:val="00394D5C"/>
    <w:rsid w:val="003953CA"/>
    <w:rsid w:val="003A2746"/>
    <w:rsid w:val="003A3B30"/>
    <w:rsid w:val="003A43CA"/>
    <w:rsid w:val="003A6602"/>
    <w:rsid w:val="003A6E32"/>
    <w:rsid w:val="003A7B0C"/>
    <w:rsid w:val="003B1A9C"/>
    <w:rsid w:val="003B4407"/>
    <w:rsid w:val="003B6004"/>
    <w:rsid w:val="003B69BD"/>
    <w:rsid w:val="003C0B6F"/>
    <w:rsid w:val="003C0FC2"/>
    <w:rsid w:val="003C12F5"/>
    <w:rsid w:val="003C475B"/>
    <w:rsid w:val="003D557E"/>
    <w:rsid w:val="003D63AC"/>
    <w:rsid w:val="003D642E"/>
    <w:rsid w:val="003D7AC5"/>
    <w:rsid w:val="003E1E07"/>
    <w:rsid w:val="003F5618"/>
    <w:rsid w:val="003F589B"/>
    <w:rsid w:val="003F5E46"/>
    <w:rsid w:val="00402F7C"/>
    <w:rsid w:val="00406C69"/>
    <w:rsid w:val="00406EFB"/>
    <w:rsid w:val="004112BE"/>
    <w:rsid w:val="004137FD"/>
    <w:rsid w:val="00415B45"/>
    <w:rsid w:val="00427AD2"/>
    <w:rsid w:val="004306B3"/>
    <w:rsid w:val="00437155"/>
    <w:rsid w:val="004422BD"/>
    <w:rsid w:val="004467C0"/>
    <w:rsid w:val="004540FC"/>
    <w:rsid w:val="00454989"/>
    <w:rsid w:val="00455A88"/>
    <w:rsid w:val="004574AD"/>
    <w:rsid w:val="004627D8"/>
    <w:rsid w:val="004638B5"/>
    <w:rsid w:val="00463FE6"/>
    <w:rsid w:val="00465527"/>
    <w:rsid w:val="00465CBB"/>
    <w:rsid w:val="00466471"/>
    <w:rsid w:val="004713E0"/>
    <w:rsid w:val="004731DE"/>
    <w:rsid w:val="00473FBA"/>
    <w:rsid w:val="004771FE"/>
    <w:rsid w:val="00477F22"/>
    <w:rsid w:val="004810F6"/>
    <w:rsid w:val="00485A86"/>
    <w:rsid w:val="0049799F"/>
    <w:rsid w:val="00497AEF"/>
    <w:rsid w:val="004A1382"/>
    <w:rsid w:val="004A425F"/>
    <w:rsid w:val="004A7502"/>
    <w:rsid w:val="004B0D7E"/>
    <w:rsid w:val="004B3A46"/>
    <w:rsid w:val="004D73D6"/>
    <w:rsid w:val="004E2673"/>
    <w:rsid w:val="004E3948"/>
    <w:rsid w:val="004E3F39"/>
    <w:rsid w:val="004E5801"/>
    <w:rsid w:val="004E5B2F"/>
    <w:rsid w:val="004F09E6"/>
    <w:rsid w:val="004F0E10"/>
    <w:rsid w:val="004F25A7"/>
    <w:rsid w:val="004F5892"/>
    <w:rsid w:val="005048EC"/>
    <w:rsid w:val="005071AD"/>
    <w:rsid w:val="00521E6A"/>
    <w:rsid w:val="00525CC8"/>
    <w:rsid w:val="005308AD"/>
    <w:rsid w:val="005322F6"/>
    <w:rsid w:val="00532602"/>
    <w:rsid w:val="00532783"/>
    <w:rsid w:val="0053379A"/>
    <w:rsid w:val="00534D80"/>
    <w:rsid w:val="005424FE"/>
    <w:rsid w:val="00543BF4"/>
    <w:rsid w:val="005504C9"/>
    <w:rsid w:val="00556FEE"/>
    <w:rsid w:val="005577A0"/>
    <w:rsid w:val="00557F58"/>
    <w:rsid w:val="00563754"/>
    <w:rsid w:val="00564676"/>
    <w:rsid w:val="00565D15"/>
    <w:rsid w:val="005739E1"/>
    <w:rsid w:val="00576A90"/>
    <w:rsid w:val="00576E59"/>
    <w:rsid w:val="00580B67"/>
    <w:rsid w:val="00580F7D"/>
    <w:rsid w:val="00582EC1"/>
    <w:rsid w:val="00582ECD"/>
    <w:rsid w:val="00591D88"/>
    <w:rsid w:val="005926D7"/>
    <w:rsid w:val="005958C2"/>
    <w:rsid w:val="00596BC4"/>
    <w:rsid w:val="005B2C0D"/>
    <w:rsid w:val="005B3C72"/>
    <w:rsid w:val="005B50F1"/>
    <w:rsid w:val="005D3D1E"/>
    <w:rsid w:val="005D61BC"/>
    <w:rsid w:val="005E1591"/>
    <w:rsid w:val="005E204F"/>
    <w:rsid w:val="005E5E93"/>
    <w:rsid w:val="005F2DF5"/>
    <w:rsid w:val="005F5177"/>
    <w:rsid w:val="005F63B7"/>
    <w:rsid w:val="00600833"/>
    <w:rsid w:val="0060472D"/>
    <w:rsid w:val="00605163"/>
    <w:rsid w:val="00613B84"/>
    <w:rsid w:val="006166CF"/>
    <w:rsid w:val="00630497"/>
    <w:rsid w:val="00632072"/>
    <w:rsid w:val="00632BA3"/>
    <w:rsid w:val="00633111"/>
    <w:rsid w:val="00640EED"/>
    <w:rsid w:val="00650109"/>
    <w:rsid w:val="00650F5E"/>
    <w:rsid w:val="006514AF"/>
    <w:rsid w:val="006563BE"/>
    <w:rsid w:val="00664FF9"/>
    <w:rsid w:val="006663C8"/>
    <w:rsid w:val="00666C16"/>
    <w:rsid w:val="006721DA"/>
    <w:rsid w:val="0067331D"/>
    <w:rsid w:val="00674BD0"/>
    <w:rsid w:val="00681349"/>
    <w:rsid w:val="006824CB"/>
    <w:rsid w:val="00682686"/>
    <w:rsid w:val="00682E83"/>
    <w:rsid w:val="006847AC"/>
    <w:rsid w:val="006862AC"/>
    <w:rsid w:val="006966C5"/>
    <w:rsid w:val="006A1AAA"/>
    <w:rsid w:val="006A652B"/>
    <w:rsid w:val="006B4FEB"/>
    <w:rsid w:val="006D2116"/>
    <w:rsid w:val="006D38DD"/>
    <w:rsid w:val="006D6479"/>
    <w:rsid w:val="006E3A41"/>
    <w:rsid w:val="006E3EF8"/>
    <w:rsid w:val="006E7E8E"/>
    <w:rsid w:val="006F2189"/>
    <w:rsid w:val="006F6690"/>
    <w:rsid w:val="00703D47"/>
    <w:rsid w:val="00705635"/>
    <w:rsid w:val="00710978"/>
    <w:rsid w:val="00711122"/>
    <w:rsid w:val="00712F91"/>
    <w:rsid w:val="00714AB5"/>
    <w:rsid w:val="00715711"/>
    <w:rsid w:val="007162A5"/>
    <w:rsid w:val="0071697E"/>
    <w:rsid w:val="007169F8"/>
    <w:rsid w:val="007234F3"/>
    <w:rsid w:val="00726D0D"/>
    <w:rsid w:val="00732AF9"/>
    <w:rsid w:val="00732F57"/>
    <w:rsid w:val="007408FB"/>
    <w:rsid w:val="007410A9"/>
    <w:rsid w:val="00742C79"/>
    <w:rsid w:val="00743904"/>
    <w:rsid w:val="007448A8"/>
    <w:rsid w:val="00751621"/>
    <w:rsid w:val="00752985"/>
    <w:rsid w:val="00753CE4"/>
    <w:rsid w:val="007543B9"/>
    <w:rsid w:val="007568C5"/>
    <w:rsid w:val="00764363"/>
    <w:rsid w:val="00766B7A"/>
    <w:rsid w:val="00766DB4"/>
    <w:rsid w:val="007704B1"/>
    <w:rsid w:val="00770DBF"/>
    <w:rsid w:val="007749DD"/>
    <w:rsid w:val="007768B7"/>
    <w:rsid w:val="00777197"/>
    <w:rsid w:val="00780026"/>
    <w:rsid w:val="00785A83"/>
    <w:rsid w:val="00785BC8"/>
    <w:rsid w:val="007A253C"/>
    <w:rsid w:val="007B0E5E"/>
    <w:rsid w:val="007B40BC"/>
    <w:rsid w:val="007C0C1B"/>
    <w:rsid w:val="007D3F81"/>
    <w:rsid w:val="007E401A"/>
    <w:rsid w:val="007E4D6B"/>
    <w:rsid w:val="007F0DE9"/>
    <w:rsid w:val="007F32B3"/>
    <w:rsid w:val="007F3F43"/>
    <w:rsid w:val="007F45CF"/>
    <w:rsid w:val="007F4A3D"/>
    <w:rsid w:val="007F5FBA"/>
    <w:rsid w:val="00802DFA"/>
    <w:rsid w:val="0080388E"/>
    <w:rsid w:val="00803966"/>
    <w:rsid w:val="00822F51"/>
    <w:rsid w:val="00825564"/>
    <w:rsid w:val="00825E47"/>
    <w:rsid w:val="0082641D"/>
    <w:rsid w:val="00841C40"/>
    <w:rsid w:val="008457BE"/>
    <w:rsid w:val="00860C87"/>
    <w:rsid w:val="008627A4"/>
    <w:rsid w:val="008709F4"/>
    <w:rsid w:val="00872E24"/>
    <w:rsid w:val="0088232C"/>
    <w:rsid w:val="00883CE3"/>
    <w:rsid w:val="0089252B"/>
    <w:rsid w:val="008956CD"/>
    <w:rsid w:val="008A484E"/>
    <w:rsid w:val="008A52B6"/>
    <w:rsid w:val="008A6550"/>
    <w:rsid w:val="008A663A"/>
    <w:rsid w:val="008B2353"/>
    <w:rsid w:val="008B464E"/>
    <w:rsid w:val="008B5FAE"/>
    <w:rsid w:val="008C3262"/>
    <w:rsid w:val="008E08D3"/>
    <w:rsid w:val="008E363F"/>
    <w:rsid w:val="008E3944"/>
    <w:rsid w:val="008F64E2"/>
    <w:rsid w:val="00902E3D"/>
    <w:rsid w:val="00912C77"/>
    <w:rsid w:val="0091465C"/>
    <w:rsid w:val="00915DD5"/>
    <w:rsid w:val="009225CB"/>
    <w:rsid w:val="009234F0"/>
    <w:rsid w:val="009309DD"/>
    <w:rsid w:val="0093421C"/>
    <w:rsid w:val="00937B5E"/>
    <w:rsid w:val="0094694E"/>
    <w:rsid w:val="00947D0B"/>
    <w:rsid w:val="00953301"/>
    <w:rsid w:val="00953399"/>
    <w:rsid w:val="0095460E"/>
    <w:rsid w:val="0095777B"/>
    <w:rsid w:val="00967913"/>
    <w:rsid w:val="00970576"/>
    <w:rsid w:val="00970F02"/>
    <w:rsid w:val="00972598"/>
    <w:rsid w:val="00977634"/>
    <w:rsid w:val="0098474D"/>
    <w:rsid w:val="00993991"/>
    <w:rsid w:val="009A21D7"/>
    <w:rsid w:val="009A2BF1"/>
    <w:rsid w:val="009A5414"/>
    <w:rsid w:val="009B04A2"/>
    <w:rsid w:val="009B2F63"/>
    <w:rsid w:val="009B6FBC"/>
    <w:rsid w:val="009B7074"/>
    <w:rsid w:val="009C0CE4"/>
    <w:rsid w:val="009D4DFD"/>
    <w:rsid w:val="009E32E3"/>
    <w:rsid w:val="009E44F0"/>
    <w:rsid w:val="009E6B35"/>
    <w:rsid w:val="009F0C3D"/>
    <w:rsid w:val="009F0F94"/>
    <w:rsid w:val="00A075DD"/>
    <w:rsid w:val="00A12A50"/>
    <w:rsid w:val="00A12FF7"/>
    <w:rsid w:val="00A13DAF"/>
    <w:rsid w:val="00A1469E"/>
    <w:rsid w:val="00A201A5"/>
    <w:rsid w:val="00A22923"/>
    <w:rsid w:val="00A25183"/>
    <w:rsid w:val="00A257D2"/>
    <w:rsid w:val="00A2689F"/>
    <w:rsid w:val="00A32BA5"/>
    <w:rsid w:val="00A339B3"/>
    <w:rsid w:val="00A367E8"/>
    <w:rsid w:val="00A37435"/>
    <w:rsid w:val="00A409A1"/>
    <w:rsid w:val="00A40D7D"/>
    <w:rsid w:val="00A43049"/>
    <w:rsid w:val="00A4343F"/>
    <w:rsid w:val="00A461EC"/>
    <w:rsid w:val="00A462DC"/>
    <w:rsid w:val="00A50D16"/>
    <w:rsid w:val="00A549CB"/>
    <w:rsid w:val="00A551F1"/>
    <w:rsid w:val="00A55C3C"/>
    <w:rsid w:val="00A56E5A"/>
    <w:rsid w:val="00A71BF1"/>
    <w:rsid w:val="00A72FA1"/>
    <w:rsid w:val="00A8365C"/>
    <w:rsid w:val="00A86E2E"/>
    <w:rsid w:val="00A909F7"/>
    <w:rsid w:val="00AA41E7"/>
    <w:rsid w:val="00AA55F2"/>
    <w:rsid w:val="00AB1EDE"/>
    <w:rsid w:val="00AB23C8"/>
    <w:rsid w:val="00AB55A0"/>
    <w:rsid w:val="00AC053B"/>
    <w:rsid w:val="00AC2478"/>
    <w:rsid w:val="00AC2BFD"/>
    <w:rsid w:val="00AC3868"/>
    <w:rsid w:val="00AC5D02"/>
    <w:rsid w:val="00AC6091"/>
    <w:rsid w:val="00AD08BE"/>
    <w:rsid w:val="00AD256F"/>
    <w:rsid w:val="00AD4250"/>
    <w:rsid w:val="00AE0DBD"/>
    <w:rsid w:val="00AE0E89"/>
    <w:rsid w:val="00AE0EC0"/>
    <w:rsid w:val="00AE22CD"/>
    <w:rsid w:val="00AE7DD0"/>
    <w:rsid w:val="00AF0672"/>
    <w:rsid w:val="00B001E6"/>
    <w:rsid w:val="00B11CFE"/>
    <w:rsid w:val="00B13A5F"/>
    <w:rsid w:val="00B153D5"/>
    <w:rsid w:val="00B16919"/>
    <w:rsid w:val="00B23CF9"/>
    <w:rsid w:val="00B25C51"/>
    <w:rsid w:val="00B27B9D"/>
    <w:rsid w:val="00B3624E"/>
    <w:rsid w:val="00B37700"/>
    <w:rsid w:val="00B43DB2"/>
    <w:rsid w:val="00B44741"/>
    <w:rsid w:val="00B454A3"/>
    <w:rsid w:val="00B46CF9"/>
    <w:rsid w:val="00B47F46"/>
    <w:rsid w:val="00B55BBE"/>
    <w:rsid w:val="00B57768"/>
    <w:rsid w:val="00B67EDA"/>
    <w:rsid w:val="00B71C92"/>
    <w:rsid w:val="00B753D5"/>
    <w:rsid w:val="00B819A5"/>
    <w:rsid w:val="00B82239"/>
    <w:rsid w:val="00B857E2"/>
    <w:rsid w:val="00B871C2"/>
    <w:rsid w:val="00B96701"/>
    <w:rsid w:val="00BA0B62"/>
    <w:rsid w:val="00BA0FAD"/>
    <w:rsid w:val="00BA3625"/>
    <w:rsid w:val="00BA48AC"/>
    <w:rsid w:val="00BA51BE"/>
    <w:rsid w:val="00BA7304"/>
    <w:rsid w:val="00BB3C47"/>
    <w:rsid w:val="00BC042E"/>
    <w:rsid w:val="00BC1CCE"/>
    <w:rsid w:val="00BC3A66"/>
    <w:rsid w:val="00BD177C"/>
    <w:rsid w:val="00BD30B2"/>
    <w:rsid w:val="00BD464F"/>
    <w:rsid w:val="00BD5694"/>
    <w:rsid w:val="00BD7836"/>
    <w:rsid w:val="00BE3481"/>
    <w:rsid w:val="00BE3C7C"/>
    <w:rsid w:val="00BF3BB4"/>
    <w:rsid w:val="00BF3DDF"/>
    <w:rsid w:val="00BF70BC"/>
    <w:rsid w:val="00BF70FE"/>
    <w:rsid w:val="00C0266F"/>
    <w:rsid w:val="00C03892"/>
    <w:rsid w:val="00C048D9"/>
    <w:rsid w:val="00C27553"/>
    <w:rsid w:val="00C32033"/>
    <w:rsid w:val="00C3376B"/>
    <w:rsid w:val="00C353A0"/>
    <w:rsid w:val="00C424EF"/>
    <w:rsid w:val="00C52268"/>
    <w:rsid w:val="00C61B5D"/>
    <w:rsid w:val="00C6235A"/>
    <w:rsid w:val="00C641A4"/>
    <w:rsid w:val="00C727E4"/>
    <w:rsid w:val="00C74157"/>
    <w:rsid w:val="00C77677"/>
    <w:rsid w:val="00C82FEA"/>
    <w:rsid w:val="00C836B4"/>
    <w:rsid w:val="00C84CCA"/>
    <w:rsid w:val="00C90B7B"/>
    <w:rsid w:val="00C91823"/>
    <w:rsid w:val="00CB17AD"/>
    <w:rsid w:val="00CB2102"/>
    <w:rsid w:val="00CB3800"/>
    <w:rsid w:val="00CB4314"/>
    <w:rsid w:val="00CC44E9"/>
    <w:rsid w:val="00CC4D60"/>
    <w:rsid w:val="00CD21DB"/>
    <w:rsid w:val="00CD3EF6"/>
    <w:rsid w:val="00CD417B"/>
    <w:rsid w:val="00CD490F"/>
    <w:rsid w:val="00CD5183"/>
    <w:rsid w:val="00CE391E"/>
    <w:rsid w:val="00CF04AC"/>
    <w:rsid w:val="00CF1E1B"/>
    <w:rsid w:val="00CF3ACA"/>
    <w:rsid w:val="00D0005C"/>
    <w:rsid w:val="00D02991"/>
    <w:rsid w:val="00D1662C"/>
    <w:rsid w:val="00D16EBD"/>
    <w:rsid w:val="00D205C5"/>
    <w:rsid w:val="00D20803"/>
    <w:rsid w:val="00D2582F"/>
    <w:rsid w:val="00D27A64"/>
    <w:rsid w:val="00D429BE"/>
    <w:rsid w:val="00D45085"/>
    <w:rsid w:val="00D45EBD"/>
    <w:rsid w:val="00D46770"/>
    <w:rsid w:val="00D52A64"/>
    <w:rsid w:val="00D572B9"/>
    <w:rsid w:val="00D61E26"/>
    <w:rsid w:val="00D63982"/>
    <w:rsid w:val="00D64707"/>
    <w:rsid w:val="00D7666E"/>
    <w:rsid w:val="00D83DBA"/>
    <w:rsid w:val="00D8580C"/>
    <w:rsid w:val="00D859A0"/>
    <w:rsid w:val="00D85B12"/>
    <w:rsid w:val="00D923E2"/>
    <w:rsid w:val="00D95662"/>
    <w:rsid w:val="00D970E0"/>
    <w:rsid w:val="00D9728A"/>
    <w:rsid w:val="00DA183D"/>
    <w:rsid w:val="00DA26CC"/>
    <w:rsid w:val="00DA6A21"/>
    <w:rsid w:val="00DB0C55"/>
    <w:rsid w:val="00DB7E36"/>
    <w:rsid w:val="00DC1341"/>
    <w:rsid w:val="00DC1532"/>
    <w:rsid w:val="00DC2EE2"/>
    <w:rsid w:val="00DC3629"/>
    <w:rsid w:val="00DC7658"/>
    <w:rsid w:val="00DD0093"/>
    <w:rsid w:val="00DD349E"/>
    <w:rsid w:val="00DE0A90"/>
    <w:rsid w:val="00DE2B22"/>
    <w:rsid w:val="00DE2BF2"/>
    <w:rsid w:val="00DE4605"/>
    <w:rsid w:val="00DE6377"/>
    <w:rsid w:val="00DF3864"/>
    <w:rsid w:val="00DF581E"/>
    <w:rsid w:val="00E01AB6"/>
    <w:rsid w:val="00E029F9"/>
    <w:rsid w:val="00E14982"/>
    <w:rsid w:val="00E14F96"/>
    <w:rsid w:val="00E20A29"/>
    <w:rsid w:val="00E22C87"/>
    <w:rsid w:val="00E230D4"/>
    <w:rsid w:val="00E230E2"/>
    <w:rsid w:val="00E26A43"/>
    <w:rsid w:val="00E26B5E"/>
    <w:rsid w:val="00E3135E"/>
    <w:rsid w:val="00E37AB8"/>
    <w:rsid w:val="00E37F9E"/>
    <w:rsid w:val="00E40C42"/>
    <w:rsid w:val="00E40FB7"/>
    <w:rsid w:val="00E478B7"/>
    <w:rsid w:val="00E554C7"/>
    <w:rsid w:val="00E56401"/>
    <w:rsid w:val="00E56500"/>
    <w:rsid w:val="00E570C4"/>
    <w:rsid w:val="00E60782"/>
    <w:rsid w:val="00E60990"/>
    <w:rsid w:val="00E6120F"/>
    <w:rsid w:val="00E62D7E"/>
    <w:rsid w:val="00E64CFD"/>
    <w:rsid w:val="00E66715"/>
    <w:rsid w:val="00E67610"/>
    <w:rsid w:val="00E704E3"/>
    <w:rsid w:val="00E73FD3"/>
    <w:rsid w:val="00E74375"/>
    <w:rsid w:val="00E77A35"/>
    <w:rsid w:val="00E833E9"/>
    <w:rsid w:val="00E835B3"/>
    <w:rsid w:val="00E92706"/>
    <w:rsid w:val="00E95A39"/>
    <w:rsid w:val="00E960D2"/>
    <w:rsid w:val="00E96682"/>
    <w:rsid w:val="00EA337B"/>
    <w:rsid w:val="00EA7EFF"/>
    <w:rsid w:val="00EB3069"/>
    <w:rsid w:val="00EB5442"/>
    <w:rsid w:val="00EB6A45"/>
    <w:rsid w:val="00EC0FE2"/>
    <w:rsid w:val="00EC4040"/>
    <w:rsid w:val="00EC65A1"/>
    <w:rsid w:val="00EC7E20"/>
    <w:rsid w:val="00ED24D7"/>
    <w:rsid w:val="00ED3254"/>
    <w:rsid w:val="00ED48B5"/>
    <w:rsid w:val="00EE0AB2"/>
    <w:rsid w:val="00EE0D3C"/>
    <w:rsid w:val="00EE7E7C"/>
    <w:rsid w:val="00EF4362"/>
    <w:rsid w:val="00EF500E"/>
    <w:rsid w:val="00EF7E0B"/>
    <w:rsid w:val="00F0224E"/>
    <w:rsid w:val="00F02294"/>
    <w:rsid w:val="00F05E79"/>
    <w:rsid w:val="00F139FA"/>
    <w:rsid w:val="00F152A7"/>
    <w:rsid w:val="00F17F2A"/>
    <w:rsid w:val="00F25235"/>
    <w:rsid w:val="00F25E8D"/>
    <w:rsid w:val="00F31351"/>
    <w:rsid w:val="00F3605E"/>
    <w:rsid w:val="00F36DE3"/>
    <w:rsid w:val="00F40E03"/>
    <w:rsid w:val="00F4188B"/>
    <w:rsid w:val="00F45322"/>
    <w:rsid w:val="00F469CA"/>
    <w:rsid w:val="00F60AEE"/>
    <w:rsid w:val="00F61423"/>
    <w:rsid w:val="00F62891"/>
    <w:rsid w:val="00F6520C"/>
    <w:rsid w:val="00F66C89"/>
    <w:rsid w:val="00F66CAF"/>
    <w:rsid w:val="00F80BB7"/>
    <w:rsid w:val="00F875B4"/>
    <w:rsid w:val="00F91B9F"/>
    <w:rsid w:val="00F93B14"/>
    <w:rsid w:val="00F94262"/>
    <w:rsid w:val="00F94264"/>
    <w:rsid w:val="00F965C4"/>
    <w:rsid w:val="00FA18A4"/>
    <w:rsid w:val="00FA2217"/>
    <w:rsid w:val="00FA5332"/>
    <w:rsid w:val="00FA63B2"/>
    <w:rsid w:val="00FB447B"/>
    <w:rsid w:val="00FB53D9"/>
    <w:rsid w:val="00FB68F7"/>
    <w:rsid w:val="00FD6613"/>
    <w:rsid w:val="00FE1AA1"/>
    <w:rsid w:val="00FE2E90"/>
    <w:rsid w:val="00FE30BE"/>
    <w:rsid w:val="00FE4B3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575</Words>
  <Characters>3623</Characters>
  <Application>Microsoft Office Word</Application>
  <DocSecurity>0</DocSecurity>
  <Lines>30</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Christoph Buck</cp:lastModifiedBy>
  <cp:revision>11</cp:revision>
  <cp:lastPrinted>2022-06-03T06:41:00Z</cp:lastPrinted>
  <dcterms:created xsi:type="dcterms:W3CDTF">2023-03-14T12:22:00Z</dcterms:created>
  <dcterms:modified xsi:type="dcterms:W3CDTF">2023-03-22T12:57:00Z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