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54764A09"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00F90023">
        <w:rPr>
          <w:rFonts w:ascii="Arial" w:hAnsi="Arial" w:cs="Arial"/>
          <w:color w:val="000000"/>
        </w:rPr>
        <w:t>/Ratingen</w:t>
      </w:r>
      <w:r w:rsidRPr="000655B7">
        <w:rPr>
          <w:rFonts w:ascii="Arial" w:hAnsi="Arial" w:cs="Arial"/>
          <w:color w:val="000000"/>
        </w:rPr>
        <w:t xml:space="preserve">, </w:t>
      </w:r>
      <w:r w:rsidR="00F90023">
        <w:rPr>
          <w:rFonts w:ascii="Arial" w:hAnsi="Arial" w:cs="Arial"/>
        </w:rPr>
        <w:t>25</w:t>
      </w:r>
      <w:r w:rsidR="00384CDB">
        <w:rPr>
          <w:rFonts w:ascii="Arial" w:hAnsi="Arial" w:cs="Arial"/>
        </w:rPr>
        <w:t>.</w:t>
      </w:r>
      <w:r w:rsidRPr="003A2746">
        <w:rPr>
          <w:rFonts w:ascii="Arial" w:hAnsi="Arial" w:cs="Arial"/>
        </w:rPr>
        <w:t xml:space="preserve"> </w:t>
      </w:r>
      <w:r w:rsidR="00F90023">
        <w:rPr>
          <w:rFonts w:ascii="Arial" w:hAnsi="Arial" w:cs="Arial"/>
        </w:rPr>
        <w:t>März</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384CDB">
        <w:rPr>
          <w:rFonts w:ascii="Arial" w:hAnsi="Arial" w:cs="Arial"/>
          <w:color w:val="000000"/>
        </w:rPr>
        <w:t>5</w:t>
      </w:r>
    </w:p>
    <w:p w14:paraId="34762466" w14:textId="77777777" w:rsidR="00384CDB" w:rsidRDefault="00384CDB" w:rsidP="000A752F">
      <w:pPr>
        <w:autoSpaceDE w:val="0"/>
        <w:autoSpaceDN w:val="0"/>
        <w:adjustRightInd w:val="0"/>
        <w:spacing w:after="0" w:line="240" w:lineRule="auto"/>
        <w:rPr>
          <w:rFonts w:ascii="Arial" w:hAnsi="Arial" w:cs="Arial"/>
          <w:color w:val="000000"/>
        </w:rPr>
      </w:pPr>
    </w:p>
    <w:p w14:paraId="075B1754" w14:textId="77777777" w:rsidR="00EF1CC2" w:rsidRPr="00EF3CA1" w:rsidRDefault="00EF1CC2" w:rsidP="006C2C7F">
      <w:pPr>
        <w:autoSpaceDE w:val="0"/>
        <w:autoSpaceDN w:val="0"/>
        <w:adjustRightInd w:val="0"/>
        <w:spacing w:after="0" w:line="240" w:lineRule="auto"/>
        <w:rPr>
          <w:rFonts w:ascii="Arial" w:hAnsi="Arial" w:cs="Arial"/>
          <w:b/>
          <w:bCs/>
          <w:color w:val="000000"/>
        </w:rPr>
      </w:pPr>
      <w:proofErr w:type="spellStart"/>
      <w:r w:rsidRPr="005C4CB9">
        <w:rPr>
          <w:rFonts w:ascii="Arial" w:hAnsi="Arial" w:cs="Arial"/>
          <w:b/>
          <w:bCs/>
          <w:color w:val="000000"/>
        </w:rPr>
        <w:t>fiberdays</w:t>
      </w:r>
      <w:proofErr w:type="spellEnd"/>
      <w:r w:rsidRPr="005C4CB9">
        <w:rPr>
          <w:rFonts w:ascii="Arial" w:hAnsi="Arial" w:cs="Arial"/>
          <w:b/>
          <w:bCs/>
          <w:color w:val="000000"/>
        </w:rPr>
        <w:t xml:space="preserve"> 2025 – Frankfurt 2. </w:t>
      </w:r>
      <w:r>
        <w:rPr>
          <w:rFonts w:ascii="Arial" w:hAnsi="Arial" w:cs="Arial"/>
          <w:b/>
          <w:bCs/>
          <w:color w:val="000000"/>
        </w:rPr>
        <w:t>bis</w:t>
      </w:r>
      <w:r w:rsidRPr="005C4CB9">
        <w:rPr>
          <w:rFonts w:ascii="Arial" w:hAnsi="Arial" w:cs="Arial"/>
          <w:b/>
          <w:bCs/>
          <w:color w:val="000000"/>
        </w:rPr>
        <w:t xml:space="preserve"> </w:t>
      </w:r>
      <w:r>
        <w:rPr>
          <w:rFonts w:ascii="Arial" w:hAnsi="Arial" w:cs="Arial"/>
          <w:b/>
          <w:bCs/>
          <w:color w:val="000000"/>
        </w:rPr>
        <w:t>3</w:t>
      </w:r>
      <w:r w:rsidRPr="005C4CB9">
        <w:rPr>
          <w:rFonts w:ascii="Arial" w:hAnsi="Arial" w:cs="Arial"/>
          <w:b/>
          <w:bCs/>
          <w:color w:val="000000"/>
        </w:rPr>
        <w:t xml:space="preserve">. </w:t>
      </w:r>
      <w:r w:rsidRPr="00EF3CA1">
        <w:rPr>
          <w:rFonts w:ascii="Arial" w:hAnsi="Arial" w:cs="Arial"/>
          <w:b/>
          <w:bCs/>
          <w:color w:val="000000"/>
        </w:rPr>
        <w:t xml:space="preserve">April </w:t>
      </w:r>
      <w:r>
        <w:rPr>
          <w:rFonts w:ascii="Arial" w:hAnsi="Arial" w:cs="Arial"/>
          <w:b/>
          <w:bCs/>
          <w:color w:val="000000"/>
        </w:rPr>
        <w:t xml:space="preserve">2025 </w:t>
      </w:r>
      <w:r w:rsidRPr="00EF3CA1">
        <w:rPr>
          <w:rFonts w:ascii="Arial" w:hAnsi="Arial" w:cs="Arial"/>
          <w:b/>
          <w:bCs/>
          <w:color w:val="000000"/>
        </w:rPr>
        <w:t>– Stand P2</w:t>
      </w:r>
    </w:p>
    <w:p w14:paraId="4C9AA690" w14:textId="77777777" w:rsidR="00EF1CC2" w:rsidRPr="00EF3CA1" w:rsidRDefault="00EF1CC2" w:rsidP="006C2C7F">
      <w:pPr>
        <w:autoSpaceDE w:val="0"/>
        <w:autoSpaceDN w:val="0"/>
        <w:adjustRightInd w:val="0"/>
        <w:spacing w:after="0" w:line="360" w:lineRule="auto"/>
        <w:ind w:right="-2410"/>
        <w:rPr>
          <w:rFonts w:ascii="Arial" w:hAnsi="Arial" w:cs="Arial"/>
          <w:b/>
          <w:bCs/>
          <w:color w:val="000000"/>
        </w:rPr>
      </w:pPr>
    </w:p>
    <w:p w14:paraId="570B5B4A" w14:textId="77777777" w:rsidR="002B580B" w:rsidRPr="008E00E2" w:rsidRDefault="002B580B" w:rsidP="006C2C7F">
      <w:pPr>
        <w:autoSpaceDE w:val="0"/>
        <w:autoSpaceDN w:val="0"/>
        <w:adjustRightInd w:val="0"/>
        <w:spacing w:after="0" w:line="360" w:lineRule="auto"/>
        <w:ind w:right="-2693"/>
        <w:rPr>
          <w:rFonts w:ascii="Arial" w:hAnsi="Arial" w:cs="Arial"/>
          <w:color w:val="000000"/>
        </w:rPr>
      </w:pPr>
      <w:proofErr w:type="spellStart"/>
      <w:r w:rsidRPr="008E00E2">
        <w:rPr>
          <w:rFonts w:ascii="Arial" w:hAnsi="Arial" w:cs="Arial"/>
          <w:b/>
          <w:bCs/>
          <w:color w:val="000000"/>
          <w:sz w:val="28"/>
          <w:szCs w:val="28"/>
        </w:rPr>
        <w:t>Vivax</w:t>
      </w:r>
      <w:proofErr w:type="spellEnd"/>
      <w:r w:rsidRPr="008E00E2">
        <w:rPr>
          <w:rFonts w:ascii="Arial" w:hAnsi="Arial" w:cs="Arial"/>
          <w:b/>
          <w:bCs/>
          <w:color w:val="000000"/>
          <w:sz w:val="28"/>
          <w:szCs w:val="28"/>
        </w:rPr>
        <w:t xml:space="preserve"> Consulting + ETC O</w:t>
      </w:r>
      <w:r>
        <w:rPr>
          <w:rFonts w:ascii="Arial" w:hAnsi="Arial" w:cs="Arial"/>
          <w:b/>
          <w:bCs/>
          <w:color w:val="000000"/>
          <w:sz w:val="28"/>
          <w:szCs w:val="28"/>
        </w:rPr>
        <w:t>NE</w:t>
      </w:r>
      <w:r w:rsidRPr="008E00E2">
        <w:rPr>
          <w:rFonts w:ascii="Arial" w:hAnsi="Arial" w:cs="Arial"/>
          <w:b/>
          <w:bCs/>
          <w:color w:val="000000"/>
          <w:sz w:val="28"/>
          <w:szCs w:val="28"/>
        </w:rPr>
        <w:t>: Open Access</w:t>
      </w:r>
      <w:r>
        <w:rPr>
          <w:rFonts w:ascii="Arial" w:hAnsi="Arial" w:cs="Arial"/>
          <w:b/>
          <w:bCs/>
          <w:color w:val="000000"/>
          <w:sz w:val="28"/>
          <w:szCs w:val="28"/>
        </w:rPr>
        <w:t xml:space="preserve"> als Turn Key Angebot</w:t>
      </w:r>
      <w:r w:rsidRPr="008E00E2">
        <w:rPr>
          <w:rFonts w:ascii="Arial" w:hAnsi="Arial" w:cs="Arial"/>
          <w:b/>
          <w:bCs/>
          <w:color w:val="000000"/>
          <w:sz w:val="28"/>
          <w:szCs w:val="28"/>
        </w:rPr>
        <w:br/>
      </w:r>
      <w:r>
        <w:rPr>
          <w:rFonts w:ascii="Arial" w:hAnsi="Arial" w:cs="Arial"/>
          <w:b/>
          <w:bCs/>
          <w:color w:val="000000"/>
        </w:rPr>
        <w:t>Planung, Umsetzung, Betrieb: D</w:t>
      </w:r>
      <w:r w:rsidRPr="008E00E2">
        <w:rPr>
          <w:rFonts w:ascii="Arial" w:hAnsi="Arial" w:cs="Arial"/>
          <w:b/>
          <w:bCs/>
          <w:color w:val="000000"/>
        </w:rPr>
        <w:t>as BSS/OSS-Komplettpaket für Brei</w:t>
      </w:r>
      <w:r>
        <w:rPr>
          <w:rFonts w:ascii="Arial" w:hAnsi="Arial" w:cs="Arial"/>
          <w:b/>
          <w:bCs/>
          <w:color w:val="000000"/>
        </w:rPr>
        <w:t>tband-Carrier</w:t>
      </w:r>
    </w:p>
    <w:p w14:paraId="69BA08F0" w14:textId="77777777" w:rsidR="002B580B" w:rsidRPr="008E00E2" w:rsidRDefault="002B580B" w:rsidP="00BB2FF8">
      <w:pPr>
        <w:autoSpaceDE w:val="0"/>
        <w:autoSpaceDN w:val="0"/>
        <w:adjustRightInd w:val="0"/>
        <w:spacing w:after="0" w:line="312" w:lineRule="auto"/>
        <w:ind w:right="-1984"/>
        <w:rPr>
          <w:rFonts w:ascii="Arial" w:hAnsi="Arial" w:cs="Arial"/>
          <w:color w:val="000000"/>
        </w:rPr>
      </w:pPr>
    </w:p>
    <w:p w14:paraId="259BF9DA" w14:textId="77777777" w:rsidR="002B580B" w:rsidRDefault="002B580B" w:rsidP="00BB2FF8">
      <w:pPr>
        <w:spacing w:line="312" w:lineRule="auto"/>
        <w:rPr>
          <w:rFonts w:ascii="Arial" w:hAnsi="Arial" w:cs="Arial"/>
          <w:b/>
          <w:bCs/>
          <w:color w:val="000000"/>
          <w:sz w:val="20"/>
          <w:szCs w:val="20"/>
        </w:rPr>
      </w:pPr>
      <w:r w:rsidRPr="00850688">
        <w:rPr>
          <w:rFonts w:ascii="Arial" w:hAnsi="Arial" w:cs="Arial"/>
          <w:b/>
          <w:bCs/>
          <w:color w:val="000000"/>
          <w:sz w:val="20"/>
          <w:szCs w:val="20"/>
        </w:rPr>
        <w:t xml:space="preserve">Glasfasernetze können nur als Open-Access-Netze wirtschaftlich betrieben werden: Diese Erkenntnis </w:t>
      </w:r>
      <w:r>
        <w:rPr>
          <w:rFonts w:ascii="Arial" w:hAnsi="Arial" w:cs="Arial"/>
          <w:b/>
          <w:bCs/>
          <w:color w:val="000000"/>
          <w:sz w:val="20"/>
          <w:szCs w:val="20"/>
        </w:rPr>
        <w:t xml:space="preserve">hat </w:t>
      </w:r>
      <w:r w:rsidRPr="00850688">
        <w:rPr>
          <w:rFonts w:ascii="Arial" w:hAnsi="Arial" w:cs="Arial"/>
          <w:b/>
          <w:bCs/>
          <w:color w:val="000000"/>
          <w:sz w:val="20"/>
          <w:szCs w:val="20"/>
        </w:rPr>
        <w:t>sich im Markt durch</w:t>
      </w:r>
      <w:r>
        <w:rPr>
          <w:rFonts w:ascii="Arial" w:hAnsi="Arial" w:cs="Arial"/>
          <w:b/>
          <w:bCs/>
          <w:color w:val="000000"/>
          <w:sz w:val="20"/>
          <w:szCs w:val="20"/>
        </w:rPr>
        <w:t>gesetzt</w:t>
      </w:r>
      <w:r w:rsidRPr="00850688">
        <w:rPr>
          <w:rFonts w:ascii="Arial" w:hAnsi="Arial" w:cs="Arial"/>
          <w:b/>
          <w:bCs/>
          <w:color w:val="000000"/>
          <w:sz w:val="20"/>
          <w:szCs w:val="20"/>
        </w:rPr>
        <w:t xml:space="preserve">. Die dafür notwendigen </w:t>
      </w:r>
      <w:proofErr w:type="spellStart"/>
      <w:r w:rsidRPr="00850688">
        <w:rPr>
          <w:rFonts w:ascii="Arial" w:hAnsi="Arial" w:cs="Arial"/>
          <w:b/>
          <w:bCs/>
          <w:color w:val="000000"/>
          <w:sz w:val="20"/>
          <w:szCs w:val="20"/>
        </w:rPr>
        <w:t>Whole</w:t>
      </w:r>
      <w:r>
        <w:rPr>
          <w:rFonts w:ascii="Arial" w:hAnsi="Arial" w:cs="Arial"/>
          <w:b/>
          <w:bCs/>
          <w:color w:val="000000"/>
          <w:sz w:val="20"/>
          <w:szCs w:val="20"/>
        </w:rPr>
        <w:t>sale</w:t>
      </w:r>
      <w:proofErr w:type="spellEnd"/>
      <w:r w:rsidRPr="00850688">
        <w:rPr>
          <w:rFonts w:ascii="Arial" w:hAnsi="Arial" w:cs="Arial"/>
          <w:b/>
          <w:bCs/>
          <w:color w:val="000000"/>
          <w:sz w:val="20"/>
          <w:szCs w:val="20"/>
        </w:rPr>
        <w:t xml:space="preserve">-Prozesse </w:t>
      </w:r>
      <w:r>
        <w:rPr>
          <w:rFonts w:ascii="Arial" w:hAnsi="Arial" w:cs="Arial"/>
          <w:b/>
          <w:bCs/>
          <w:color w:val="000000"/>
          <w:sz w:val="20"/>
          <w:szCs w:val="20"/>
        </w:rPr>
        <w:t xml:space="preserve">und -Schnittstellen </w:t>
      </w:r>
      <w:r w:rsidRPr="00850688">
        <w:rPr>
          <w:rFonts w:ascii="Arial" w:hAnsi="Arial" w:cs="Arial"/>
          <w:b/>
          <w:bCs/>
          <w:color w:val="000000"/>
          <w:sz w:val="20"/>
          <w:szCs w:val="20"/>
        </w:rPr>
        <w:t>sind jedoch bislang nur bei wenigen Breitband-Carriern</w:t>
      </w:r>
      <w:r>
        <w:rPr>
          <w:rFonts w:ascii="Arial" w:hAnsi="Arial" w:cs="Arial"/>
          <w:b/>
          <w:bCs/>
          <w:color w:val="000000"/>
          <w:sz w:val="20"/>
          <w:szCs w:val="20"/>
        </w:rPr>
        <w:t xml:space="preserve"> verfügbar</w:t>
      </w:r>
      <w:r w:rsidRPr="00850688">
        <w:rPr>
          <w:rFonts w:ascii="Arial" w:hAnsi="Arial" w:cs="Arial"/>
          <w:b/>
          <w:bCs/>
          <w:color w:val="000000"/>
          <w:sz w:val="20"/>
          <w:szCs w:val="20"/>
        </w:rPr>
        <w:t xml:space="preserve">. </w:t>
      </w:r>
      <w:r>
        <w:rPr>
          <w:rFonts w:ascii="Arial" w:hAnsi="Arial" w:cs="Arial"/>
          <w:b/>
          <w:bCs/>
          <w:color w:val="000000"/>
          <w:sz w:val="20"/>
          <w:szCs w:val="20"/>
        </w:rPr>
        <w:t xml:space="preserve">Die großen Nachfrager erwarten aber voll automatisierte Prozesse für alle S/PRI-Geschäftsfälle, um die bestehende Breitbandnetze aktiv vermarkten zu können.  </w:t>
      </w:r>
      <w:r w:rsidRPr="00850688">
        <w:rPr>
          <w:rFonts w:ascii="Arial" w:hAnsi="Arial" w:cs="Arial"/>
          <w:b/>
          <w:bCs/>
          <w:color w:val="000000"/>
          <w:sz w:val="20"/>
          <w:szCs w:val="20"/>
        </w:rPr>
        <w:t xml:space="preserve">Diese Lücke wollen </w:t>
      </w:r>
      <w:proofErr w:type="spellStart"/>
      <w:r w:rsidRPr="00850688">
        <w:rPr>
          <w:rFonts w:ascii="Arial" w:hAnsi="Arial" w:cs="Arial"/>
          <w:b/>
          <w:bCs/>
          <w:color w:val="000000"/>
          <w:sz w:val="20"/>
          <w:szCs w:val="20"/>
        </w:rPr>
        <w:t>Vivax</w:t>
      </w:r>
      <w:proofErr w:type="spellEnd"/>
      <w:r w:rsidRPr="00850688">
        <w:rPr>
          <w:rFonts w:ascii="Arial" w:hAnsi="Arial" w:cs="Arial"/>
          <w:b/>
          <w:bCs/>
          <w:color w:val="000000"/>
          <w:sz w:val="20"/>
          <w:szCs w:val="20"/>
        </w:rPr>
        <w:t xml:space="preserve"> Consulting und ETC O</w:t>
      </w:r>
      <w:r>
        <w:rPr>
          <w:rFonts w:ascii="Arial" w:hAnsi="Arial" w:cs="Arial"/>
          <w:b/>
          <w:bCs/>
          <w:color w:val="000000"/>
          <w:sz w:val="20"/>
          <w:szCs w:val="20"/>
        </w:rPr>
        <w:t>NE</w:t>
      </w:r>
      <w:r w:rsidRPr="00850688">
        <w:rPr>
          <w:rFonts w:ascii="Arial" w:hAnsi="Arial" w:cs="Arial"/>
          <w:b/>
          <w:bCs/>
          <w:color w:val="000000"/>
          <w:sz w:val="20"/>
          <w:szCs w:val="20"/>
        </w:rPr>
        <w:t xml:space="preserve"> im Rahmen einer neuen </w:t>
      </w:r>
      <w:r>
        <w:rPr>
          <w:rFonts w:ascii="Arial" w:hAnsi="Arial" w:cs="Arial"/>
          <w:b/>
          <w:bCs/>
          <w:color w:val="000000"/>
          <w:sz w:val="20"/>
          <w:szCs w:val="20"/>
        </w:rPr>
        <w:t>Kooperation</w:t>
      </w:r>
      <w:r w:rsidRPr="00850688">
        <w:rPr>
          <w:rFonts w:ascii="Arial" w:hAnsi="Arial" w:cs="Arial"/>
          <w:b/>
          <w:bCs/>
          <w:color w:val="000000"/>
          <w:sz w:val="20"/>
          <w:szCs w:val="20"/>
        </w:rPr>
        <w:t xml:space="preserve"> schließen. Ihren Ansatz stellen sie erstmals am </w:t>
      </w:r>
      <w:r>
        <w:rPr>
          <w:rFonts w:ascii="Arial" w:hAnsi="Arial" w:cs="Arial"/>
          <w:b/>
          <w:bCs/>
          <w:color w:val="000000"/>
          <w:sz w:val="20"/>
          <w:szCs w:val="20"/>
        </w:rPr>
        <w:t>2</w:t>
      </w:r>
      <w:r w:rsidRPr="00850688">
        <w:rPr>
          <w:rFonts w:ascii="Arial" w:hAnsi="Arial" w:cs="Arial"/>
          <w:b/>
          <w:bCs/>
          <w:color w:val="000000"/>
          <w:sz w:val="20"/>
          <w:szCs w:val="20"/>
        </w:rPr>
        <w:t xml:space="preserve">. und </w:t>
      </w:r>
      <w:r>
        <w:rPr>
          <w:rFonts w:ascii="Arial" w:hAnsi="Arial" w:cs="Arial"/>
          <w:b/>
          <w:bCs/>
          <w:color w:val="000000"/>
          <w:sz w:val="20"/>
          <w:szCs w:val="20"/>
        </w:rPr>
        <w:t>3</w:t>
      </w:r>
      <w:r w:rsidRPr="00850688">
        <w:rPr>
          <w:rFonts w:ascii="Arial" w:hAnsi="Arial" w:cs="Arial"/>
          <w:b/>
          <w:bCs/>
          <w:color w:val="000000"/>
          <w:sz w:val="20"/>
          <w:szCs w:val="20"/>
        </w:rPr>
        <w:t xml:space="preserve">. April 2025 auf den </w:t>
      </w:r>
      <w:proofErr w:type="spellStart"/>
      <w:r w:rsidRPr="00850688">
        <w:rPr>
          <w:rFonts w:ascii="Arial" w:hAnsi="Arial" w:cs="Arial"/>
          <w:b/>
          <w:bCs/>
          <w:color w:val="000000"/>
          <w:sz w:val="20"/>
          <w:szCs w:val="20"/>
        </w:rPr>
        <w:t>fiberdays</w:t>
      </w:r>
      <w:proofErr w:type="spellEnd"/>
      <w:r>
        <w:rPr>
          <w:rFonts w:ascii="Arial" w:hAnsi="Arial" w:cs="Arial"/>
          <w:b/>
          <w:bCs/>
          <w:color w:val="000000"/>
          <w:sz w:val="20"/>
          <w:szCs w:val="20"/>
        </w:rPr>
        <w:t xml:space="preserve"> 25</w:t>
      </w:r>
      <w:r w:rsidRPr="00850688">
        <w:rPr>
          <w:rFonts w:ascii="Arial" w:hAnsi="Arial" w:cs="Arial"/>
          <w:b/>
          <w:bCs/>
          <w:color w:val="000000"/>
          <w:sz w:val="20"/>
          <w:szCs w:val="20"/>
        </w:rPr>
        <w:t xml:space="preserve"> in Frankfurt vor. </w:t>
      </w:r>
    </w:p>
    <w:p w14:paraId="20F5BDF9" w14:textId="2E23052A" w:rsidR="002B580B" w:rsidRPr="002B580B" w:rsidRDefault="002B580B" w:rsidP="00BB2FF8">
      <w:pPr>
        <w:spacing w:line="312" w:lineRule="auto"/>
        <w:rPr>
          <w:rFonts w:ascii="Arial" w:hAnsi="Arial" w:cs="Arial"/>
          <w:color w:val="000000"/>
          <w:sz w:val="20"/>
          <w:szCs w:val="20"/>
        </w:rPr>
      </w:pPr>
      <w:r w:rsidRPr="002B580B">
        <w:rPr>
          <w:rFonts w:ascii="Arial" w:hAnsi="Arial" w:cs="Arial"/>
          <w:color w:val="000000"/>
          <w:sz w:val="20"/>
          <w:szCs w:val="20"/>
        </w:rPr>
        <w:t xml:space="preserve">„Mit unseren Ende-zu-Ende Lösungen bilden wir als einziger Anbieter alle wichtigen im S/PRI -Handbuch standardisierten </w:t>
      </w:r>
      <w:proofErr w:type="spellStart"/>
      <w:r w:rsidRPr="002B580B">
        <w:rPr>
          <w:rFonts w:ascii="Arial" w:hAnsi="Arial" w:cs="Arial"/>
          <w:color w:val="000000"/>
          <w:sz w:val="20"/>
          <w:szCs w:val="20"/>
        </w:rPr>
        <w:t>Wholesale</w:t>
      </w:r>
      <w:proofErr w:type="spellEnd"/>
      <w:r w:rsidRPr="002B580B">
        <w:rPr>
          <w:rFonts w:ascii="Arial" w:hAnsi="Arial" w:cs="Arial"/>
          <w:color w:val="000000"/>
          <w:sz w:val="20"/>
          <w:szCs w:val="20"/>
        </w:rPr>
        <w:t xml:space="preserve">-Prozesse und -Schnittstellen für Open-Access-Netze als </w:t>
      </w:r>
      <w:proofErr w:type="spellStart"/>
      <w:r w:rsidRPr="002B580B">
        <w:rPr>
          <w:rFonts w:ascii="Arial" w:hAnsi="Arial" w:cs="Arial"/>
          <w:color w:val="000000"/>
          <w:sz w:val="20"/>
          <w:szCs w:val="20"/>
        </w:rPr>
        <w:t>Managed</w:t>
      </w:r>
      <w:proofErr w:type="spellEnd"/>
      <w:r w:rsidRPr="002B580B">
        <w:rPr>
          <w:rFonts w:ascii="Arial" w:hAnsi="Arial" w:cs="Arial"/>
          <w:color w:val="000000"/>
          <w:sz w:val="20"/>
          <w:szCs w:val="20"/>
        </w:rPr>
        <w:t xml:space="preserve"> Cloud Service ab. Für einen erfolgreichen Betrieb müssen jedoch zuvor die Daten des Carriers aufbereitet, ergänzende Prozesse und Strukturen angepasst und ein entsprechendes Projektmanagement aufgesetzt werden. Dafür brauchen wir einen kompetenten Partner wie </w:t>
      </w:r>
      <w:proofErr w:type="spellStart"/>
      <w:r w:rsidRPr="002B580B">
        <w:rPr>
          <w:rFonts w:ascii="Arial" w:hAnsi="Arial" w:cs="Arial"/>
          <w:color w:val="000000"/>
          <w:sz w:val="20"/>
          <w:szCs w:val="20"/>
        </w:rPr>
        <w:t>Vivax</w:t>
      </w:r>
      <w:proofErr w:type="spellEnd"/>
      <w:r w:rsidRPr="002B580B">
        <w:rPr>
          <w:rFonts w:ascii="Arial" w:hAnsi="Arial" w:cs="Arial"/>
          <w:color w:val="000000"/>
          <w:sz w:val="20"/>
          <w:szCs w:val="20"/>
        </w:rPr>
        <w:t xml:space="preserve"> Consulting“, beschreibt Norbert </w:t>
      </w:r>
      <w:proofErr w:type="spellStart"/>
      <w:r w:rsidRPr="002B580B">
        <w:rPr>
          <w:rFonts w:ascii="Arial" w:hAnsi="Arial" w:cs="Arial"/>
          <w:color w:val="000000"/>
          <w:sz w:val="20"/>
          <w:szCs w:val="20"/>
        </w:rPr>
        <w:t>Schüppler</w:t>
      </w:r>
      <w:proofErr w:type="spellEnd"/>
      <w:r w:rsidRPr="002B580B">
        <w:rPr>
          <w:rFonts w:ascii="Arial" w:hAnsi="Arial" w:cs="Arial"/>
          <w:color w:val="000000"/>
          <w:sz w:val="20"/>
          <w:szCs w:val="20"/>
        </w:rPr>
        <w:t xml:space="preserve">, Geschäftsführer der ETC ONE GmbH, die Anforderungen. „Mit unserem Know-how in den Bereichen Open Access Assessment, Prozessberatung und Integration in bestehende IT-Umgebungen ergänzen wir uns hier ideal. Gemeinsam mit ETC ONE können wir Breitband-Carriern so ein Komplettpaket von der Planung über die Umsetzung bis zum Betrieb anbieten“, ergänzt Frank von Allwörden, Geschäftsführer der </w:t>
      </w:r>
      <w:proofErr w:type="spellStart"/>
      <w:r w:rsidRPr="002B580B">
        <w:rPr>
          <w:rFonts w:ascii="Arial" w:hAnsi="Arial" w:cs="Arial"/>
          <w:color w:val="000000"/>
          <w:sz w:val="20"/>
          <w:szCs w:val="20"/>
        </w:rPr>
        <w:t>Vivax</w:t>
      </w:r>
      <w:proofErr w:type="spellEnd"/>
      <w:r w:rsidRPr="002B580B">
        <w:rPr>
          <w:rFonts w:ascii="Arial" w:hAnsi="Arial" w:cs="Arial"/>
          <w:color w:val="000000"/>
          <w:sz w:val="20"/>
          <w:szCs w:val="20"/>
        </w:rPr>
        <w:t xml:space="preserve"> Consulting GmbH.</w:t>
      </w:r>
    </w:p>
    <w:p w14:paraId="0E85CAAF" w14:textId="61050799" w:rsidR="002B580B" w:rsidRPr="00850688" w:rsidRDefault="002B580B" w:rsidP="00BB2FF8">
      <w:pPr>
        <w:spacing w:line="312" w:lineRule="auto"/>
        <w:rPr>
          <w:rFonts w:ascii="Arial" w:hAnsi="Arial" w:cs="Arial"/>
          <w:color w:val="000000"/>
          <w:sz w:val="20"/>
          <w:szCs w:val="20"/>
        </w:rPr>
      </w:pPr>
      <w:r w:rsidRPr="00850688">
        <w:rPr>
          <w:rFonts w:ascii="Arial" w:hAnsi="Arial" w:cs="Arial"/>
          <w:color w:val="000000"/>
          <w:sz w:val="20"/>
          <w:szCs w:val="20"/>
        </w:rPr>
        <w:t>Mit dem Business Support System (BSS) von ETC O</w:t>
      </w:r>
      <w:r>
        <w:rPr>
          <w:rFonts w:ascii="Arial" w:hAnsi="Arial" w:cs="Arial"/>
          <w:color w:val="000000"/>
          <w:sz w:val="20"/>
          <w:szCs w:val="20"/>
        </w:rPr>
        <w:t>NE</w:t>
      </w:r>
      <w:r w:rsidRPr="00850688">
        <w:rPr>
          <w:rFonts w:ascii="Arial" w:hAnsi="Arial" w:cs="Arial"/>
          <w:color w:val="000000"/>
          <w:sz w:val="20"/>
          <w:szCs w:val="20"/>
        </w:rPr>
        <w:t xml:space="preserve"> verwalten Carrier sämtliche Kundendaten sowie Produkt- und </w:t>
      </w:r>
      <w:proofErr w:type="spellStart"/>
      <w:r w:rsidRPr="00850688">
        <w:rPr>
          <w:rFonts w:ascii="Arial" w:hAnsi="Arial" w:cs="Arial"/>
          <w:color w:val="000000"/>
          <w:sz w:val="20"/>
          <w:szCs w:val="20"/>
        </w:rPr>
        <w:t>Dienstekataloge</w:t>
      </w:r>
      <w:proofErr w:type="spellEnd"/>
      <w:r w:rsidRPr="00850688">
        <w:rPr>
          <w:rFonts w:ascii="Arial" w:hAnsi="Arial" w:cs="Arial"/>
          <w:color w:val="000000"/>
          <w:sz w:val="20"/>
          <w:szCs w:val="20"/>
        </w:rPr>
        <w:t xml:space="preserve">. Die zugehörigen Prozesse </w:t>
      </w:r>
      <w:r>
        <w:rPr>
          <w:rFonts w:ascii="Arial" w:hAnsi="Arial" w:cs="Arial"/>
          <w:color w:val="000000"/>
          <w:sz w:val="20"/>
          <w:szCs w:val="20"/>
        </w:rPr>
        <w:t xml:space="preserve">von der Neukunden-Anlage </w:t>
      </w:r>
      <w:r w:rsidRPr="00850688">
        <w:rPr>
          <w:rFonts w:ascii="Arial" w:hAnsi="Arial" w:cs="Arial"/>
          <w:color w:val="000000"/>
          <w:sz w:val="20"/>
          <w:szCs w:val="20"/>
        </w:rPr>
        <w:t xml:space="preserve">bis hin zur Rechnungsstellung an den Endkunden </w:t>
      </w:r>
      <w:r>
        <w:rPr>
          <w:rFonts w:ascii="Arial" w:hAnsi="Arial" w:cs="Arial"/>
          <w:color w:val="000000"/>
          <w:sz w:val="20"/>
          <w:szCs w:val="20"/>
        </w:rPr>
        <w:t>(„Order-</w:t>
      </w:r>
      <w:proofErr w:type="spellStart"/>
      <w:r>
        <w:rPr>
          <w:rFonts w:ascii="Arial" w:hAnsi="Arial" w:cs="Arial"/>
          <w:color w:val="000000"/>
          <w:sz w:val="20"/>
          <w:szCs w:val="20"/>
        </w:rPr>
        <w:t>to</w:t>
      </w:r>
      <w:proofErr w:type="spellEnd"/>
      <w:r>
        <w:rPr>
          <w:rFonts w:ascii="Arial" w:hAnsi="Arial" w:cs="Arial"/>
          <w:color w:val="000000"/>
          <w:sz w:val="20"/>
          <w:szCs w:val="20"/>
        </w:rPr>
        <w:t xml:space="preserve">-Cash“) </w:t>
      </w:r>
      <w:r w:rsidRPr="00850688">
        <w:rPr>
          <w:rFonts w:ascii="Arial" w:hAnsi="Arial" w:cs="Arial"/>
          <w:color w:val="000000"/>
          <w:sz w:val="20"/>
          <w:szCs w:val="20"/>
        </w:rPr>
        <w:t xml:space="preserve">werden </w:t>
      </w:r>
      <w:r>
        <w:rPr>
          <w:rFonts w:ascii="Arial" w:hAnsi="Arial" w:cs="Arial"/>
          <w:color w:val="000000"/>
          <w:sz w:val="20"/>
          <w:szCs w:val="20"/>
        </w:rPr>
        <w:t xml:space="preserve">komplett </w:t>
      </w:r>
      <w:r w:rsidRPr="00850688">
        <w:rPr>
          <w:rFonts w:ascii="Arial" w:hAnsi="Arial" w:cs="Arial"/>
          <w:color w:val="000000"/>
          <w:sz w:val="20"/>
          <w:szCs w:val="20"/>
        </w:rPr>
        <w:t xml:space="preserve">über die integrierte Workflow-Engine gesteuert. Das </w:t>
      </w:r>
      <w:proofErr w:type="spellStart"/>
      <w:r w:rsidRPr="00850688">
        <w:rPr>
          <w:rFonts w:ascii="Arial" w:hAnsi="Arial" w:cs="Arial"/>
          <w:color w:val="000000"/>
          <w:sz w:val="20"/>
          <w:szCs w:val="20"/>
        </w:rPr>
        <w:t>One</w:t>
      </w:r>
      <w:proofErr w:type="spellEnd"/>
      <w:r w:rsidRPr="00850688">
        <w:rPr>
          <w:rFonts w:ascii="Arial" w:hAnsi="Arial" w:cs="Arial"/>
          <w:color w:val="000000"/>
          <w:sz w:val="20"/>
          <w:szCs w:val="20"/>
        </w:rPr>
        <w:t>-OSS (</w:t>
      </w:r>
      <w:proofErr w:type="spellStart"/>
      <w:r w:rsidRPr="00850688">
        <w:rPr>
          <w:rFonts w:ascii="Arial" w:hAnsi="Arial" w:cs="Arial"/>
          <w:color w:val="000000"/>
          <w:sz w:val="20"/>
          <w:szCs w:val="20"/>
        </w:rPr>
        <w:t>Operations</w:t>
      </w:r>
      <w:proofErr w:type="spellEnd"/>
      <w:r w:rsidRPr="00850688">
        <w:rPr>
          <w:rFonts w:ascii="Arial" w:hAnsi="Arial" w:cs="Arial"/>
          <w:color w:val="000000"/>
          <w:sz w:val="20"/>
          <w:szCs w:val="20"/>
        </w:rPr>
        <w:t xml:space="preserve"> Support System) übernimmt für den Carrier die </w:t>
      </w:r>
      <w:r>
        <w:rPr>
          <w:rFonts w:ascii="Arial" w:hAnsi="Arial" w:cs="Arial"/>
          <w:color w:val="000000"/>
          <w:sz w:val="20"/>
          <w:szCs w:val="20"/>
        </w:rPr>
        <w:t xml:space="preserve">Erstellung der Replikate und die gesamte </w:t>
      </w:r>
      <w:r w:rsidRPr="00850688">
        <w:rPr>
          <w:rFonts w:ascii="Arial" w:hAnsi="Arial" w:cs="Arial"/>
          <w:color w:val="000000"/>
          <w:sz w:val="20"/>
          <w:szCs w:val="20"/>
        </w:rPr>
        <w:t xml:space="preserve">Verwaltung aller Adress- und </w:t>
      </w:r>
      <w:r>
        <w:rPr>
          <w:rFonts w:ascii="Arial" w:hAnsi="Arial" w:cs="Arial"/>
          <w:color w:val="000000"/>
          <w:sz w:val="20"/>
          <w:szCs w:val="20"/>
        </w:rPr>
        <w:t>A</w:t>
      </w:r>
      <w:r w:rsidRPr="00850688">
        <w:rPr>
          <w:rFonts w:ascii="Arial" w:hAnsi="Arial" w:cs="Arial"/>
          <w:color w:val="000000"/>
          <w:sz w:val="20"/>
          <w:szCs w:val="20"/>
        </w:rPr>
        <w:t>nschlussdaten</w:t>
      </w:r>
      <w:r>
        <w:rPr>
          <w:rFonts w:ascii="Arial" w:hAnsi="Arial" w:cs="Arial"/>
          <w:color w:val="000000"/>
          <w:sz w:val="20"/>
          <w:szCs w:val="20"/>
        </w:rPr>
        <w:t xml:space="preserve"> bis zur Netzebene 4</w:t>
      </w:r>
      <w:r w:rsidRPr="00850688">
        <w:rPr>
          <w:rFonts w:ascii="Arial" w:hAnsi="Arial" w:cs="Arial"/>
          <w:color w:val="000000"/>
          <w:sz w:val="20"/>
          <w:szCs w:val="20"/>
        </w:rPr>
        <w:t xml:space="preserve"> </w:t>
      </w:r>
      <w:r w:rsidR="0067573A">
        <w:rPr>
          <w:rFonts w:ascii="Arial" w:hAnsi="Arial" w:cs="Arial"/>
          <w:color w:val="000000"/>
          <w:sz w:val="20"/>
          <w:szCs w:val="20"/>
        </w:rPr>
        <w:t>i</w:t>
      </w:r>
      <w:r w:rsidRPr="00850688">
        <w:rPr>
          <w:rFonts w:ascii="Arial" w:hAnsi="Arial" w:cs="Arial"/>
          <w:color w:val="000000"/>
          <w:sz w:val="20"/>
          <w:szCs w:val="20"/>
        </w:rPr>
        <w:t xml:space="preserve">nklusive des </w:t>
      </w:r>
      <w:r>
        <w:rPr>
          <w:rFonts w:ascii="Arial" w:hAnsi="Arial" w:cs="Arial"/>
          <w:color w:val="000000"/>
          <w:sz w:val="20"/>
          <w:szCs w:val="20"/>
        </w:rPr>
        <w:t xml:space="preserve">täglich </w:t>
      </w:r>
      <w:r w:rsidRPr="00850688">
        <w:rPr>
          <w:rFonts w:ascii="Arial" w:hAnsi="Arial" w:cs="Arial"/>
          <w:color w:val="000000"/>
          <w:sz w:val="20"/>
          <w:szCs w:val="20"/>
        </w:rPr>
        <w:t xml:space="preserve">aktuellen </w:t>
      </w:r>
      <w:r w:rsidRPr="00850688">
        <w:rPr>
          <w:rFonts w:ascii="Arial" w:hAnsi="Arial" w:cs="Arial"/>
          <w:color w:val="000000"/>
          <w:sz w:val="20"/>
          <w:szCs w:val="20"/>
        </w:rPr>
        <w:lastRenderedPageBreak/>
        <w:t>Ausbaustatus</w:t>
      </w:r>
      <w:r>
        <w:rPr>
          <w:rFonts w:ascii="Arial" w:hAnsi="Arial" w:cs="Arial"/>
          <w:color w:val="000000"/>
          <w:sz w:val="20"/>
          <w:szCs w:val="20"/>
        </w:rPr>
        <w:t xml:space="preserve"> der Adresse</w:t>
      </w:r>
      <w:r w:rsidRPr="00850688">
        <w:rPr>
          <w:rFonts w:ascii="Arial" w:hAnsi="Arial" w:cs="Arial"/>
          <w:color w:val="000000"/>
          <w:sz w:val="20"/>
          <w:szCs w:val="20"/>
        </w:rPr>
        <w:t xml:space="preserve">. Für das Open Access Geschäftsmodell werden alle notwendigen Geschäftsprozesse und Schnittstellen (gemäß AK S/PRI) als Cloud-Lösung zur Verfügung gestellt. </w:t>
      </w:r>
      <w:r w:rsidR="001F3B7E" w:rsidRPr="00850688">
        <w:rPr>
          <w:rFonts w:ascii="Arial" w:hAnsi="Arial" w:cs="Arial"/>
          <w:color w:val="000000"/>
          <w:sz w:val="20"/>
          <w:szCs w:val="20"/>
        </w:rPr>
        <w:t xml:space="preserve">Vorhandene Bau-Tools </w:t>
      </w:r>
      <w:r w:rsidR="001F3B7E">
        <w:rPr>
          <w:rFonts w:ascii="Arial" w:hAnsi="Arial" w:cs="Arial"/>
          <w:color w:val="000000"/>
          <w:sz w:val="20"/>
          <w:szCs w:val="20"/>
        </w:rPr>
        <w:t xml:space="preserve">und Netzmanagement-Systeme sowie z.B. Logistik-Prozesspartner für den ONT-Versand </w:t>
      </w:r>
      <w:r w:rsidR="001F3B7E" w:rsidRPr="00850688">
        <w:rPr>
          <w:rFonts w:ascii="Arial" w:hAnsi="Arial" w:cs="Arial"/>
          <w:color w:val="000000"/>
          <w:sz w:val="20"/>
          <w:szCs w:val="20"/>
        </w:rPr>
        <w:t xml:space="preserve">können über Schnittstellen angebunden werden. </w:t>
      </w:r>
      <w:r w:rsidRPr="00850688">
        <w:rPr>
          <w:rFonts w:ascii="Arial" w:hAnsi="Arial" w:cs="Arial"/>
          <w:color w:val="000000"/>
          <w:sz w:val="20"/>
          <w:szCs w:val="20"/>
        </w:rPr>
        <w:t xml:space="preserve">Neben dem </w:t>
      </w:r>
      <w:proofErr w:type="spellStart"/>
      <w:r w:rsidRPr="00850688">
        <w:rPr>
          <w:rFonts w:ascii="Arial" w:hAnsi="Arial" w:cs="Arial"/>
          <w:color w:val="000000"/>
          <w:sz w:val="20"/>
          <w:szCs w:val="20"/>
        </w:rPr>
        <w:t>Wholesale</w:t>
      </w:r>
      <w:proofErr w:type="spellEnd"/>
      <w:r w:rsidRPr="00850688">
        <w:rPr>
          <w:rFonts w:ascii="Arial" w:hAnsi="Arial" w:cs="Arial"/>
          <w:color w:val="000000"/>
          <w:sz w:val="20"/>
          <w:szCs w:val="20"/>
        </w:rPr>
        <w:t xml:space="preserve">-Geschäftsmodell unterstützt </w:t>
      </w:r>
      <w:r>
        <w:rPr>
          <w:rFonts w:ascii="Arial" w:hAnsi="Arial" w:cs="Arial"/>
          <w:color w:val="000000"/>
          <w:sz w:val="20"/>
          <w:szCs w:val="20"/>
        </w:rPr>
        <w:t xml:space="preserve">das </w:t>
      </w:r>
      <w:proofErr w:type="spellStart"/>
      <w:r w:rsidRPr="00850688">
        <w:rPr>
          <w:rFonts w:ascii="Arial" w:hAnsi="Arial" w:cs="Arial"/>
          <w:color w:val="000000"/>
          <w:sz w:val="20"/>
          <w:szCs w:val="20"/>
        </w:rPr>
        <w:t>One</w:t>
      </w:r>
      <w:proofErr w:type="spellEnd"/>
      <w:r w:rsidRPr="00850688">
        <w:rPr>
          <w:rFonts w:ascii="Arial" w:hAnsi="Arial" w:cs="Arial"/>
          <w:color w:val="000000"/>
          <w:sz w:val="20"/>
          <w:szCs w:val="20"/>
        </w:rPr>
        <w:t xml:space="preserve">-OSS auch den Einkauf von Netz-Vorleistungen im </w:t>
      </w:r>
      <w:proofErr w:type="spellStart"/>
      <w:r w:rsidRPr="00850688">
        <w:rPr>
          <w:rFonts w:ascii="Arial" w:hAnsi="Arial" w:cs="Arial"/>
          <w:color w:val="000000"/>
          <w:sz w:val="20"/>
          <w:szCs w:val="20"/>
        </w:rPr>
        <w:t>Wholebuy</w:t>
      </w:r>
      <w:proofErr w:type="spellEnd"/>
      <w:r w:rsidRPr="00850688">
        <w:rPr>
          <w:rFonts w:ascii="Arial" w:hAnsi="Arial" w:cs="Arial"/>
          <w:color w:val="000000"/>
          <w:sz w:val="20"/>
          <w:szCs w:val="20"/>
        </w:rPr>
        <w:t xml:space="preserve">-Geschäftsmodell bei der Deutschen Telekom (WITA) oder anderen </w:t>
      </w:r>
      <w:r>
        <w:rPr>
          <w:rFonts w:ascii="Arial" w:hAnsi="Arial" w:cs="Arial"/>
          <w:color w:val="000000"/>
          <w:sz w:val="20"/>
          <w:szCs w:val="20"/>
        </w:rPr>
        <w:t>Carriern</w:t>
      </w:r>
      <w:r w:rsidRPr="00850688">
        <w:rPr>
          <w:rFonts w:ascii="Arial" w:hAnsi="Arial" w:cs="Arial"/>
          <w:color w:val="000000"/>
          <w:sz w:val="20"/>
          <w:szCs w:val="20"/>
        </w:rPr>
        <w:t xml:space="preserve"> (S/PRI). </w:t>
      </w:r>
    </w:p>
    <w:p w14:paraId="3DBD4B27" w14:textId="02E3D335" w:rsidR="002B580B" w:rsidRDefault="002B580B" w:rsidP="00BB2FF8">
      <w:pPr>
        <w:spacing w:line="312" w:lineRule="auto"/>
        <w:rPr>
          <w:rFonts w:ascii="Arial" w:hAnsi="Arial" w:cs="Arial"/>
          <w:color w:val="000000"/>
          <w:sz w:val="20"/>
          <w:szCs w:val="20"/>
        </w:rPr>
      </w:pPr>
      <w:r w:rsidRPr="00850688">
        <w:rPr>
          <w:rFonts w:ascii="Arial" w:hAnsi="Arial" w:cs="Arial"/>
          <w:color w:val="000000"/>
          <w:sz w:val="20"/>
          <w:szCs w:val="20"/>
        </w:rPr>
        <w:t xml:space="preserve">Im Rahmen der Zusammenarbeit übernimmt </w:t>
      </w:r>
      <w:proofErr w:type="spellStart"/>
      <w:r w:rsidRPr="00850688">
        <w:rPr>
          <w:rFonts w:ascii="Arial" w:hAnsi="Arial" w:cs="Arial"/>
          <w:color w:val="000000"/>
          <w:sz w:val="20"/>
          <w:szCs w:val="20"/>
        </w:rPr>
        <w:t>Vivax</w:t>
      </w:r>
      <w:proofErr w:type="spellEnd"/>
      <w:r w:rsidRPr="00850688">
        <w:rPr>
          <w:rFonts w:ascii="Arial" w:hAnsi="Arial" w:cs="Arial"/>
          <w:color w:val="000000"/>
          <w:sz w:val="20"/>
          <w:szCs w:val="20"/>
        </w:rPr>
        <w:t xml:space="preserve"> Consulting neben der Beratung auch das Projektmanagement für die Implementierung der Lösungen von ETC O</w:t>
      </w:r>
      <w:r>
        <w:rPr>
          <w:rFonts w:ascii="Arial" w:hAnsi="Arial" w:cs="Arial"/>
          <w:color w:val="000000"/>
          <w:sz w:val="20"/>
          <w:szCs w:val="20"/>
        </w:rPr>
        <w:t>NE</w:t>
      </w:r>
      <w:r w:rsidRPr="00850688">
        <w:rPr>
          <w:rFonts w:ascii="Arial" w:hAnsi="Arial" w:cs="Arial"/>
          <w:color w:val="000000"/>
          <w:sz w:val="20"/>
          <w:szCs w:val="20"/>
        </w:rPr>
        <w:t xml:space="preserve">. Abgerundet wird das Angebot durch Beratungspakete für Open Access Assessment, Marketing- und Vertriebsanalysen, Fiber Analytics sowie einen Vorleistungsvergleich. Bei Bedarf unterstützt </w:t>
      </w:r>
      <w:proofErr w:type="spellStart"/>
      <w:r w:rsidRPr="00850688">
        <w:rPr>
          <w:rFonts w:ascii="Arial" w:hAnsi="Arial" w:cs="Arial"/>
          <w:color w:val="000000"/>
          <w:sz w:val="20"/>
          <w:szCs w:val="20"/>
        </w:rPr>
        <w:t>Vivax</w:t>
      </w:r>
      <w:proofErr w:type="spellEnd"/>
      <w:r w:rsidRPr="00850688">
        <w:rPr>
          <w:rFonts w:ascii="Arial" w:hAnsi="Arial" w:cs="Arial"/>
          <w:color w:val="000000"/>
          <w:sz w:val="20"/>
          <w:szCs w:val="20"/>
        </w:rPr>
        <w:t xml:space="preserve"> Consulting Carrier auch im Vorfeld bei der </w:t>
      </w:r>
      <w:r>
        <w:rPr>
          <w:rFonts w:ascii="Arial" w:hAnsi="Arial" w:cs="Arial"/>
          <w:color w:val="000000"/>
          <w:sz w:val="20"/>
          <w:szCs w:val="20"/>
        </w:rPr>
        <w:t xml:space="preserve">Gesamtarchitektur der IT-Systeme und der </w:t>
      </w:r>
      <w:r w:rsidRPr="00850688">
        <w:rPr>
          <w:rFonts w:ascii="Arial" w:hAnsi="Arial" w:cs="Arial"/>
          <w:color w:val="000000"/>
          <w:sz w:val="20"/>
          <w:szCs w:val="20"/>
        </w:rPr>
        <w:t>Prozessoptimierung. Basis hierfür ist eine softwaregestützte Prozessanalyse auf Grundlage eines umfassenden Prozessmodells für Stadtwerke, Glasfasernetzbetreiber und Telekommunikationsunternehmen.</w:t>
      </w:r>
    </w:p>
    <w:tbl>
      <w:tblPr>
        <w:tblW w:w="8647" w:type="dxa"/>
        <w:tblLook w:val="04A0" w:firstRow="1" w:lastRow="0" w:firstColumn="1" w:lastColumn="0" w:noHBand="0" w:noVBand="1"/>
      </w:tblPr>
      <w:tblGrid>
        <w:gridCol w:w="3828"/>
        <w:gridCol w:w="4819"/>
      </w:tblGrid>
      <w:tr w:rsidR="000A752F" w:rsidRPr="000655B7" w14:paraId="14BEE28C" w14:textId="77777777" w:rsidTr="000C1A5E">
        <w:tc>
          <w:tcPr>
            <w:tcW w:w="3828"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40A39B38"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sidRPr="000655B7">
              <w:rPr>
                <w:rFonts w:ascii="Arial" w:hAnsi="Arial" w:cs="Calibri"/>
                <w:sz w:val="16"/>
                <w:szCs w:val="26"/>
                <w:lang w:eastAsia="de-DE"/>
              </w:rPr>
              <w:t>Vivax</w:t>
            </w:r>
            <w:proofErr w:type="spellEnd"/>
            <w:r w:rsidR="000C1A5E">
              <w:rPr>
                <w:rFonts w:ascii="Arial" w:hAnsi="Arial" w:cs="Calibri"/>
                <w:sz w:val="16"/>
                <w:szCs w:val="26"/>
                <w:lang w:eastAsia="de-DE"/>
              </w:rPr>
              <w:t xml:space="preserve"> Consult</w:t>
            </w:r>
            <w:r w:rsidR="007A3ED5">
              <w:rPr>
                <w:rFonts w:ascii="Arial" w:hAnsi="Arial" w:cs="Calibri"/>
                <w:sz w:val="16"/>
                <w:szCs w:val="26"/>
                <w:lang w:eastAsia="de-DE"/>
              </w:rPr>
              <w:t>i</w:t>
            </w:r>
            <w:r w:rsidR="000C1A5E">
              <w:rPr>
                <w:rFonts w:ascii="Arial" w:hAnsi="Arial" w:cs="Calibri"/>
                <w:sz w:val="16"/>
                <w:szCs w:val="26"/>
                <w:lang w:eastAsia="de-DE"/>
              </w:rPr>
              <w:t>ng</w:t>
            </w:r>
            <w:r w:rsidRPr="000655B7">
              <w:rPr>
                <w:rFonts w:ascii="Arial" w:hAnsi="Arial" w:cs="Calibri"/>
                <w:sz w:val="16"/>
                <w:szCs w:val="26"/>
                <w:lang w:eastAsia="de-DE"/>
              </w:rPr>
              <w:t xml:space="preserve"> GmbH – </w:t>
            </w:r>
            <w:r w:rsidR="000C1A5E">
              <w:rPr>
                <w:rFonts w:ascii="Arial" w:hAnsi="Arial" w:cs="Calibri"/>
                <w:sz w:val="16"/>
                <w:szCs w:val="26"/>
                <w:lang w:eastAsia="de-DE"/>
              </w:rPr>
              <w:t>Frank von Allwörden</w:t>
            </w:r>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000C1A5E" w:rsidRPr="00A17875">
                <w:rPr>
                  <w:rStyle w:val="Hyperlink"/>
                  <w:rFonts w:ascii="Arial" w:hAnsi="Arial" w:cs="Calibri"/>
                  <w:sz w:val="16"/>
                  <w:szCs w:val="26"/>
                  <w:lang w:eastAsia="de-DE"/>
                </w:rPr>
                <w:t>f.vonallwoerden@vivax-consulting.de</w:t>
              </w:r>
            </w:hyperlink>
            <w:r w:rsidR="000C1A5E">
              <w:rPr>
                <w:rFonts w:ascii="Arial" w:hAnsi="Arial" w:cs="Calibri"/>
                <w:sz w:val="16"/>
                <w:szCs w:val="26"/>
                <w:lang w:eastAsia="de-DE"/>
              </w:rPr>
              <w:br/>
            </w:r>
            <w:hyperlink r:id="rId8" w:history="1">
              <w:r w:rsidR="000C1A5E" w:rsidRPr="00A17875">
                <w:rPr>
                  <w:rStyle w:val="Hyperlink"/>
                  <w:rFonts w:ascii="Arial" w:hAnsi="Arial" w:cs="Calibri"/>
                  <w:sz w:val="16"/>
                  <w:szCs w:val="26"/>
                  <w:lang w:eastAsia="de-DE"/>
                </w:rPr>
                <w:t>https://www.vivax-consulting.de</w:t>
              </w:r>
            </w:hyperlink>
            <w:r w:rsidR="000C1A5E">
              <w:rPr>
                <w:rFonts w:ascii="Arial" w:hAnsi="Arial" w:cs="Calibri"/>
                <w:sz w:val="16"/>
                <w:szCs w:val="26"/>
                <w:lang w:eastAsia="de-DE"/>
              </w:rPr>
              <w:t xml:space="preserve"> </w:t>
            </w:r>
          </w:p>
          <w:p w14:paraId="784917AF" w14:textId="77777777" w:rsidR="001047FB" w:rsidRDefault="001047FB"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
          <w:p w14:paraId="4262A903" w14:textId="4C5451B0" w:rsidR="000A752F" w:rsidRDefault="001047FB" w:rsidP="001047F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Pr>
                <w:rFonts w:ascii="Arial" w:hAnsi="Arial" w:cs="Calibri"/>
                <w:sz w:val="16"/>
                <w:szCs w:val="26"/>
                <w:lang w:eastAsia="de-DE"/>
              </w:rPr>
              <w:t xml:space="preserve">ETC </w:t>
            </w:r>
            <w:proofErr w:type="spellStart"/>
            <w:r>
              <w:rPr>
                <w:rFonts w:ascii="Arial" w:hAnsi="Arial" w:cs="Calibri"/>
                <w:sz w:val="16"/>
                <w:szCs w:val="26"/>
                <w:lang w:eastAsia="de-DE"/>
              </w:rPr>
              <w:t>One</w:t>
            </w:r>
            <w:proofErr w:type="spellEnd"/>
            <w:r>
              <w:rPr>
                <w:rFonts w:ascii="Arial" w:hAnsi="Arial" w:cs="Calibri"/>
                <w:sz w:val="16"/>
                <w:szCs w:val="26"/>
                <w:lang w:eastAsia="de-DE"/>
              </w:rPr>
              <w:t xml:space="preserve"> GmbH – Norbert </w:t>
            </w:r>
            <w:proofErr w:type="spellStart"/>
            <w:r>
              <w:rPr>
                <w:rFonts w:ascii="Arial" w:hAnsi="Arial" w:cs="Calibri"/>
                <w:sz w:val="16"/>
                <w:szCs w:val="26"/>
                <w:lang w:eastAsia="de-DE"/>
              </w:rPr>
              <w:t>Schüppler</w:t>
            </w:r>
            <w:proofErr w:type="spellEnd"/>
            <w:r>
              <w:rPr>
                <w:rFonts w:ascii="Arial" w:hAnsi="Arial" w:cs="Calibri"/>
                <w:sz w:val="16"/>
                <w:szCs w:val="26"/>
                <w:lang w:eastAsia="de-DE"/>
              </w:rPr>
              <w:br/>
            </w:r>
            <w:r w:rsidRPr="001047FB">
              <w:rPr>
                <w:rFonts w:ascii="Arial" w:hAnsi="Arial" w:cs="Calibri"/>
                <w:sz w:val="16"/>
                <w:szCs w:val="26"/>
                <w:lang w:eastAsia="de-DE"/>
              </w:rPr>
              <w:t>Josef-Schappe-Str. 21</w:t>
            </w:r>
            <w:r>
              <w:rPr>
                <w:rFonts w:ascii="Arial" w:hAnsi="Arial" w:cs="Calibri"/>
                <w:sz w:val="16"/>
                <w:szCs w:val="26"/>
                <w:lang w:eastAsia="de-DE"/>
              </w:rPr>
              <w:t xml:space="preserve"> – </w:t>
            </w:r>
            <w:r w:rsidRPr="001047FB">
              <w:rPr>
                <w:rFonts w:ascii="Arial" w:hAnsi="Arial" w:cs="Calibri"/>
                <w:sz w:val="16"/>
                <w:szCs w:val="26"/>
                <w:lang w:eastAsia="de-DE"/>
              </w:rPr>
              <w:t>40882 Ratingen</w:t>
            </w:r>
            <w:r w:rsidRPr="001047FB">
              <w:rPr>
                <w:rFonts w:ascii="Arial" w:hAnsi="Arial" w:cs="Calibri"/>
                <w:sz w:val="16"/>
                <w:szCs w:val="26"/>
                <w:lang w:eastAsia="de-DE"/>
              </w:rPr>
              <w:br/>
            </w:r>
            <w:hyperlink r:id="rId9" w:history="1">
              <w:r w:rsidRPr="001047FB">
                <w:rPr>
                  <w:rStyle w:val="Hyperlink"/>
                  <w:rFonts w:ascii="Arial" w:hAnsi="Arial" w:cs="Calibri"/>
                  <w:sz w:val="16"/>
                  <w:szCs w:val="26"/>
                  <w:lang w:eastAsia="de-DE"/>
                </w:rPr>
                <w:t>norbert.schueppler@etc.one</w:t>
              </w:r>
            </w:hyperlink>
            <w:r>
              <w:rPr>
                <w:rFonts w:ascii="Arial" w:hAnsi="Arial" w:cs="Calibri"/>
                <w:sz w:val="16"/>
                <w:szCs w:val="26"/>
                <w:lang w:eastAsia="de-DE"/>
              </w:rPr>
              <w:br/>
            </w:r>
            <w:hyperlink r:id="rId10" w:history="1">
              <w:r w:rsidRPr="007C2F96">
                <w:rPr>
                  <w:rStyle w:val="Hyperlink"/>
                  <w:rFonts w:ascii="Arial" w:hAnsi="Arial" w:cs="Calibri"/>
                  <w:sz w:val="16"/>
                  <w:szCs w:val="26"/>
                  <w:lang w:eastAsia="de-DE"/>
                </w:rPr>
                <w:t>https://www.etc.one</w:t>
              </w:r>
            </w:hyperlink>
          </w:p>
          <w:p w14:paraId="736156CD" w14:textId="252C1054" w:rsidR="001047FB" w:rsidRPr="001047FB" w:rsidRDefault="001047FB" w:rsidP="001047F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
        </w:tc>
        <w:tc>
          <w:tcPr>
            <w:tcW w:w="4819" w:type="dxa"/>
            <w:shd w:val="clear" w:color="auto" w:fill="auto"/>
          </w:tcPr>
          <w:p w14:paraId="784BF33A" w14:textId="0BEB0EC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w:t>
            </w:r>
            <w:r w:rsidR="000C1A5E">
              <w:rPr>
                <w:rFonts w:ascii="Arial" w:hAnsi="Arial" w:cs="Calibri"/>
                <w:sz w:val="16"/>
                <w:szCs w:val="26"/>
                <w:lang w:eastAsia="de-DE"/>
              </w:rPr>
              <w:t>-Deutz-S</w:t>
            </w:r>
            <w:r w:rsidRPr="000655B7">
              <w:rPr>
                <w:rFonts w:ascii="Arial" w:hAnsi="Arial" w:cs="Calibri"/>
                <w:sz w:val="16"/>
                <w:szCs w:val="26"/>
                <w:lang w:eastAsia="de-DE"/>
              </w:rPr>
              <w:t xml:space="preserve">traße </w:t>
            </w:r>
            <w:r w:rsidR="000C1A5E">
              <w:rPr>
                <w:rFonts w:ascii="Arial" w:hAnsi="Arial" w:cs="Calibri"/>
                <w:sz w:val="16"/>
                <w:szCs w:val="26"/>
                <w:lang w:eastAsia="de-DE"/>
              </w:rPr>
              <w:t>14</w:t>
            </w:r>
            <w:r w:rsidRPr="000655B7">
              <w:rPr>
                <w:rFonts w:ascii="Arial" w:hAnsi="Arial" w:cs="Calibri"/>
                <w:sz w:val="16"/>
                <w:szCs w:val="26"/>
                <w:lang w:eastAsia="de-DE"/>
              </w:rPr>
              <w:t xml:space="preserve"> – 89077 Ulm</w:t>
            </w:r>
            <w:r w:rsidRPr="000655B7">
              <w:rPr>
                <w:rFonts w:ascii="Arial" w:hAnsi="Arial" w:cs="Calibri"/>
                <w:sz w:val="16"/>
                <w:szCs w:val="26"/>
                <w:lang w:eastAsia="de-DE"/>
              </w:rPr>
              <w:br/>
              <w:t xml:space="preserve">Tel.: +49 731 </w:t>
            </w:r>
            <w:r w:rsidR="000C1A5E">
              <w:rPr>
                <w:rFonts w:ascii="Arial" w:hAnsi="Arial" w:cs="Calibri"/>
                <w:sz w:val="16"/>
                <w:szCs w:val="26"/>
                <w:lang w:eastAsia="de-DE"/>
              </w:rPr>
              <w:t>146 156-8</w:t>
            </w:r>
            <w:r w:rsidRPr="000655B7">
              <w:rPr>
                <w:rFonts w:ascii="Arial" w:hAnsi="Arial" w:cs="Calibri"/>
                <w:sz w:val="16"/>
                <w:szCs w:val="26"/>
                <w:lang w:eastAsia="de-DE"/>
              </w:rPr>
              <w:t xml:space="preserve">9 </w:t>
            </w:r>
            <w:r w:rsidRPr="000655B7">
              <w:rPr>
                <w:rFonts w:ascii="Arial" w:hAnsi="Arial" w:cs="Calibri"/>
                <w:sz w:val="16"/>
                <w:szCs w:val="26"/>
                <w:lang w:eastAsia="de-DE"/>
              </w:rPr>
              <w:br/>
            </w:r>
            <w:hyperlink r:id="rId11"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r>
            <w:r w:rsidR="000C1A5E">
              <w:rPr>
                <w:rFonts w:ascii="Arial" w:hAnsi="Arial" w:cs="Calibri"/>
                <w:sz w:val="16"/>
                <w:szCs w:val="26"/>
                <w:lang w:eastAsia="de-DE"/>
              </w:rPr>
              <w:t>https://</w:t>
            </w:r>
            <w:r w:rsidRPr="000655B7">
              <w:rPr>
                <w:rFonts w:ascii="Arial" w:hAnsi="Arial" w:cs="Calibri"/>
                <w:sz w:val="16"/>
                <w:szCs w:val="26"/>
                <w:lang w:eastAsia="de-DE"/>
              </w:rPr>
              <w:t>press-n-relations.com</w:t>
            </w:r>
          </w:p>
        </w:tc>
      </w:tr>
    </w:tbl>
    <w:bookmarkEnd w:id="0"/>
    <w:bookmarkEnd w:id="1"/>
    <w:p w14:paraId="2E55E5C6" w14:textId="7DAF6298" w:rsidR="007749DD" w:rsidRDefault="008C3088" w:rsidP="00FF4A55">
      <w:pPr>
        <w:widowControl w:val="0"/>
        <w:autoSpaceDE w:val="0"/>
        <w:autoSpaceDN w:val="0"/>
        <w:adjustRightInd w:val="0"/>
        <w:spacing w:line="240" w:lineRule="auto"/>
        <w:ind w:right="-141"/>
        <w:rPr>
          <w:rFonts w:ascii="Arial" w:hAnsi="Arial" w:cs="Calibri"/>
          <w:sz w:val="16"/>
          <w:szCs w:val="26"/>
          <w:lang w:eastAsia="de-DE"/>
        </w:rPr>
      </w:pP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Consulting</w:t>
      </w:r>
      <w:r w:rsidR="000A752F" w:rsidRPr="004574AD">
        <w:rPr>
          <w:rFonts w:ascii="Arial" w:hAnsi="Arial" w:cs="Calibri"/>
          <w:sz w:val="16"/>
          <w:szCs w:val="26"/>
          <w:lang w:eastAsia="de-DE"/>
        </w:rPr>
        <w:t xml:space="preserve"> mit Sitz in Berlin unterstützt ihre Kunden </w:t>
      </w:r>
      <w:r w:rsidR="000A752F" w:rsidRPr="008C3088">
        <w:rPr>
          <w:rFonts w:ascii="Arial" w:hAnsi="Arial" w:cs="Calibri"/>
          <w:sz w:val="16"/>
          <w:szCs w:val="26"/>
          <w:lang w:eastAsia="de-DE"/>
        </w:rPr>
        <w:t xml:space="preserve">als </w:t>
      </w:r>
      <w:r w:rsidRPr="008C3088">
        <w:rPr>
          <w:rFonts w:ascii="Arial" w:hAnsi="Arial" w:cs="Calibri"/>
          <w:sz w:val="16"/>
          <w:szCs w:val="26"/>
          <w:lang w:eastAsia="de-DE"/>
        </w:rPr>
        <w:t>Beratungspartner für das gesamte Themenspektrum von der Digitalisierung und Automatisierung über die Datenanalyse bis hin zum Projektmanagement.</w:t>
      </w:r>
      <w:r>
        <w:rPr>
          <w:rFonts w:ascii="Arial" w:hAnsi="Arial" w:cs="Calibri"/>
          <w:sz w:val="16"/>
          <w:szCs w:val="26"/>
          <w:lang w:eastAsia="de-DE"/>
        </w:rPr>
        <w:t xml:space="preserve"> </w:t>
      </w:r>
      <w:r w:rsidR="000C1A5E">
        <w:rPr>
          <w:rFonts w:ascii="Arial" w:hAnsi="Arial" w:cs="Calibri"/>
          <w:sz w:val="16"/>
          <w:szCs w:val="26"/>
          <w:lang w:eastAsia="de-DE"/>
        </w:rPr>
        <w:t xml:space="preserve">Dabei konzentriert sich das Unternehmen auf drei Themenbereiche: Strategieberatung rund um den Glasfaserausbau und Open-Access-Netze, Beratung im regulatorischen Umfeld sowie Prozesskostenanalyse und -optimierung mit </w:t>
      </w:r>
      <w:proofErr w:type="spellStart"/>
      <w:r w:rsidR="000C1A5E">
        <w:rPr>
          <w:rFonts w:ascii="Arial" w:hAnsi="Arial" w:cs="Calibri"/>
          <w:sz w:val="16"/>
          <w:szCs w:val="26"/>
          <w:lang w:eastAsia="de-DE"/>
        </w:rPr>
        <w:t>Vivax</w:t>
      </w:r>
      <w:proofErr w:type="spellEnd"/>
      <w:r w:rsidR="000C1A5E">
        <w:rPr>
          <w:rFonts w:ascii="Arial" w:hAnsi="Arial" w:cs="Calibri"/>
          <w:sz w:val="16"/>
          <w:szCs w:val="26"/>
          <w:lang w:eastAsia="de-DE"/>
        </w:rPr>
        <w:t xml:space="preserve"> Analytics </w:t>
      </w:r>
      <w:proofErr w:type="spellStart"/>
      <w:r w:rsidR="000C1A5E">
        <w:rPr>
          <w:rFonts w:ascii="Arial" w:hAnsi="Arial" w:cs="Calibri"/>
          <w:sz w:val="16"/>
          <w:szCs w:val="26"/>
          <w:lang w:eastAsia="de-DE"/>
        </w:rPr>
        <w:t>ProCo</w:t>
      </w:r>
      <w:proofErr w:type="spellEnd"/>
      <w:r w:rsidR="000A752F" w:rsidRPr="004574AD">
        <w:rPr>
          <w:rFonts w:ascii="Arial" w:hAnsi="Arial" w:cs="Calibri"/>
          <w:sz w:val="16"/>
          <w:szCs w:val="26"/>
          <w:lang w:eastAsia="de-DE"/>
        </w:rPr>
        <w:t>. Zielgruppe für Produkte und Dienstleistungen sind sowohl Stadtwerke, Netzbetreiber als auch Kommunalverwaltungen und Landkreise.</w:t>
      </w:r>
    </w:p>
    <w:p w14:paraId="335C169B" w14:textId="77777777" w:rsidR="00A01129" w:rsidRPr="00A01129" w:rsidRDefault="00A01129" w:rsidP="00A01129">
      <w:pPr>
        <w:widowControl w:val="0"/>
        <w:autoSpaceDE w:val="0"/>
        <w:autoSpaceDN w:val="0"/>
        <w:adjustRightInd w:val="0"/>
        <w:spacing w:line="240" w:lineRule="auto"/>
        <w:ind w:left="34" w:right="-141"/>
        <w:rPr>
          <w:rFonts w:ascii="Arial" w:hAnsi="Arial" w:cs="Calibri"/>
          <w:sz w:val="16"/>
          <w:szCs w:val="26"/>
          <w:lang w:eastAsia="de-DE"/>
        </w:rPr>
      </w:pPr>
      <w:r w:rsidRPr="00A01129">
        <w:rPr>
          <w:rFonts w:ascii="Arial" w:hAnsi="Arial" w:cs="Calibri"/>
          <w:sz w:val="16"/>
          <w:szCs w:val="26"/>
          <w:lang w:eastAsia="de-DE"/>
        </w:rPr>
        <w:t xml:space="preserve">ETC ONE mit Sitz in Ratingen ist ein Anbieter von cloudbasierten </w:t>
      </w:r>
      <w:proofErr w:type="spellStart"/>
      <w:r w:rsidRPr="00A01129">
        <w:rPr>
          <w:rFonts w:ascii="Arial" w:hAnsi="Arial" w:cs="Calibri"/>
          <w:sz w:val="16"/>
          <w:szCs w:val="26"/>
          <w:lang w:eastAsia="de-DE"/>
        </w:rPr>
        <w:t>Managed</w:t>
      </w:r>
      <w:proofErr w:type="spellEnd"/>
      <w:r w:rsidRPr="00A01129">
        <w:rPr>
          <w:rFonts w:ascii="Arial" w:hAnsi="Arial" w:cs="Calibri"/>
          <w:sz w:val="16"/>
          <w:szCs w:val="26"/>
          <w:lang w:eastAsia="de-DE"/>
        </w:rPr>
        <w:t xml:space="preserve"> IT-Services für Festnetz- und Mobilfunk-Netzbetreiber und -Service Provider. Als </w:t>
      </w:r>
      <w:proofErr w:type="spellStart"/>
      <w:r w:rsidRPr="00A01129">
        <w:rPr>
          <w:rFonts w:ascii="Arial" w:hAnsi="Arial" w:cs="Calibri"/>
          <w:sz w:val="16"/>
          <w:szCs w:val="26"/>
          <w:lang w:eastAsia="de-DE"/>
        </w:rPr>
        <w:t>Enabler</w:t>
      </w:r>
      <w:proofErr w:type="spellEnd"/>
      <w:r w:rsidRPr="00A01129">
        <w:rPr>
          <w:rFonts w:ascii="Arial" w:hAnsi="Arial" w:cs="Calibri"/>
          <w:sz w:val="16"/>
          <w:szCs w:val="26"/>
          <w:lang w:eastAsia="de-DE"/>
        </w:rPr>
        <w:t xml:space="preserve"> für </w:t>
      </w:r>
      <w:proofErr w:type="spellStart"/>
      <w:r w:rsidRPr="00A01129">
        <w:rPr>
          <w:rFonts w:ascii="Arial" w:hAnsi="Arial" w:cs="Calibri"/>
          <w:sz w:val="16"/>
          <w:szCs w:val="26"/>
          <w:lang w:eastAsia="de-DE"/>
        </w:rPr>
        <w:t>Telko</w:t>
      </w:r>
      <w:proofErr w:type="spellEnd"/>
      <w:r w:rsidRPr="00A01129">
        <w:rPr>
          <w:rFonts w:ascii="Arial" w:hAnsi="Arial" w:cs="Calibri"/>
          <w:sz w:val="16"/>
          <w:szCs w:val="26"/>
          <w:lang w:eastAsia="de-DE"/>
        </w:rPr>
        <w:t xml:space="preserve">-Carrier stellt das Unternehmen zusammen mit seinem Partner </w:t>
      </w:r>
      <w:proofErr w:type="spellStart"/>
      <w:r w:rsidRPr="00A01129">
        <w:rPr>
          <w:rFonts w:ascii="Arial" w:hAnsi="Arial" w:cs="Calibri"/>
          <w:sz w:val="16"/>
          <w:szCs w:val="26"/>
          <w:lang w:eastAsia="de-DE"/>
        </w:rPr>
        <w:t>Compax</w:t>
      </w:r>
      <w:proofErr w:type="spellEnd"/>
      <w:r w:rsidRPr="00A01129">
        <w:rPr>
          <w:rFonts w:ascii="Arial" w:hAnsi="Arial" w:cs="Calibri"/>
          <w:sz w:val="16"/>
          <w:szCs w:val="26"/>
          <w:lang w:eastAsia="de-DE"/>
        </w:rPr>
        <w:t xml:space="preserve"> umfangreiche Software-Plattformen bereit, die alle wesentlichen </w:t>
      </w:r>
      <w:proofErr w:type="spellStart"/>
      <w:r w:rsidRPr="00A01129">
        <w:rPr>
          <w:rFonts w:ascii="Arial" w:hAnsi="Arial" w:cs="Calibri"/>
          <w:sz w:val="16"/>
          <w:szCs w:val="26"/>
          <w:lang w:eastAsia="de-DE"/>
        </w:rPr>
        <w:t>Wholesale</w:t>
      </w:r>
      <w:proofErr w:type="spellEnd"/>
      <w:r w:rsidRPr="00A01129">
        <w:rPr>
          <w:rFonts w:ascii="Arial" w:hAnsi="Arial" w:cs="Calibri"/>
          <w:sz w:val="16"/>
          <w:szCs w:val="26"/>
          <w:lang w:eastAsia="de-DE"/>
        </w:rPr>
        <w:t>- und Retail-Geschäftsprozesse für das Breitband-Geschäft Ende-zu-Ende automatisiert abwickeln. Das ONE BSS verwaltet alle Kundendaten und Produktkataloge, stellt die Schnittstellen zu den Vorleistungslieferanten bereit und umfasst auch die kompletten Billing-Prozesse incl. Nebenbuchführung. Das ONE OSS verwaltet in einer zentralen Master-Datenbank alle Informationen eines Carriers zu den Adressen, Hausanschlüssen und Anschlusseinheiten und kann auch ONT-Daten, Ausbauzustände und technische Informationen aus einem Netzmanagement-System abbilden. Die OSS-Workflow-Engine wickelt automatisiert die Prozesse für die S/PRI-Standardgeschäftsfälle ab und ist die Basis für die Open Access Cloud der ETC ONE.</w:t>
      </w:r>
    </w:p>
    <w:p w14:paraId="5DF6AADB" w14:textId="786AC6DD" w:rsidR="001213BF" w:rsidRPr="001034C2" w:rsidRDefault="001F3B7E">
      <w:pPr>
        <w:widowControl w:val="0"/>
        <w:autoSpaceDE w:val="0"/>
        <w:autoSpaceDN w:val="0"/>
        <w:adjustRightInd w:val="0"/>
        <w:spacing w:line="240" w:lineRule="auto"/>
        <w:ind w:left="34" w:right="-141"/>
        <w:rPr>
          <w:rFonts w:ascii="Arial" w:hAnsi="Arial" w:cs="Calibri"/>
          <w:sz w:val="16"/>
          <w:szCs w:val="26"/>
          <w:lang w:eastAsia="de-DE"/>
        </w:rPr>
      </w:pPr>
      <w:r w:rsidRPr="001F3B7E">
        <w:rPr>
          <w:rFonts w:ascii="Arial" w:hAnsi="Arial" w:cs="Calibri"/>
          <w:sz w:val="16"/>
          <w:szCs w:val="26"/>
          <w:lang w:eastAsia="de-DE"/>
        </w:rPr>
        <w:t>.</w:t>
      </w:r>
    </w:p>
    <w:sectPr w:rsidR="001213BF" w:rsidRPr="001034C2" w:rsidSect="000E11A2">
      <w:headerReference w:type="default" r:id="rId12"/>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2D2CD" w14:textId="77777777" w:rsidR="003961E3" w:rsidRDefault="003961E3" w:rsidP="00BF70FE">
      <w:pPr>
        <w:spacing w:after="0" w:line="240" w:lineRule="auto"/>
      </w:pPr>
      <w:r>
        <w:separator/>
      </w:r>
    </w:p>
  </w:endnote>
  <w:endnote w:type="continuationSeparator" w:id="0">
    <w:p w14:paraId="547D1B3C" w14:textId="77777777" w:rsidR="003961E3" w:rsidRDefault="003961E3"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7E42D" w14:textId="77777777" w:rsidR="003961E3" w:rsidRDefault="003961E3" w:rsidP="00BF70FE">
      <w:pPr>
        <w:spacing w:after="0" w:line="240" w:lineRule="auto"/>
      </w:pPr>
      <w:r>
        <w:separator/>
      </w:r>
    </w:p>
  </w:footnote>
  <w:footnote w:type="continuationSeparator" w:id="0">
    <w:p w14:paraId="36BE8162" w14:textId="77777777" w:rsidR="003961E3" w:rsidRDefault="003961E3"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9685" w14:textId="0DC2DB0D" w:rsidR="00B96701" w:rsidRDefault="00E14F96" w:rsidP="00384CDB">
    <w:pPr>
      <w:pStyle w:val="Kopfzeile"/>
      <w:tabs>
        <w:tab w:val="clear" w:pos="9072"/>
      </w:tabs>
      <w:ind w:right="-3118"/>
      <w:rPr>
        <w:noProof/>
        <w:lang w:eastAsia="de-DE"/>
      </w:rPr>
    </w:pPr>
    <w:r>
      <w:rPr>
        <w:noProof/>
        <w:lang w:eastAsia="de-DE"/>
      </w:rPr>
      <w:t xml:space="preserve">       </w:t>
    </w:r>
    <w:r>
      <w:rPr>
        <w:noProof/>
        <w:lang w:eastAsia="de-DE"/>
      </w:rPr>
      <w:tab/>
    </w:r>
    <w:r>
      <w:rPr>
        <w:noProof/>
        <w:lang w:eastAsia="de-DE"/>
      </w:rPr>
      <w:tab/>
    </w:r>
    <w:r>
      <w:rPr>
        <w:noProof/>
        <w:lang w:eastAsia="de-DE"/>
      </w:rPr>
      <w:tab/>
    </w:r>
    <w:r w:rsidR="00384CDB">
      <w:rPr>
        <w:noProof/>
        <w:lang w:eastAsia="de-DE"/>
      </w:rPr>
      <w:tab/>
    </w:r>
    <w:r w:rsidR="00384CDB">
      <w:rPr>
        <w:noProof/>
        <w:lang w:eastAsia="de-DE"/>
      </w:rPr>
      <w:tab/>
    </w:r>
    <w:r w:rsidR="00384CDB">
      <w:rPr>
        <w:noProof/>
        <w:lang w:eastAsia="de-DE"/>
      </w:rPr>
      <w:tab/>
      <w:t xml:space="preserve"> </w:t>
    </w:r>
    <w:r w:rsidR="00384CDB">
      <w:rPr>
        <w:noProof/>
        <w:lang w:eastAsia="de-DE"/>
      </w:rPr>
      <w:drawing>
        <wp:inline distT="0" distB="0" distL="0" distR="0" wp14:anchorId="65786D17" wp14:editId="32E2DF69">
          <wp:extent cx="1267922" cy="595433"/>
          <wp:effectExtent l="0" t="0" r="2540" b="1905"/>
          <wp:docPr id="20850018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01885" name="Grafik 2085001885"/>
                  <pic:cNvPicPr/>
                </pic:nvPicPr>
                <pic:blipFill>
                  <a:blip r:embed="rId1"/>
                  <a:stretch>
                    <a:fillRect/>
                  </a:stretch>
                </pic:blipFill>
                <pic:spPr>
                  <a:xfrm>
                    <a:off x="0" y="0"/>
                    <a:ext cx="1297747" cy="609439"/>
                  </a:xfrm>
                  <a:prstGeom prst="rect">
                    <a:avLst/>
                  </a:prstGeom>
                </pic:spPr>
              </pic:pic>
            </a:graphicData>
          </a:graphic>
        </wp:inline>
      </w:drawing>
    </w:r>
  </w:p>
  <w:p w14:paraId="4403638F" w14:textId="7C830930" w:rsidR="001047FB" w:rsidRDefault="001047FB" w:rsidP="00384CDB">
    <w:pPr>
      <w:pStyle w:val="Kopfzeile"/>
      <w:tabs>
        <w:tab w:val="clear" w:pos="9072"/>
      </w:tabs>
      <w:ind w:right="-3118"/>
    </w:pPr>
    <w:r>
      <w:tab/>
    </w:r>
    <w:r>
      <w:tab/>
    </w:r>
    <w:r>
      <w:tab/>
    </w:r>
    <w:r>
      <w:tab/>
    </w:r>
    <w:r>
      <w:tab/>
    </w:r>
    <w:r>
      <w:tab/>
    </w:r>
    <w:r>
      <w:rPr>
        <w:noProof/>
      </w:rPr>
      <w:drawing>
        <wp:inline distT="0" distB="0" distL="0" distR="0" wp14:anchorId="09D38174" wp14:editId="04573767">
          <wp:extent cx="1335578" cy="366207"/>
          <wp:effectExtent l="0" t="0" r="0" b="2540"/>
          <wp:docPr id="706339109" name="Grafik 2" descr="Ein Bild, das Schrift, Logo,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339109" name="Grafik 2" descr="Ein Bild, das Schrift, Logo, Grafiken, Symbol enthält.&#10;&#10;KI-generierte Inhalte können fehlerhaft sein."/>
                  <pic:cNvPicPr/>
                </pic:nvPicPr>
                <pic:blipFill>
                  <a:blip r:embed="rId2"/>
                  <a:stretch>
                    <a:fillRect/>
                  </a:stretch>
                </pic:blipFill>
                <pic:spPr>
                  <a:xfrm>
                    <a:off x="0" y="0"/>
                    <a:ext cx="1371823" cy="3761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3"/>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4D44"/>
    <w:rsid w:val="00037481"/>
    <w:rsid w:val="00037B8A"/>
    <w:rsid w:val="00040DBA"/>
    <w:rsid w:val="00041A6A"/>
    <w:rsid w:val="00044557"/>
    <w:rsid w:val="00046762"/>
    <w:rsid w:val="00047718"/>
    <w:rsid w:val="00051693"/>
    <w:rsid w:val="000541F5"/>
    <w:rsid w:val="00054244"/>
    <w:rsid w:val="000551FD"/>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95A30"/>
    <w:rsid w:val="00095DC3"/>
    <w:rsid w:val="000A0F03"/>
    <w:rsid w:val="000A126E"/>
    <w:rsid w:val="000A1C71"/>
    <w:rsid w:val="000A1E6B"/>
    <w:rsid w:val="000A4C5E"/>
    <w:rsid w:val="000A4C93"/>
    <w:rsid w:val="000A5BF7"/>
    <w:rsid w:val="000A752F"/>
    <w:rsid w:val="000A7E9E"/>
    <w:rsid w:val="000B5BA3"/>
    <w:rsid w:val="000B6A65"/>
    <w:rsid w:val="000C1A5E"/>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47FB"/>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5AB"/>
    <w:rsid w:val="001457D5"/>
    <w:rsid w:val="0015322E"/>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4EEC"/>
    <w:rsid w:val="00196421"/>
    <w:rsid w:val="00196D43"/>
    <w:rsid w:val="001A14A1"/>
    <w:rsid w:val="001A220F"/>
    <w:rsid w:val="001B01DF"/>
    <w:rsid w:val="001C51EC"/>
    <w:rsid w:val="001C6603"/>
    <w:rsid w:val="001C7838"/>
    <w:rsid w:val="001D2C4D"/>
    <w:rsid w:val="001D2FB7"/>
    <w:rsid w:val="001D5B1D"/>
    <w:rsid w:val="001D7D3B"/>
    <w:rsid w:val="001E3CB7"/>
    <w:rsid w:val="001E6755"/>
    <w:rsid w:val="001E6F47"/>
    <w:rsid w:val="001F293E"/>
    <w:rsid w:val="001F3B7E"/>
    <w:rsid w:val="00200031"/>
    <w:rsid w:val="0020049A"/>
    <w:rsid w:val="00205941"/>
    <w:rsid w:val="00207A9F"/>
    <w:rsid w:val="00211928"/>
    <w:rsid w:val="00213AF7"/>
    <w:rsid w:val="00221178"/>
    <w:rsid w:val="00221777"/>
    <w:rsid w:val="002230DC"/>
    <w:rsid w:val="00226C07"/>
    <w:rsid w:val="00231476"/>
    <w:rsid w:val="00233C8C"/>
    <w:rsid w:val="00235F66"/>
    <w:rsid w:val="00236787"/>
    <w:rsid w:val="00237217"/>
    <w:rsid w:val="00243944"/>
    <w:rsid w:val="00244E90"/>
    <w:rsid w:val="002507D4"/>
    <w:rsid w:val="00255BB8"/>
    <w:rsid w:val="00262A08"/>
    <w:rsid w:val="00265589"/>
    <w:rsid w:val="00272427"/>
    <w:rsid w:val="00274204"/>
    <w:rsid w:val="002745F8"/>
    <w:rsid w:val="00274B29"/>
    <w:rsid w:val="00274E41"/>
    <w:rsid w:val="002757A3"/>
    <w:rsid w:val="00276887"/>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B580B"/>
    <w:rsid w:val="002C01AF"/>
    <w:rsid w:val="002C0624"/>
    <w:rsid w:val="002C3923"/>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FF0"/>
    <w:rsid w:val="00383C82"/>
    <w:rsid w:val="00384CDB"/>
    <w:rsid w:val="003902A0"/>
    <w:rsid w:val="003911B7"/>
    <w:rsid w:val="00394D5C"/>
    <w:rsid w:val="003953CA"/>
    <w:rsid w:val="003961E3"/>
    <w:rsid w:val="003A2601"/>
    <w:rsid w:val="003A2746"/>
    <w:rsid w:val="003A3B30"/>
    <w:rsid w:val="003A43CA"/>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5327"/>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2B5B"/>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E5F9E"/>
    <w:rsid w:val="004F09E6"/>
    <w:rsid w:val="004F0E10"/>
    <w:rsid w:val="004F25A7"/>
    <w:rsid w:val="004F4FB4"/>
    <w:rsid w:val="004F5892"/>
    <w:rsid w:val="005048EC"/>
    <w:rsid w:val="005071AD"/>
    <w:rsid w:val="00521E6A"/>
    <w:rsid w:val="00525A27"/>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739E1"/>
    <w:rsid w:val="00576A90"/>
    <w:rsid w:val="00576E59"/>
    <w:rsid w:val="00577F31"/>
    <w:rsid w:val="00580B67"/>
    <w:rsid w:val="00580E35"/>
    <w:rsid w:val="00580F7D"/>
    <w:rsid w:val="00582EC1"/>
    <w:rsid w:val="00582ECD"/>
    <w:rsid w:val="005845F6"/>
    <w:rsid w:val="00591D88"/>
    <w:rsid w:val="005926D7"/>
    <w:rsid w:val="005958C2"/>
    <w:rsid w:val="00596BC4"/>
    <w:rsid w:val="005A1828"/>
    <w:rsid w:val="005B2C0D"/>
    <w:rsid w:val="005B3044"/>
    <w:rsid w:val="005B3C72"/>
    <w:rsid w:val="005B50F1"/>
    <w:rsid w:val="005C1147"/>
    <w:rsid w:val="005C344F"/>
    <w:rsid w:val="005C4CB9"/>
    <w:rsid w:val="005D1AA8"/>
    <w:rsid w:val="005D3D1E"/>
    <w:rsid w:val="005D5E32"/>
    <w:rsid w:val="005D61BC"/>
    <w:rsid w:val="005E1591"/>
    <w:rsid w:val="005E204F"/>
    <w:rsid w:val="005E5E93"/>
    <w:rsid w:val="005F2DF5"/>
    <w:rsid w:val="005F5177"/>
    <w:rsid w:val="005F63B7"/>
    <w:rsid w:val="00600833"/>
    <w:rsid w:val="0060472D"/>
    <w:rsid w:val="00605163"/>
    <w:rsid w:val="00612B5F"/>
    <w:rsid w:val="00613B84"/>
    <w:rsid w:val="006166CF"/>
    <w:rsid w:val="00630497"/>
    <w:rsid w:val="00632072"/>
    <w:rsid w:val="00632BA3"/>
    <w:rsid w:val="00633111"/>
    <w:rsid w:val="00640EED"/>
    <w:rsid w:val="00650109"/>
    <w:rsid w:val="00650F5E"/>
    <w:rsid w:val="006514AF"/>
    <w:rsid w:val="00653201"/>
    <w:rsid w:val="00653FBF"/>
    <w:rsid w:val="006563BE"/>
    <w:rsid w:val="00664FF9"/>
    <w:rsid w:val="006663C8"/>
    <w:rsid w:val="00666C16"/>
    <w:rsid w:val="006721DA"/>
    <w:rsid w:val="0067331D"/>
    <w:rsid w:val="00673F12"/>
    <w:rsid w:val="00674BD0"/>
    <w:rsid w:val="0067573A"/>
    <w:rsid w:val="00681349"/>
    <w:rsid w:val="006824CB"/>
    <w:rsid w:val="00682686"/>
    <w:rsid w:val="00682E83"/>
    <w:rsid w:val="006847AC"/>
    <w:rsid w:val="006862AC"/>
    <w:rsid w:val="006966C5"/>
    <w:rsid w:val="006A1AAA"/>
    <w:rsid w:val="006A30BD"/>
    <w:rsid w:val="006A652B"/>
    <w:rsid w:val="006B38E4"/>
    <w:rsid w:val="006B4049"/>
    <w:rsid w:val="006B4FEB"/>
    <w:rsid w:val="006D118E"/>
    <w:rsid w:val="006D2116"/>
    <w:rsid w:val="006D38DD"/>
    <w:rsid w:val="006D5955"/>
    <w:rsid w:val="006D6479"/>
    <w:rsid w:val="006E3A41"/>
    <w:rsid w:val="006E3EF8"/>
    <w:rsid w:val="006E792C"/>
    <w:rsid w:val="006E7E8E"/>
    <w:rsid w:val="006F2189"/>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232AF"/>
    <w:rsid w:val="007234F3"/>
    <w:rsid w:val="00726D0D"/>
    <w:rsid w:val="00732AF9"/>
    <w:rsid w:val="00732F57"/>
    <w:rsid w:val="007408FB"/>
    <w:rsid w:val="007410A9"/>
    <w:rsid w:val="00742C79"/>
    <w:rsid w:val="00743904"/>
    <w:rsid w:val="007448A8"/>
    <w:rsid w:val="00746132"/>
    <w:rsid w:val="00751621"/>
    <w:rsid w:val="00751A87"/>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A3ED5"/>
    <w:rsid w:val="007B0E5E"/>
    <w:rsid w:val="007B40BC"/>
    <w:rsid w:val="007B561B"/>
    <w:rsid w:val="007B59E3"/>
    <w:rsid w:val="007C0C1B"/>
    <w:rsid w:val="007C19F4"/>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03A77"/>
    <w:rsid w:val="0081727B"/>
    <w:rsid w:val="00822F51"/>
    <w:rsid w:val="00825564"/>
    <w:rsid w:val="00825E47"/>
    <w:rsid w:val="0082641D"/>
    <w:rsid w:val="00841C40"/>
    <w:rsid w:val="008457BE"/>
    <w:rsid w:val="00850688"/>
    <w:rsid w:val="00860C87"/>
    <w:rsid w:val="008627A4"/>
    <w:rsid w:val="00870824"/>
    <w:rsid w:val="008709F4"/>
    <w:rsid w:val="00872376"/>
    <w:rsid w:val="00872E24"/>
    <w:rsid w:val="0088232C"/>
    <w:rsid w:val="00883CE3"/>
    <w:rsid w:val="0089252B"/>
    <w:rsid w:val="008956CD"/>
    <w:rsid w:val="008A0DBF"/>
    <w:rsid w:val="008A484E"/>
    <w:rsid w:val="008A52B6"/>
    <w:rsid w:val="008A6550"/>
    <w:rsid w:val="008A663A"/>
    <w:rsid w:val="008B2353"/>
    <w:rsid w:val="008B464E"/>
    <w:rsid w:val="008B5FAE"/>
    <w:rsid w:val="008C3088"/>
    <w:rsid w:val="008C3262"/>
    <w:rsid w:val="008D0D7C"/>
    <w:rsid w:val="008E00E2"/>
    <w:rsid w:val="008E08D3"/>
    <w:rsid w:val="008E0B37"/>
    <w:rsid w:val="008E363F"/>
    <w:rsid w:val="008E3944"/>
    <w:rsid w:val="008F64E2"/>
    <w:rsid w:val="00902E3D"/>
    <w:rsid w:val="00912C77"/>
    <w:rsid w:val="00913D33"/>
    <w:rsid w:val="0091465C"/>
    <w:rsid w:val="009154DD"/>
    <w:rsid w:val="00915DD5"/>
    <w:rsid w:val="009223A3"/>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3042"/>
    <w:rsid w:val="009B3976"/>
    <w:rsid w:val="009B6FBC"/>
    <w:rsid w:val="009B7074"/>
    <w:rsid w:val="009B782B"/>
    <w:rsid w:val="009C0CE4"/>
    <w:rsid w:val="009D30A6"/>
    <w:rsid w:val="009D4DFD"/>
    <w:rsid w:val="009E32E3"/>
    <w:rsid w:val="009E44F0"/>
    <w:rsid w:val="009E4804"/>
    <w:rsid w:val="009E6B35"/>
    <w:rsid w:val="009F013E"/>
    <w:rsid w:val="009F0C3D"/>
    <w:rsid w:val="009F0F94"/>
    <w:rsid w:val="00A01129"/>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3B34"/>
    <w:rsid w:val="00A461EC"/>
    <w:rsid w:val="00A462DC"/>
    <w:rsid w:val="00A50D16"/>
    <w:rsid w:val="00A53D4B"/>
    <w:rsid w:val="00A549CB"/>
    <w:rsid w:val="00A551F1"/>
    <w:rsid w:val="00A55C3C"/>
    <w:rsid w:val="00A56E5A"/>
    <w:rsid w:val="00A57C12"/>
    <w:rsid w:val="00A636C0"/>
    <w:rsid w:val="00A66B0E"/>
    <w:rsid w:val="00A71BF1"/>
    <w:rsid w:val="00A72FA1"/>
    <w:rsid w:val="00A8365C"/>
    <w:rsid w:val="00A86E2E"/>
    <w:rsid w:val="00A909F7"/>
    <w:rsid w:val="00A90FA9"/>
    <w:rsid w:val="00A93908"/>
    <w:rsid w:val="00AA41E7"/>
    <w:rsid w:val="00AA55F2"/>
    <w:rsid w:val="00AA7551"/>
    <w:rsid w:val="00AB1EDE"/>
    <w:rsid w:val="00AB23C8"/>
    <w:rsid w:val="00AB55A0"/>
    <w:rsid w:val="00AC053B"/>
    <w:rsid w:val="00AC2478"/>
    <w:rsid w:val="00AC2BFD"/>
    <w:rsid w:val="00AC30EE"/>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11CFE"/>
    <w:rsid w:val="00B13A5F"/>
    <w:rsid w:val="00B153D5"/>
    <w:rsid w:val="00B16919"/>
    <w:rsid w:val="00B23CF9"/>
    <w:rsid w:val="00B24980"/>
    <w:rsid w:val="00B25C51"/>
    <w:rsid w:val="00B27B9D"/>
    <w:rsid w:val="00B3620F"/>
    <w:rsid w:val="00B3624E"/>
    <w:rsid w:val="00B37700"/>
    <w:rsid w:val="00B42D74"/>
    <w:rsid w:val="00B43DB2"/>
    <w:rsid w:val="00B44741"/>
    <w:rsid w:val="00B454A3"/>
    <w:rsid w:val="00B46CF9"/>
    <w:rsid w:val="00B47754"/>
    <w:rsid w:val="00B47F46"/>
    <w:rsid w:val="00B55BBE"/>
    <w:rsid w:val="00B57768"/>
    <w:rsid w:val="00B6453C"/>
    <w:rsid w:val="00B652A4"/>
    <w:rsid w:val="00B67EDA"/>
    <w:rsid w:val="00B7163B"/>
    <w:rsid w:val="00B71C92"/>
    <w:rsid w:val="00B753D5"/>
    <w:rsid w:val="00B819A5"/>
    <w:rsid w:val="00B82239"/>
    <w:rsid w:val="00B857E2"/>
    <w:rsid w:val="00B871C2"/>
    <w:rsid w:val="00B96701"/>
    <w:rsid w:val="00BA0B62"/>
    <w:rsid w:val="00BA0FAD"/>
    <w:rsid w:val="00BA3625"/>
    <w:rsid w:val="00BA48AC"/>
    <w:rsid w:val="00BA51BE"/>
    <w:rsid w:val="00BA7304"/>
    <w:rsid w:val="00BB2FF8"/>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2E2B"/>
    <w:rsid w:val="00CC44E9"/>
    <w:rsid w:val="00CC4D60"/>
    <w:rsid w:val="00CD21DB"/>
    <w:rsid w:val="00CD26B7"/>
    <w:rsid w:val="00CD3EF6"/>
    <w:rsid w:val="00CD417B"/>
    <w:rsid w:val="00CD490F"/>
    <w:rsid w:val="00CD5183"/>
    <w:rsid w:val="00CE391E"/>
    <w:rsid w:val="00CF04AC"/>
    <w:rsid w:val="00CF1E1B"/>
    <w:rsid w:val="00CF3ACA"/>
    <w:rsid w:val="00CF3F7D"/>
    <w:rsid w:val="00CF6D14"/>
    <w:rsid w:val="00D0005C"/>
    <w:rsid w:val="00D02991"/>
    <w:rsid w:val="00D03EBB"/>
    <w:rsid w:val="00D1662C"/>
    <w:rsid w:val="00D16EBD"/>
    <w:rsid w:val="00D17712"/>
    <w:rsid w:val="00D2023B"/>
    <w:rsid w:val="00D205C5"/>
    <w:rsid w:val="00D20803"/>
    <w:rsid w:val="00D23074"/>
    <w:rsid w:val="00D2582F"/>
    <w:rsid w:val="00D27A64"/>
    <w:rsid w:val="00D3083D"/>
    <w:rsid w:val="00D40D6F"/>
    <w:rsid w:val="00D429BE"/>
    <w:rsid w:val="00D44930"/>
    <w:rsid w:val="00D45085"/>
    <w:rsid w:val="00D45EBD"/>
    <w:rsid w:val="00D46770"/>
    <w:rsid w:val="00D52A64"/>
    <w:rsid w:val="00D5306F"/>
    <w:rsid w:val="00D572B9"/>
    <w:rsid w:val="00D61E26"/>
    <w:rsid w:val="00D63982"/>
    <w:rsid w:val="00D64707"/>
    <w:rsid w:val="00D64AA2"/>
    <w:rsid w:val="00D72678"/>
    <w:rsid w:val="00D7666E"/>
    <w:rsid w:val="00D77478"/>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1CC2"/>
    <w:rsid w:val="00EF3CA1"/>
    <w:rsid w:val="00EF4362"/>
    <w:rsid w:val="00EF500E"/>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753"/>
    <w:rsid w:val="00F36DE3"/>
    <w:rsid w:val="00F40E03"/>
    <w:rsid w:val="00F4188B"/>
    <w:rsid w:val="00F42643"/>
    <w:rsid w:val="00F45322"/>
    <w:rsid w:val="00F469CA"/>
    <w:rsid w:val="00F53665"/>
    <w:rsid w:val="00F60AEE"/>
    <w:rsid w:val="00F61423"/>
    <w:rsid w:val="00F62891"/>
    <w:rsid w:val="00F6520C"/>
    <w:rsid w:val="00F66C89"/>
    <w:rsid w:val="00F66CAF"/>
    <w:rsid w:val="00F80BB7"/>
    <w:rsid w:val="00F826DC"/>
    <w:rsid w:val="00F84B58"/>
    <w:rsid w:val="00F875B4"/>
    <w:rsid w:val="00F90023"/>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57F4"/>
    <w:rsid w:val="00FD6613"/>
    <w:rsid w:val="00FE1AA1"/>
    <w:rsid w:val="00FE2E90"/>
    <w:rsid w:val="00FE30BE"/>
    <w:rsid w:val="00FE4B3C"/>
    <w:rsid w:val="00FF0FAD"/>
    <w:rsid w:val="00FF4A5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384258698">
      <w:bodyDiv w:val="1"/>
      <w:marLeft w:val="0"/>
      <w:marRight w:val="0"/>
      <w:marTop w:val="0"/>
      <w:marBottom w:val="0"/>
      <w:divBdr>
        <w:top w:val="none" w:sz="0" w:space="0" w:color="auto"/>
        <w:left w:val="none" w:sz="0" w:space="0" w:color="auto"/>
        <w:bottom w:val="none" w:sz="0" w:space="0" w:color="auto"/>
        <w:right w:val="none" w:sz="0" w:space="0" w:color="auto"/>
      </w:divBdr>
      <w:divsChild>
        <w:div w:id="1868133649">
          <w:marLeft w:val="734"/>
          <w:marRight w:val="0"/>
          <w:marTop w:val="200"/>
          <w:marBottom w:val="0"/>
          <w:divBdr>
            <w:top w:val="none" w:sz="0" w:space="0" w:color="auto"/>
            <w:left w:val="none" w:sz="0" w:space="0" w:color="auto"/>
            <w:bottom w:val="none" w:sz="0" w:space="0" w:color="auto"/>
            <w:right w:val="none" w:sz="0" w:space="0" w:color="auto"/>
          </w:divBdr>
        </w:div>
        <w:div w:id="2110925141">
          <w:marLeft w:val="734"/>
          <w:marRight w:val="0"/>
          <w:marTop w:val="200"/>
          <w:marBottom w:val="0"/>
          <w:divBdr>
            <w:top w:val="none" w:sz="0" w:space="0" w:color="auto"/>
            <w:left w:val="none" w:sz="0" w:space="0" w:color="auto"/>
            <w:bottom w:val="none" w:sz="0" w:space="0" w:color="auto"/>
            <w:right w:val="none" w:sz="0" w:space="0" w:color="auto"/>
          </w:divBdr>
        </w:div>
        <w:div w:id="1905413548">
          <w:marLeft w:val="734"/>
          <w:marRight w:val="0"/>
          <w:marTop w:val="200"/>
          <w:marBottom w:val="0"/>
          <w:divBdr>
            <w:top w:val="none" w:sz="0" w:space="0" w:color="auto"/>
            <w:left w:val="none" w:sz="0" w:space="0" w:color="auto"/>
            <w:bottom w:val="none" w:sz="0" w:space="0" w:color="auto"/>
            <w:right w:val="none" w:sz="0" w:space="0" w:color="auto"/>
          </w:divBdr>
        </w:div>
        <w:div w:id="1217938442">
          <w:marLeft w:val="734"/>
          <w:marRight w:val="0"/>
          <w:marTop w:val="200"/>
          <w:marBottom w:val="0"/>
          <w:divBdr>
            <w:top w:val="none" w:sz="0" w:space="0" w:color="auto"/>
            <w:left w:val="none" w:sz="0" w:space="0" w:color="auto"/>
            <w:bottom w:val="none" w:sz="0" w:space="0" w:color="auto"/>
            <w:right w:val="none" w:sz="0" w:space="0" w:color="auto"/>
          </w:divBdr>
        </w:div>
      </w:divsChild>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0787412">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s://www.vivax-consulting.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vonallwoerden@vivax-consulting.de"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0" Type="http://schemas.openxmlformats.org/officeDocument/2006/relationships/hyperlink" Target="https://www.etc.one" TargetMode="External"/><Relationship Id="rId4" Type="http://schemas.openxmlformats.org/officeDocument/2006/relationships/webSettings" Target="webSettings.xml"/><Relationship Id="rId9" Type="http://schemas.openxmlformats.org/officeDocument/2006/relationships/hyperlink" Target="mailto:norbert.schueppler@etc.on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4968</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6</cp:revision>
  <cp:lastPrinted>2022-06-03T06:41:00Z</cp:lastPrinted>
  <dcterms:created xsi:type="dcterms:W3CDTF">2025-03-24T12:48:00Z</dcterms:created>
  <dcterms:modified xsi:type="dcterms:W3CDTF">2025-03-25T07:50:00Z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