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38E05" w14:textId="77777777" w:rsidR="005D3D1E" w:rsidRDefault="005D3D1E" w:rsidP="005D3D1E">
      <w:pPr>
        <w:autoSpaceDE w:val="0"/>
        <w:autoSpaceDN w:val="0"/>
        <w:adjustRightInd w:val="0"/>
        <w:spacing w:after="0" w:line="240" w:lineRule="auto"/>
        <w:rPr>
          <w:rFonts w:ascii="Arial" w:hAnsi="Arial" w:cs="Arial"/>
          <w:b/>
          <w:color w:val="000000"/>
          <w:sz w:val="24"/>
          <w:szCs w:val="24"/>
        </w:rPr>
      </w:pPr>
    </w:p>
    <w:p w14:paraId="366C25D7" w14:textId="77777777" w:rsidR="005D3D1E" w:rsidRPr="000655B7" w:rsidRDefault="005D3D1E" w:rsidP="005D3D1E">
      <w:pPr>
        <w:autoSpaceDE w:val="0"/>
        <w:autoSpaceDN w:val="0"/>
        <w:adjustRightInd w:val="0"/>
        <w:spacing w:after="0" w:line="240" w:lineRule="auto"/>
        <w:rPr>
          <w:rFonts w:ascii="Arial" w:hAnsi="Arial" w:cs="Arial"/>
          <w:b/>
          <w:color w:val="000000"/>
          <w:sz w:val="24"/>
          <w:szCs w:val="24"/>
        </w:rPr>
      </w:pPr>
    </w:p>
    <w:p w14:paraId="6DF482A4" w14:textId="77777777" w:rsidR="005D3D1E" w:rsidRPr="000655B7" w:rsidRDefault="005D3D1E" w:rsidP="005D3D1E">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5844D01A" w14:textId="77777777" w:rsidR="005D3D1E" w:rsidRDefault="005D3D1E" w:rsidP="005D3D1E">
      <w:pPr>
        <w:autoSpaceDE w:val="0"/>
        <w:autoSpaceDN w:val="0"/>
        <w:adjustRightInd w:val="0"/>
        <w:spacing w:after="0" w:line="240" w:lineRule="auto"/>
        <w:rPr>
          <w:rFonts w:ascii="Arial" w:hAnsi="Arial" w:cs="Arial"/>
          <w:color w:val="000000"/>
        </w:rPr>
      </w:pPr>
    </w:p>
    <w:p w14:paraId="62F05F78" w14:textId="0FC42FF1" w:rsidR="005D3D1E" w:rsidRPr="00C74157" w:rsidRDefault="005D3D1E" w:rsidP="005D3D1E">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9A2BF1">
        <w:rPr>
          <w:rFonts w:ascii="Arial" w:hAnsi="Arial" w:cs="Arial"/>
          <w:color w:val="000000"/>
        </w:rPr>
        <w:t>3</w:t>
      </w:r>
      <w:r w:rsidRPr="000655B7">
        <w:rPr>
          <w:rFonts w:ascii="Arial" w:hAnsi="Arial" w:cs="Arial"/>
          <w:color w:val="000000"/>
        </w:rPr>
        <w:t xml:space="preserve">. </w:t>
      </w:r>
      <w:r w:rsidR="004F09E6">
        <w:rPr>
          <w:rFonts w:ascii="Arial" w:hAnsi="Arial" w:cs="Arial"/>
          <w:color w:val="000000"/>
        </w:rPr>
        <w:t>Dezember</w:t>
      </w:r>
      <w:r w:rsidRPr="00C74157">
        <w:rPr>
          <w:rFonts w:ascii="Arial" w:hAnsi="Arial" w:cs="Arial"/>
          <w:color w:val="000000"/>
        </w:rPr>
        <w:t xml:space="preserve"> 20</w:t>
      </w:r>
      <w:r w:rsidR="00BF3DDF">
        <w:rPr>
          <w:rFonts w:ascii="Arial" w:hAnsi="Arial" w:cs="Arial"/>
          <w:color w:val="000000"/>
        </w:rPr>
        <w:t>20</w:t>
      </w:r>
    </w:p>
    <w:p w14:paraId="3A8B5942" w14:textId="77777777" w:rsidR="005D3D1E" w:rsidRPr="00C74157" w:rsidRDefault="005D3D1E" w:rsidP="005D3D1E">
      <w:pPr>
        <w:autoSpaceDE w:val="0"/>
        <w:autoSpaceDN w:val="0"/>
        <w:adjustRightInd w:val="0"/>
        <w:spacing w:after="0" w:line="240" w:lineRule="auto"/>
        <w:rPr>
          <w:rFonts w:ascii="Arial" w:hAnsi="Arial" w:cs="Arial"/>
          <w:color w:val="000000"/>
          <w:sz w:val="24"/>
          <w:szCs w:val="24"/>
        </w:rPr>
      </w:pPr>
    </w:p>
    <w:p w14:paraId="0EEC0A94" w14:textId="77777777" w:rsidR="005D3D1E" w:rsidRPr="00C74157" w:rsidRDefault="005D3D1E" w:rsidP="005D3D1E">
      <w:pPr>
        <w:autoSpaceDE w:val="0"/>
        <w:autoSpaceDN w:val="0"/>
        <w:adjustRightInd w:val="0"/>
        <w:spacing w:after="0" w:line="360" w:lineRule="auto"/>
        <w:rPr>
          <w:rFonts w:ascii="Arial" w:hAnsi="Arial" w:cs="Arial"/>
          <w:color w:val="000000"/>
          <w:sz w:val="20"/>
          <w:szCs w:val="20"/>
        </w:rPr>
      </w:pPr>
    </w:p>
    <w:p w14:paraId="48E9C6D4" w14:textId="438A0A9C" w:rsidR="003E1E07" w:rsidRPr="00A549CB" w:rsidRDefault="00613B84" w:rsidP="00C3376B">
      <w:pPr>
        <w:autoSpaceDE w:val="0"/>
        <w:autoSpaceDN w:val="0"/>
        <w:adjustRightInd w:val="0"/>
        <w:spacing w:after="0" w:line="360" w:lineRule="auto"/>
        <w:ind w:right="-2410"/>
        <w:rPr>
          <w:rFonts w:ascii="Arial" w:hAnsi="Arial" w:cs="Arial"/>
          <w:b/>
          <w:color w:val="000000"/>
          <w:sz w:val="28"/>
          <w:szCs w:val="28"/>
        </w:rPr>
      </w:pPr>
      <w:bookmarkStart w:id="0" w:name="OLE_LINK1"/>
      <w:bookmarkStart w:id="1" w:name="OLE_LINK2"/>
      <w:bookmarkStart w:id="2" w:name="OLE_LINK3"/>
      <w:bookmarkStart w:id="3" w:name="OLE_LINK4"/>
      <w:bookmarkStart w:id="4" w:name="OLE_LINK5"/>
      <w:proofErr w:type="spellStart"/>
      <w:r>
        <w:rPr>
          <w:rFonts w:ascii="Arial" w:hAnsi="Arial" w:cs="Arial"/>
          <w:b/>
          <w:color w:val="000000"/>
          <w:sz w:val="28"/>
          <w:szCs w:val="28"/>
        </w:rPr>
        <w:t>tktVivax</w:t>
      </w:r>
      <w:proofErr w:type="spellEnd"/>
      <w:r>
        <w:rPr>
          <w:rFonts w:ascii="Arial" w:hAnsi="Arial" w:cs="Arial"/>
          <w:b/>
          <w:color w:val="000000"/>
          <w:sz w:val="28"/>
          <w:szCs w:val="28"/>
        </w:rPr>
        <w:t xml:space="preserve">-Gruppe </w:t>
      </w:r>
      <w:r w:rsidR="004F09E6">
        <w:rPr>
          <w:rFonts w:ascii="Arial" w:hAnsi="Arial" w:cs="Arial"/>
          <w:b/>
          <w:color w:val="000000"/>
          <w:sz w:val="28"/>
          <w:szCs w:val="28"/>
        </w:rPr>
        <w:t>komplettiert</w:t>
      </w:r>
      <w:r>
        <w:rPr>
          <w:rFonts w:ascii="Arial" w:hAnsi="Arial" w:cs="Arial"/>
          <w:b/>
          <w:color w:val="000000"/>
          <w:sz w:val="28"/>
          <w:szCs w:val="28"/>
        </w:rPr>
        <w:t xml:space="preserve"> Führung</w:t>
      </w:r>
      <w:r w:rsidR="004F09E6">
        <w:rPr>
          <w:rFonts w:ascii="Arial" w:hAnsi="Arial" w:cs="Arial"/>
          <w:b/>
          <w:color w:val="000000"/>
          <w:sz w:val="28"/>
          <w:szCs w:val="28"/>
        </w:rPr>
        <w:t>: Florian Donath neuer CTO</w:t>
      </w:r>
    </w:p>
    <w:bookmarkEnd w:id="0"/>
    <w:bookmarkEnd w:id="1"/>
    <w:bookmarkEnd w:id="2"/>
    <w:p w14:paraId="4B7D9C4A" w14:textId="2B7F2A76" w:rsidR="003E1E07" w:rsidRDefault="00732AF9" w:rsidP="009E1EB5">
      <w:pPr>
        <w:autoSpaceDE w:val="0"/>
        <w:autoSpaceDN w:val="0"/>
        <w:adjustRightInd w:val="0"/>
        <w:spacing w:after="0" w:line="360" w:lineRule="auto"/>
        <w:ind w:right="-1984"/>
        <w:rPr>
          <w:rFonts w:ascii="Arial" w:hAnsi="Arial" w:cs="Tahoma"/>
          <w:b/>
          <w:sz w:val="20"/>
          <w:szCs w:val="20"/>
        </w:rPr>
      </w:pPr>
      <w:r>
        <w:rPr>
          <w:rFonts w:ascii="Arial" w:hAnsi="Arial" w:cs="Tahoma"/>
          <w:b/>
          <w:sz w:val="20"/>
          <w:szCs w:val="20"/>
        </w:rPr>
        <w:t xml:space="preserve">Gleichzeitig neuer Geschäftsführer der </w:t>
      </w:r>
      <w:proofErr w:type="spellStart"/>
      <w:r>
        <w:rPr>
          <w:rFonts w:ascii="Arial" w:hAnsi="Arial" w:cs="Tahoma"/>
          <w:b/>
          <w:sz w:val="20"/>
          <w:szCs w:val="20"/>
        </w:rPr>
        <w:t>Vivax</w:t>
      </w:r>
      <w:proofErr w:type="spellEnd"/>
      <w:r>
        <w:rPr>
          <w:rFonts w:ascii="Arial" w:hAnsi="Arial" w:cs="Tahoma"/>
          <w:b/>
          <w:sz w:val="20"/>
          <w:szCs w:val="20"/>
        </w:rPr>
        <w:t xml:space="preserve"> Engineering GmbH</w:t>
      </w:r>
    </w:p>
    <w:p w14:paraId="2CE1A497" w14:textId="77777777" w:rsidR="003E1E07" w:rsidRDefault="003E1E07" w:rsidP="009E1EB5">
      <w:pPr>
        <w:autoSpaceDE w:val="0"/>
        <w:autoSpaceDN w:val="0"/>
        <w:adjustRightInd w:val="0"/>
        <w:spacing w:after="0" w:line="360" w:lineRule="auto"/>
        <w:ind w:right="-1984"/>
        <w:rPr>
          <w:rFonts w:ascii="Arial" w:hAnsi="Arial" w:cs="Tahoma"/>
          <w:b/>
          <w:sz w:val="20"/>
          <w:szCs w:val="20"/>
        </w:rPr>
      </w:pPr>
    </w:p>
    <w:p w14:paraId="64A4E54C" w14:textId="7BAF6168" w:rsidR="00BF70BC" w:rsidRDefault="004F09E6" w:rsidP="009E1EB5">
      <w:pPr>
        <w:spacing w:line="360" w:lineRule="auto"/>
        <w:rPr>
          <w:rFonts w:ascii="Arial" w:hAnsi="Arial" w:cs="Tahoma"/>
          <w:b/>
          <w:sz w:val="20"/>
          <w:szCs w:val="20"/>
        </w:rPr>
      </w:pPr>
      <w:r>
        <w:rPr>
          <w:rFonts w:ascii="Arial" w:hAnsi="Arial" w:cs="Arial"/>
          <w:b/>
          <w:bCs/>
          <w:color w:val="000000"/>
          <w:sz w:val="20"/>
          <w:szCs w:val="20"/>
        </w:rPr>
        <w:t xml:space="preserve">Mit </w:t>
      </w:r>
      <w:r w:rsidR="00732AF9">
        <w:rPr>
          <w:rFonts w:ascii="Arial" w:hAnsi="Arial" w:cs="Arial"/>
          <w:b/>
          <w:bCs/>
          <w:color w:val="000000"/>
          <w:sz w:val="20"/>
          <w:szCs w:val="20"/>
        </w:rPr>
        <w:t>Florian Donath (</w:t>
      </w:r>
      <w:r w:rsidR="009A2BF1">
        <w:rPr>
          <w:rFonts w:ascii="Arial" w:hAnsi="Arial" w:cs="Arial"/>
          <w:b/>
          <w:bCs/>
          <w:color w:val="000000"/>
          <w:sz w:val="20"/>
          <w:szCs w:val="20"/>
        </w:rPr>
        <w:t>37</w:t>
      </w:r>
      <w:r w:rsidR="00732AF9">
        <w:rPr>
          <w:rFonts w:ascii="Arial" w:hAnsi="Arial" w:cs="Arial"/>
          <w:b/>
          <w:bCs/>
          <w:color w:val="000000"/>
          <w:sz w:val="20"/>
          <w:szCs w:val="20"/>
        </w:rPr>
        <w:t xml:space="preserve">) übernimmt jetzt ein ausgewiesener </w:t>
      </w:r>
      <w:r w:rsidR="0067331D">
        <w:rPr>
          <w:rFonts w:ascii="Arial" w:hAnsi="Arial" w:cs="Arial"/>
          <w:b/>
          <w:bCs/>
          <w:color w:val="000000"/>
          <w:sz w:val="20"/>
          <w:szCs w:val="20"/>
        </w:rPr>
        <w:t>P</w:t>
      </w:r>
      <w:r w:rsidR="00732AF9">
        <w:rPr>
          <w:rFonts w:ascii="Arial" w:hAnsi="Arial" w:cs="Arial"/>
          <w:b/>
          <w:bCs/>
          <w:color w:val="000000"/>
          <w:sz w:val="20"/>
          <w:szCs w:val="20"/>
        </w:rPr>
        <w:t>raktiker</w:t>
      </w:r>
      <w:r w:rsidR="0067331D">
        <w:rPr>
          <w:rFonts w:ascii="Arial" w:hAnsi="Arial" w:cs="Arial"/>
          <w:b/>
          <w:bCs/>
          <w:color w:val="000000"/>
          <w:sz w:val="20"/>
          <w:szCs w:val="20"/>
        </w:rPr>
        <w:t xml:space="preserve"> beim Ausbau von Breitbandnetzen</w:t>
      </w:r>
      <w:r w:rsidR="00732AF9">
        <w:rPr>
          <w:rFonts w:ascii="Arial" w:hAnsi="Arial" w:cs="Arial"/>
          <w:b/>
          <w:bCs/>
          <w:color w:val="000000"/>
          <w:sz w:val="20"/>
          <w:szCs w:val="20"/>
        </w:rPr>
        <w:t xml:space="preserve"> die Aufgabe des CTO in der </w:t>
      </w:r>
      <w:proofErr w:type="spellStart"/>
      <w:r w:rsidR="00732AF9">
        <w:rPr>
          <w:rFonts w:ascii="Arial" w:hAnsi="Arial" w:cs="Arial"/>
          <w:b/>
          <w:bCs/>
          <w:color w:val="000000"/>
          <w:sz w:val="20"/>
          <w:szCs w:val="20"/>
        </w:rPr>
        <w:t>tktVivax</w:t>
      </w:r>
      <w:proofErr w:type="spellEnd"/>
      <w:r w:rsidR="00732AF9">
        <w:rPr>
          <w:rFonts w:ascii="Arial" w:hAnsi="Arial" w:cs="Arial"/>
          <w:b/>
          <w:bCs/>
          <w:color w:val="000000"/>
          <w:sz w:val="20"/>
          <w:szCs w:val="20"/>
        </w:rPr>
        <w:t xml:space="preserve">-Gruppe. Donath war zuvor </w:t>
      </w:r>
      <w:r w:rsidR="00104719">
        <w:rPr>
          <w:rFonts w:ascii="Arial" w:hAnsi="Arial" w:cs="Arial"/>
          <w:b/>
          <w:bCs/>
          <w:color w:val="000000"/>
          <w:sz w:val="20"/>
          <w:szCs w:val="20"/>
        </w:rPr>
        <w:t>COO</w:t>
      </w:r>
      <w:r w:rsidR="00732AF9">
        <w:rPr>
          <w:rFonts w:ascii="Arial" w:hAnsi="Arial" w:cs="Arial"/>
          <w:b/>
          <w:bCs/>
          <w:color w:val="000000"/>
          <w:sz w:val="20"/>
          <w:szCs w:val="20"/>
        </w:rPr>
        <w:t xml:space="preserve"> bei der </w:t>
      </w:r>
      <w:proofErr w:type="spellStart"/>
      <w:r w:rsidR="00732AF9">
        <w:rPr>
          <w:rFonts w:ascii="Arial" w:hAnsi="Arial" w:cs="Arial"/>
          <w:b/>
          <w:bCs/>
          <w:color w:val="000000"/>
          <w:sz w:val="20"/>
          <w:szCs w:val="20"/>
        </w:rPr>
        <w:t>vitronet</w:t>
      </w:r>
      <w:proofErr w:type="spellEnd"/>
      <w:r w:rsidR="00732AF9">
        <w:rPr>
          <w:rFonts w:ascii="Arial" w:hAnsi="Arial" w:cs="Arial"/>
          <w:b/>
          <w:bCs/>
          <w:color w:val="000000"/>
          <w:sz w:val="20"/>
          <w:szCs w:val="20"/>
        </w:rPr>
        <w:t xml:space="preserve"> GmbH und komplettiert </w:t>
      </w:r>
      <w:r w:rsidR="009B7074">
        <w:rPr>
          <w:rFonts w:ascii="Arial" w:hAnsi="Arial" w:cs="Arial"/>
          <w:b/>
          <w:bCs/>
          <w:color w:val="000000"/>
          <w:sz w:val="20"/>
          <w:szCs w:val="20"/>
        </w:rPr>
        <w:t>seit 1. Dezember 2020</w:t>
      </w:r>
      <w:r w:rsidR="00732AF9">
        <w:rPr>
          <w:rFonts w:ascii="Arial" w:hAnsi="Arial" w:cs="Arial"/>
          <w:b/>
          <w:bCs/>
          <w:color w:val="000000"/>
          <w:sz w:val="20"/>
          <w:szCs w:val="20"/>
        </w:rPr>
        <w:t xml:space="preserve"> das </w:t>
      </w:r>
      <w:proofErr w:type="spellStart"/>
      <w:r w:rsidR="00732AF9">
        <w:rPr>
          <w:rFonts w:ascii="Arial" w:hAnsi="Arial" w:cs="Arial"/>
          <w:b/>
          <w:bCs/>
          <w:color w:val="000000"/>
          <w:sz w:val="20"/>
          <w:szCs w:val="20"/>
        </w:rPr>
        <w:t>tktVivax</w:t>
      </w:r>
      <w:proofErr w:type="spellEnd"/>
      <w:r w:rsidR="00732AF9">
        <w:rPr>
          <w:rFonts w:ascii="Arial" w:hAnsi="Arial" w:cs="Arial"/>
          <w:b/>
          <w:bCs/>
          <w:color w:val="000000"/>
          <w:sz w:val="20"/>
          <w:szCs w:val="20"/>
        </w:rPr>
        <w:t xml:space="preserve">-Führungstrio neben CEO Dirk </w:t>
      </w:r>
      <w:proofErr w:type="spellStart"/>
      <w:r w:rsidR="00732AF9">
        <w:rPr>
          <w:rFonts w:ascii="Arial" w:hAnsi="Arial" w:cs="Arial"/>
          <w:b/>
          <w:bCs/>
          <w:color w:val="000000"/>
          <w:sz w:val="20"/>
          <w:szCs w:val="20"/>
        </w:rPr>
        <w:t>Fieml</w:t>
      </w:r>
      <w:proofErr w:type="spellEnd"/>
      <w:r w:rsidR="00732AF9">
        <w:rPr>
          <w:rFonts w:ascii="Arial" w:hAnsi="Arial" w:cs="Arial"/>
          <w:b/>
          <w:bCs/>
          <w:color w:val="000000"/>
          <w:sz w:val="20"/>
          <w:szCs w:val="20"/>
        </w:rPr>
        <w:t xml:space="preserve"> und Matthias-Magnus </w:t>
      </w:r>
      <w:proofErr w:type="spellStart"/>
      <w:r w:rsidR="00732AF9">
        <w:rPr>
          <w:rFonts w:ascii="Arial" w:hAnsi="Arial" w:cs="Arial"/>
          <w:b/>
          <w:bCs/>
          <w:color w:val="000000"/>
          <w:sz w:val="20"/>
          <w:szCs w:val="20"/>
        </w:rPr>
        <w:t>Dudzus</w:t>
      </w:r>
      <w:proofErr w:type="spellEnd"/>
      <w:r w:rsidR="00BF70BC">
        <w:rPr>
          <w:rFonts w:ascii="Arial" w:hAnsi="Arial" w:cs="Tahoma"/>
          <w:b/>
          <w:sz w:val="20"/>
          <w:szCs w:val="20"/>
        </w:rPr>
        <w:t>, der nun auch zum CFO der Gruppe berufen wurde.</w:t>
      </w:r>
      <w:r w:rsidR="00732AF9">
        <w:rPr>
          <w:rFonts w:ascii="Arial" w:hAnsi="Arial" w:cs="Tahoma"/>
          <w:b/>
          <w:sz w:val="20"/>
          <w:szCs w:val="20"/>
        </w:rPr>
        <w:t xml:space="preserve"> Daneben wird Florian Donath neuer Geschäftsführer der Tochter </w:t>
      </w:r>
      <w:proofErr w:type="spellStart"/>
      <w:r w:rsidR="00732AF9">
        <w:rPr>
          <w:rFonts w:ascii="Arial" w:hAnsi="Arial" w:cs="Tahoma"/>
          <w:b/>
          <w:sz w:val="20"/>
          <w:szCs w:val="20"/>
        </w:rPr>
        <w:t>Vivax</w:t>
      </w:r>
      <w:proofErr w:type="spellEnd"/>
      <w:r w:rsidR="00732AF9">
        <w:rPr>
          <w:rFonts w:ascii="Arial" w:hAnsi="Arial" w:cs="Tahoma"/>
          <w:b/>
          <w:sz w:val="20"/>
          <w:szCs w:val="20"/>
        </w:rPr>
        <w:t xml:space="preserve"> Engineering GmbH. „Fl</w:t>
      </w:r>
      <w:r w:rsidR="009B7074">
        <w:rPr>
          <w:rFonts w:ascii="Arial" w:hAnsi="Arial" w:cs="Tahoma"/>
          <w:b/>
          <w:sz w:val="20"/>
          <w:szCs w:val="20"/>
        </w:rPr>
        <w:t>or</w:t>
      </w:r>
      <w:r w:rsidR="00732AF9">
        <w:rPr>
          <w:rFonts w:ascii="Arial" w:hAnsi="Arial" w:cs="Tahoma"/>
          <w:b/>
          <w:sz w:val="20"/>
          <w:szCs w:val="20"/>
        </w:rPr>
        <w:t xml:space="preserve">ian Donath </w:t>
      </w:r>
      <w:r w:rsidR="0067331D">
        <w:rPr>
          <w:rFonts w:ascii="Arial" w:hAnsi="Arial" w:cs="Tahoma"/>
          <w:b/>
          <w:sz w:val="20"/>
          <w:szCs w:val="20"/>
        </w:rPr>
        <w:t>verfügt über jahrelange Erfahrungen beim Bau</w:t>
      </w:r>
      <w:r w:rsidR="00732AF9">
        <w:rPr>
          <w:rFonts w:ascii="Arial" w:hAnsi="Arial" w:cs="Tahoma"/>
          <w:b/>
          <w:sz w:val="20"/>
          <w:szCs w:val="20"/>
        </w:rPr>
        <w:t xml:space="preserve"> </w:t>
      </w:r>
      <w:r w:rsidR="00A43049">
        <w:rPr>
          <w:rFonts w:ascii="Arial" w:hAnsi="Arial" w:cs="Tahoma"/>
          <w:b/>
          <w:sz w:val="20"/>
          <w:szCs w:val="20"/>
        </w:rPr>
        <w:t xml:space="preserve">von </w:t>
      </w:r>
      <w:r w:rsidR="00732AF9">
        <w:rPr>
          <w:rFonts w:ascii="Arial" w:hAnsi="Arial" w:cs="Tahoma"/>
          <w:b/>
          <w:sz w:val="20"/>
          <w:szCs w:val="20"/>
        </w:rPr>
        <w:t>Glasfaser</w:t>
      </w:r>
      <w:r w:rsidR="0067331D">
        <w:rPr>
          <w:rFonts w:ascii="Arial" w:hAnsi="Arial" w:cs="Tahoma"/>
          <w:b/>
          <w:sz w:val="20"/>
          <w:szCs w:val="20"/>
        </w:rPr>
        <w:t>netzen</w:t>
      </w:r>
      <w:r w:rsidR="009B7074">
        <w:rPr>
          <w:rFonts w:ascii="Arial" w:hAnsi="Arial" w:cs="Tahoma"/>
          <w:b/>
          <w:sz w:val="20"/>
          <w:szCs w:val="20"/>
        </w:rPr>
        <w:t xml:space="preserve"> und kennt sich in allen Phasen der praktischen Umsetzung bestens aus. Mit diesem Hintergrund wird er unser Portfolio deutlich erweitern und sich neben Beratung und Planung von Breitbandnetzen nun vor allem auch auf </w:t>
      </w:r>
      <w:r w:rsidR="00BF70BC">
        <w:rPr>
          <w:rFonts w:ascii="Arial" w:hAnsi="Arial" w:cs="Tahoma"/>
          <w:b/>
          <w:sz w:val="20"/>
          <w:szCs w:val="20"/>
        </w:rPr>
        <w:t xml:space="preserve">Themen wie </w:t>
      </w:r>
      <w:r w:rsidR="009B7074">
        <w:rPr>
          <w:rFonts w:ascii="Arial" w:hAnsi="Arial" w:cs="Tahoma"/>
          <w:b/>
          <w:sz w:val="20"/>
          <w:szCs w:val="20"/>
        </w:rPr>
        <w:t xml:space="preserve">die Projektbegleitung und Bauüberwachung vor Ort konzentrieren“, erläutert Dirk </w:t>
      </w:r>
      <w:proofErr w:type="spellStart"/>
      <w:r w:rsidR="009B7074">
        <w:rPr>
          <w:rFonts w:ascii="Arial" w:hAnsi="Arial" w:cs="Tahoma"/>
          <w:b/>
          <w:sz w:val="20"/>
          <w:szCs w:val="20"/>
        </w:rPr>
        <w:t>Fieml</w:t>
      </w:r>
      <w:proofErr w:type="spellEnd"/>
      <w:r w:rsidR="009B7074">
        <w:rPr>
          <w:rFonts w:ascii="Arial" w:hAnsi="Arial" w:cs="Tahoma"/>
          <w:b/>
          <w:sz w:val="20"/>
          <w:szCs w:val="20"/>
        </w:rPr>
        <w:t xml:space="preserve"> die Schwerpunkte. </w:t>
      </w:r>
      <w:r w:rsidR="00A43049">
        <w:rPr>
          <w:rFonts w:ascii="Arial" w:hAnsi="Arial" w:cs="Tahoma"/>
          <w:b/>
          <w:sz w:val="20"/>
          <w:szCs w:val="20"/>
        </w:rPr>
        <w:t xml:space="preserve">Das Team der </w:t>
      </w:r>
      <w:proofErr w:type="spellStart"/>
      <w:r w:rsidR="00A43049">
        <w:rPr>
          <w:rFonts w:ascii="Arial" w:hAnsi="Arial" w:cs="Tahoma"/>
          <w:b/>
          <w:sz w:val="20"/>
          <w:szCs w:val="20"/>
        </w:rPr>
        <w:t>Vivax</w:t>
      </w:r>
      <w:proofErr w:type="spellEnd"/>
      <w:r w:rsidR="00A43049">
        <w:rPr>
          <w:rFonts w:ascii="Arial" w:hAnsi="Arial" w:cs="Tahoma"/>
          <w:b/>
          <w:sz w:val="20"/>
          <w:szCs w:val="20"/>
        </w:rPr>
        <w:t xml:space="preserve"> Engineering GmbH soll</w:t>
      </w:r>
      <w:r w:rsidR="009B7074">
        <w:rPr>
          <w:rFonts w:ascii="Arial" w:hAnsi="Arial" w:cs="Tahoma"/>
          <w:b/>
          <w:sz w:val="20"/>
          <w:szCs w:val="20"/>
        </w:rPr>
        <w:t xml:space="preserve"> </w:t>
      </w:r>
      <w:r w:rsidR="00A43049">
        <w:rPr>
          <w:rFonts w:ascii="Arial" w:hAnsi="Arial" w:cs="Tahoma"/>
          <w:b/>
          <w:sz w:val="20"/>
          <w:szCs w:val="20"/>
        </w:rPr>
        <w:t xml:space="preserve">dazu in </w:t>
      </w:r>
      <w:r w:rsidR="009B7074">
        <w:rPr>
          <w:rFonts w:ascii="Arial" w:hAnsi="Arial" w:cs="Tahoma"/>
          <w:b/>
          <w:sz w:val="20"/>
          <w:szCs w:val="20"/>
        </w:rPr>
        <w:t xml:space="preserve">den kommenden Monaten das Team deutlich ausgebaut werden. </w:t>
      </w:r>
    </w:p>
    <w:p w14:paraId="67AF875F" w14:textId="47D2A0DD" w:rsidR="008A52B6" w:rsidRPr="00BF70BC" w:rsidRDefault="00465527" w:rsidP="009E1EB5">
      <w:pPr>
        <w:spacing w:line="360" w:lineRule="auto"/>
        <w:rPr>
          <w:rFonts w:ascii="Arial" w:hAnsi="Arial" w:cs="Arial"/>
          <w:bCs/>
          <w:color w:val="000000"/>
          <w:sz w:val="20"/>
          <w:szCs w:val="20"/>
        </w:rPr>
      </w:pPr>
      <w:r w:rsidRPr="00465527">
        <w:rPr>
          <w:rFonts w:ascii="Arial" w:hAnsi="Arial" w:cs="Tahoma"/>
          <w:bCs/>
          <w:sz w:val="20"/>
          <w:szCs w:val="20"/>
        </w:rPr>
        <w:t xml:space="preserve">CFO Matthias-Magnus </w:t>
      </w:r>
      <w:proofErr w:type="spellStart"/>
      <w:r w:rsidRPr="00465527">
        <w:rPr>
          <w:rFonts w:ascii="Arial" w:hAnsi="Arial" w:cs="Tahoma"/>
          <w:bCs/>
          <w:sz w:val="20"/>
          <w:szCs w:val="20"/>
        </w:rPr>
        <w:t>Dudzus</w:t>
      </w:r>
      <w:proofErr w:type="spellEnd"/>
      <w:r w:rsidRPr="00465527">
        <w:rPr>
          <w:rFonts w:ascii="Arial" w:hAnsi="Arial" w:cs="Tahoma"/>
          <w:bCs/>
          <w:sz w:val="20"/>
          <w:szCs w:val="20"/>
        </w:rPr>
        <w:t xml:space="preserve"> ist zudem Geschäftsführer der </w:t>
      </w:r>
      <w:proofErr w:type="spellStart"/>
      <w:r w:rsidRPr="00465527">
        <w:rPr>
          <w:rFonts w:ascii="Arial" w:hAnsi="Arial" w:cs="Tahoma"/>
          <w:bCs/>
          <w:sz w:val="20"/>
          <w:szCs w:val="20"/>
        </w:rPr>
        <w:t>Vivax</w:t>
      </w:r>
      <w:proofErr w:type="spellEnd"/>
      <w:r w:rsidRPr="00465527">
        <w:rPr>
          <w:rFonts w:ascii="Arial" w:hAnsi="Arial" w:cs="Tahoma"/>
          <w:bCs/>
          <w:sz w:val="20"/>
          <w:szCs w:val="20"/>
        </w:rPr>
        <w:t xml:space="preserve"> Consulting GmbH. Für das Software-Geschäft der </w:t>
      </w:r>
      <w:proofErr w:type="spellStart"/>
      <w:r w:rsidRPr="00465527">
        <w:rPr>
          <w:rFonts w:ascii="Arial" w:hAnsi="Arial" w:cs="Tahoma"/>
          <w:bCs/>
          <w:sz w:val="20"/>
          <w:szCs w:val="20"/>
        </w:rPr>
        <w:t>Vivax</w:t>
      </w:r>
      <w:proofErr w:type="spellEnd"/>
      <w:r w:rsidRPr="00465527">
        <w:rPr>
          <w:rFonts w:ascii="Arial" w:hAnsi="Arial" w:cs="Tahoma"/>
          <w:bCs/>
          <w:sz w:val="20"/>
          <w:szCs w:val="20"/>
        </w:rPr>
        <w:t xml:space="preserve"> Solution GmbH zeichnet weiterhin Sven Siebrands verantwortlich. Der bisherige </w:t>
      </w:r>
      <w:proofErr w:type="spellStart"/>
      <w:r w:rsidRPr="00465527">
        <w:rPr>
          <w:rFonts w:ascii="Arial" w:hAnsi="Arial" w:cs="Tahoma"/>
          <w:bCs/>
          <w:sz w:val="20"/>
          <w:szCs w:val="20"/>
        </w:rPr>
        <w:t>tktVivax</w:t>
      </w:r>
      <w:proofErr w:type="spellEnd"/>
      <w:r w:rsidRPr="00465527">
        <w:rPr>
          <w:rFonts w:ascii="Arial" w:hAnsi="Arial" w:cs="Tahoma"/>
          <w:bCs/>
          <w:sz w:val="20"/>
          <w:szCs w:val="20"/>
        </w:rPr>
        <w:t>-Geschäftsführer Philipp Bode zieht sich aus dem operativen Geschäft zurück</w:t>
      </w:r>
      <w:r>
        <w:rPr>
          <w:rFonts w:ascii="Arial" w:hAnsi="Arial" w:cs="Tahoma"/>
          <w:bCs/>
          <w:sz w:val="20"/>
          <w:szCs w:val="20"/>
        </w:rPr>
        <w:t>,</w:t>
      </w:r>
      <w:r w:rsidRPr="00465527">
        <w:rPr>
          <w:rFonts w:ascii="Arial" w:hAnsi="Arial" w:cs="Tahoma"/>
          <w:bCs/>
          <w:sz w:val="20"/>
          <w:szCs w:val="20"/>
        </w:rPr>
        <w:t xml:space="preserve"> bleibt dem Unternehmen aber als Mitgesellschafter der Gruppe treu.</w:t>
      </w:r>
    </w:p>
    <w:p w14:paraId="0013F429" w14:textId="2012DA54" w:rsidR="00C3376B" w:rsidRPr="0067331D" w:rsidRDefault="00BF70BC" w:rsidP="003E1E07">
      <w:pPr>
        <w:spacing w:line="360" w:lineRule="auto"/>
        <w:rPr>
          <w:rFonts w:ascii="Arial" w:hAnsi="Arial" w:cs="Tahoma"/>
          <w:sz w:val="20"/>
          <w:szCs w:val="20"/>
        </w:rPr>
      </w:pPr>
      <w:r>
        <w:rPr>
          <w:rFonts w:ascii="Arial" w:hAnsi="Arial" w:cs="Tahoma"/>
          <w:sz w:val="20"/>
          <w:szCs w:val="20"/>
        </w:rPr>
        <w:t xml:space="preserve">Florian Donath startete seine Karriere </w:t>
      </w:r>
      <w:r w:rsidR="002E6EA0">
        <w:rPr>
          <w:rFonts w:ascii="Arial" w:hAnsi="Arial" w:cs="Tahoma"/>
          <w:sz w:val="20"/>
          <w:szCs w:val="20"/>
        </w:rPr>
        <w:t>1999 mit einer</w:t>
      </w:r>
      <w:r>
        <w:rPr>
          <w:rFonts w:ascii="Arial" w:hAnsi="Arial" w:cs="Tahoma"/>
          <w:sz w:val="20"/>
          <w:szCs w:val="20"/>
        </w:rPr>
        <w:t xml:space="preserve"> Ausbildung</w:t>
      </w:r>
      <w:r w:rsidR="002E6EA0">
        <w:rPr>
          <w:rFonts w:ascii="Arial" w:hAnsi="Arial" w:cs="Tahoma"/>
          <w:sz w:val="20"/>
          <w:szCs w:val="20"/>
        </w:rPr>
        <w:t xml:space="preserve"> beim Landesbetrieb Straßenbau NRW und studierte anschließend Bauingenieurwesen </w:t>
      </w:r>
      <w:r w:rsidR="0067331D">
        <w:rPr>
          <w:rFonts w:ascii="Arial" w:hAnsi="Arial" w:cs="Tahoma"/>
          <w:sz w:val="20"/>
          <w:szCs w:val="20"/>
        </w:rPr>
        <w:t xml:space="preserve">sowie </w:t>
      </w:r>
      <w:r w:rsidR="0067331D" w:rsidRPr="0067331D">
        <w:rPr>
          <w:rFonts w:ascii="Arial" w:hAnsi="Arial" w:cs="Tahoma"/>
          <w:sz w:val="20"/>
          <w:szCs w:val="20"/>
        </w:rPr>
        <w:t xml:space="preserve">technische Betriebswirtschaftslehre </w:t>
      </w:r>
      <w:r w:rsidR="002E6EA0">
        <w:rPr>
          <w:rFonts w:ascii="Arial" w:hAnsi="Arial" w:cs="Tahoma"/>
          <w:sz w:val="20"/>
          <w:szCs w:val="20"/>
        </w:rPr>
        <w:t>an der Hochschule Bochum. Von 2007 bis 201</w:t>
      </w:r>
      <w:r w:rsidR="0067331D">
        <w:rPr>
          <w:rFonts w:ascii="Arial" w:hAnsi="Arial" w:cs="Tahoma"/>
          <w:sz w:val="20"/>
          <w:szCs w:val="20"/>
        </w:rPr>
        <w:t>7</w:t>
      </w:r>
      <w:r w:rsidR="002E6EA0">
        <w:rPr>
          <w:rFonts w:ascii="Arial" w:hAnsi="Arial" w:cs="Tahoma"/>
          <w:sz w:val="20"/>
          <w:szCs w:val="20"/>
        </w:rPr>
        <w:t xml:space="preserve"> durchlief er unterschiedliche Stationen als Bau- und Abteilungsleiter bei der </w:t>
      </w:r>
      <w:r w:rsidR="00A43049">
        <w:rPr>
          <w:rFonts w:ascii="Arial" w:hAnsi="Arial" w:cs="Tahoma"/>
          <w:sz w:val="20"/>
          <w:szCs w:val="20"/>
        </w:rPr>
        <w:t xml:space="preserve">Kölner </w:t>
      </w:r>
      <w:proofErr w:type="spellStart"/>
      <w:r w:rsidR="002E6EA0" w:rsidRPr="002E6EA0">
        <w:rPr>
          <w:rFonts w:ascii="Arial" w:hAnsi="Arial" w:cs="Tahoma"/>
          <w:sz w:val="20"/>
          <w:szCs w:val="20"/>
        </w:rPr>
        <w:t>Debuschewitz</w:t>
      </w:r>
      <w:proofErr w:type="spellEnd"/>
      <w:r w:rsidR="002E6EA0" w:rsidRPr="002E6EA0">
        <w:rPr>
          <w:rFonts w:ascii="Arial" w:hAnsi="Arial" w:cs="Tahoma"/>
          <w:sz w:val="20"/>
          <w:szCs w:val="20"/>
        </w:rPr>
        <w:t xml:space="preserve"> Verkehrstechnik Gmb</w:t>
      </w:r>
      <w:r w:rsidR="0067331D">
        <w:rPr>
          <w:rFonts w:ascii="Arial" w:hAnsi="Arial" w:cs="Tahoma"/>
          <w:sz w:val="20"/>
          <w:szCs w:val="20"/>
        </w:rPr>
        <w:t>H</w:t>
      </w:r>
      <w:r w:rsidR="002E6EA0" w:rsidRPr="002E6EA0">
        <w:rPr>
          <w:rFonts w:ascii="Arial" w:hAnsi="Arial" w:cs="Tahoma"/>
          <w:sz w:val="20"/>
          <w:szCs w:val="20"/>
        </w:rPr>
        <w:t xml:space="preserve"> &amp; Co. KG</w:t>
      </w:r>
      <w:r w:rsidR="0067331D">
        <w:rPr>
          <w:rFonts w:ascii="Arial" w:hAnsi="Arial" w:cs="Tahoma"/>
          <w:sz w:val="20"/>
          <w:szCs w:val="20"/>
        </w:rPr>
        <w:t xml:space="preserve">. Danach wechselte er zur </w:t>
      </w:r>
      <w:proofErr w:type="spellStart"/>
      <w:r w:rsidR="0067331D">
        <w:rPr>
          <w:rFonts w:ascii="Arial" w:hAnsi="Arial" w:cs="Tahoma"/>
          <w:sz w:val="20"/>
          <w:szCs w:val="20"/>
        </w:rPr>
        <w:t>vitronet</w:t>
      </w:r>
      <w:proofErr w:type="spellEnd"/>
      <w:r w:rsidR="0067331D">
        <w:rPr>
          <w:rFonts w:ascii="Arial" w:hAnsi="Arial" w:cs="Tahoma"/>
          <w:sz w:val="20"/>
          <w:szCs w:val="20"/>
        </w:rPr>
        <w:t xml:space="preserve"> GmbH, </w:t>
      </w:r>
      <w:r w:rsidR="00A43049">
        <w:rPr>
          <w:rFonts w:ascii="Arial" w:hAnsi="Arial" w:cs="Tahoma"/>
          <w:sz w:val="20"/>
          <w:szCs w:val="20"/>
        </w:rPr>
        <w:t xml:space="preserve">Essen, </w:t>
      </w:r>
      <w:r w:rsidR="0067331D">
        <w:rPr>
          <w:rFonts w:ascii="Arial" w:hAnsi="Arial" w:cs="Tahoma"/>
          <w:sz w:val="20"/>
          <w:szCs w:val="20"/>
        </w:rPr>
        <w:t xml:space="preserve">wo er zuletzt als </w:t>
      </w:r>
      <w:r w:rsidR="00465527">
        <w:rPr>
          <w:rFonts w:ascii="Arial" w:hAnsi="Arial" w:cs="Tahoma"/>
          <w:sz w:val="20"/>
          <w:szCs w:val="20"/>
        </w:rPr>
        <w:t>COO</w:t>
      </w:r>
      <w:r w:rsidR="0067331D">
        <w:rPr>
          <w:rFonts w:ascii="Arial" w:hAnsi="Arial" w:cs="Tahoma"/>
          <w:sz w:val="20"/>
          <w:szCs w:val="20"/>
        </w:rPr>
        <w:t xml:space="preserve"> tätig war. Parallel dazu war er als Dozent bei der </w:t>
      </w:r>
      <w:r w:rsidR="0067331D" w:rsidRPr="0067331D">
        <w:rPr>
          <w:rFonts w:ascii="Arial" w:hAnsi="Arial" w:cs="Tahoma"/>
          <w:sz w:val="20"/>
          <w:szCs w:val="20"/>
        </w:rPr>
        <w:t>Handwerkskammer zu Köln</w:t>
      </w:r>
      <w:r w:rsidR="0067331D">
        <w:rPr>
          <w:rFonts w:ascii="Arial" w:hAnsi="Arial" w:cs="Tahoma"/>
          <w:sz w:val="20"/>
          <w:szCs w:val="20"/>
        </w:rPr>
        <w:t xml:space="preserve"> und beim </w:t>
      </w:r>
      <w:r w:rsidR="0067331D" w:rsidRPr="0067331D">
        <w:rPr>
          <w:rFonts w:ascii="Arial" w:hAnsi="Arial" w:cs="Tahoma"/>
          <w:sz w:val="20"/>
          <w:szCs w:val="20"/>
        </w:rPr>
        <w:t>Rheinische</w:t>
      </w:r>
      <w:r w:rsidR="0067331D">
        <w:rPr>
          <w:rFonts w:ascii="Arial" w:hAnsi="Arial" w:cs="Tahoma"/>
          <w:sz w:val="20"/>
          <w:szCs w:val="20"/>
        </w:rPr>
        <w:t>n</w:t>
      </w:r>
      <w:r w:rsidR="0067331D" w:rsidRPr="0067331D">
        <w:rPr>
          <w:rFonts w:ascii="Arial" w:hAnsi="Arial" w:cs="Tahoma"/>
          <w:sz w:val="20"/>
          <w:szCs w:val="20"/>
        </w:rPr>
        <w:t xml:space="preserve"> Studieninstitut für kommunale Verwaltung in Köln</w:t>
      </w:r>
      <w:r w:rsidR="0067331D">
        <w:rPr>
          <w:rFonts w:ascii="Arial" w:hAnsi="Arial" w:cs="Tahoma"/>
          <w:sz w:val="20"/>
          <w:szCs w:val="20"/>
        </w:rPr>
        <w:t xml:space="preserve"> aktiv.</w:t>
      </w:r>
    </w:p>
    <w:tbl>
      <w:tblPr>
        <w:tblW w:w="9180" w:type="dxa"/>
        <w:tblLook w:val="04A0" w:firstRow="1" w:lastRow="0" w:firstColumn="1" w:lastColumn="0" w:noHBand="0" w:noVBand="1"/>
      </w:tblPr>
      <w:tblGrid>
        <w:gridCol w:w="4361"/>
        <w:gridCol w:w="4819"/>
      </w:tblGrid>
      <w:tr w:rsidR="005D3D1E" w:rsidRPr="000655B7" w14:paraId="55C2A03B" w14:textId="77777777" w:rsidTr="00B714E4">
        <w:tc>
          <w:tcPr>
            <w:tcW w:w="4361" w:type="dxa"/>
            <w:shd w:val="clear" w:color="auto" w:fill="auto"/>
          </w:tcPr>
          <w:p w14:paraId="14C72989" w14:textId="6E2A3112" w:rsidR="005D3D1E" w:rsidRPr="0067331D" w:rsidRDefault="005D3D1E" w:rsidP="0067331D">
            <w:pPr>
              <w:widowControl w:val="0"/>
              <w:tabs>
                <w:tab w:val="left" w:pos="3969"/>
              </w:tabs>
              <w:autoSpaceDE w:val="0"/>
              <w:autoSpaceDN w:val="0"/>
              <w:adjustRightInd w:val="0"/>
              <w:spacing w:line="240" w:lineRule="auto"/>
              <w:ind w:left="-109" w:right="176"/>
              <w:rPr>
                <w:rFonts w:ascii="Arial" w:hAnsi="Arial" w:cs="Calibri"/>
                <w:sz w:val="16"/>
                <w:szCs w:val="26"/>
                <w:lang w:eastAsia="de-DE"/>
              </w:rPr>
            </w:pPr>
            <w:r w:rsidRPr="000655B7">
              <w:rPr>
                <w:rFonts w:ascii="Arial" w:hAnsi="Arial" w:cs="Calibri"/>
                <w:b/>
                <w:sz w:val="16"/>
                <w:szCs w:val="26"/>
                <w:lang w:eastAsia="de-DE"/>
              </w:rPr>
              <w:lastRenderedPageBreak/>
              <w:t>Kontaktdaten:</w:t>
            </w:r>
            <w:r w:rsidRPr="000655B7">
              <w:rPr>
                <w:rFonts w:ascii="Arial" w:hAnsi="Arial" w:cs="Calibri"/>
                <w:b/>
                <w:sz w:val="16"/>
                <w:szCs w:val="26"/>
                <w:lang w:eastAsia="de-DE"/>
              </w:rPr>
              <w:br/>
            </w: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proofErr w:type="spellStart"/>
            <w:r w:rsidR="007B0E5E" w:rsidRPr="007B0E5E">
              <w:rPr>
                <w:rFonts w:ascii="Arial" w:hAnsi="Arial" w:cs="Calibri"/>
                <w:sz w:val="16"/>
                <w:szCs w:val="26"/>
                <w:lang w:eastAsia="de-DE"/>
              </w:rPr>
              <w:t>Drakestraße</w:t>
            </w:r>
            <w:proofErr w:type="spellEnd"/>
            <w:r w:rsidR="007B0E5E" w:rsidRPr="007B0E5E">
              <w:rPr>
                <w:rFonts w:ascii="Arial" w:hAnsi="Arial" w:cs="Calibri"/>
                <w:sz w:val="16"/>
                <w:szCs w:val="26"/>
                <w:lang w:eastAsia="de-DE"/>
              </w:rPr>
              <w:t xml:space="preserve"> 24 </w:t>
            </w:r>
            <w:r w:rsidR="007B0E5E">
              <w:rPr>
                <w:rFonts w:ascii="Arial" w:hAnsi="Arial" w:cs="Calibri"/>
                <w:sz w:val="16"/>
                <w:szCs w:val="26"/>
                <w:lang w:eastAsia="de-DE"/>
              </w:rPr>
              <w:t>–</w:t>
            </w:r>
            <w:r w:rsidR="007B0E5E" w:rsidRPr="007B0E5E">
              <w:rPr>
                <w:rFonts w:ascii="Arial" w:hAnsi="Arial" w:cs="Calibri"/>
                <w:sz w:val="16"/>
                <w:szCs w:val="26"/>
                <w:lang w:eastAsia="de-DE"/>
              </w:rPr>
              <w:t> 12205 Berlin</w:t>
            </w:r>
            <w:r>
              <w:rPr>
                <w:rFonts w:ascii="Arial" w:hAnsi="Arial" w:cs="Calibri"/>
                <w:sz w:val="16"/>
                <w:szCs w:val="26"/>
                <w:lang w:eastAsia="de-DE"/>
              </w:rPr>
              <w:br/>
            </w:r>
            <w:r w:rsidRPr="008457BE">
              <w:rPr>
                <w:rFonts w:ascii="Arial" w:hAnsi="Arial" w:cs="Calibri"/>
                <w:sz w:val="16"/>
                <w:szCs w:val="26"/>
                <w:lang w:eastAsia="de-DE"/>
              </w:rPr>
              <w:t xml:space="preserve">Tel: </w:t>
            </w:r>
            <w:r>
              <w:rPr>
                <w:rFonts w:ascii="Arial" w:hAnsi="Arial" w:cs="Calibri"/>
                <w:sz w:val="16"/>
                <w:szCs w:val="26"/>
                <w:lang w:eastAsia="de-DE"/>
              </w:rPr>
              <w:t>+</w:t>
            </w:r>
            <w:r w:rsidRPr="008457BE">
              <w:rPr>
                <w:rFonts w:ascii="Arial" w:hAnsi="Arial" w:cs="Calibri"/>
                <w:sz w:val="16"/>
                <w:szCs w:val="26"/>
                <w:lang w:eastAsia="de-DE"/>
              </w:rPr>
              <w:t>49 30 700 159 805</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t>www.</w:t>
            </w:r>
            <w:r w:rsidR="00CD490F">
              <w:rPr>
                <w:rFonts w:ascii="Arial" w:hAnsi="Arial" w:cs="Calibri"/>
                <w:sz w:val="16"/>
                <w:szCs w:val="26"/>
                <w:lang w:eastAsia="de-DE"/>
              </w:rPr>
              <w:t>tkt</w:t>
            </w:r>
            <w:r w:rsidR="003B6004">
              <w:rPr>
                <w:rFonts w:ascii="Arial" w:hAnsi="Arial" w:cs="Calibri"/>
                <w:sz w:val="16"/>
                <w:szCs w:val="26"/>
                <w:lang w:eastAsia="de-DE"/>
              </w:rPr>
              <w:t>-</w:t>
            </w:r>
            <w:r w:rsidR="00CD490F">
              <w:rPr>
                <w:rFonts w:ascii="Arial" w:hAnsi="Arial" w:cs="Calibri"/>
                <w:sz w:val="16"/>
                <w:szCs w:val="26"/>
                <w:lang w:eastAsia="de-DE"/>
              </w:rPr>
              <w:t>vivax.de</w:t>
            </w:r>
          </w:p>
        </w:tc>
        <w:tc>
          <w:tcPr>
            <w:tcW w:w="4819" w:type="dxa"/>
            <w:shd w:val="clear" w:color="auto" w:fill="auto"/>
          </w:tcPr>
          <w:p w14:paraId="37912198" w14:textId="77777777" w:rsidR="005D3D1E" w:rsidRPr="000655B7" w:rsidRDefault="005D3D1E" w:rsidP="00B714E4">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D-89077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8"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p w14:paraId="61393E74" w14:textId="626BDC51" w:rsidR="001E3CB7" w:rsidRPr="005D3D1E" w:rsidRDefault="001E3CB7" w:rsidP="001E3CB7">
      <w:pPr>
        <w:widowControl w:val="0"/>
        <w:autoSpaceDE w:val="0"/>
        <w:autoSpaceDN w:val="0"/>
        <w:adjustRightInd w:val="0"/>
        <w:spacing w:line="240" w:lineRule="auto"/>
        <w:ind w:left="34"/>
        <w:rPr>
          <w:rFonts w:ascii="Arial" w:hAnsi="Arial" w:cs="Calibri"/>
          <w:sz w:val="16"/>
          <w:szCs w:val="26"/>
          <w:lang w:eastAsia="de-DE"/>
        </w:rPr>
      </w:pPr>
      <w:r w:rsidRPr="000655B7">
        <w:rPr>
          <w:rFonts w:ascii="Arial" w:hAnsi="Arial" w:cs="Calibri"/>
          <w:sz w:val="16"/>
          <w:szCs w:val="26"/>
          <w:lang w:eastAsia="de-DE"/>
        </w:rPr>
        <w:t>Die</w:t>
      </w:r>
      <w:r>
        <w:rPr>
          <w:rFonts w:ascii="Arial" w:hAnsi="Arial" w:cs="Calibri"/>
          <w:sz w:val="16"/>
          <w:szCs w:val="26"/>
          <w:lang w:eastAsia="de-DE"/>
        </w:rPr>
        <w:t xml:space="preserve"> </w:t>
      </w:r>
      <w:proofErr w:type="spellStart"/>
      <w:r>
        <w:rPr>
          <w:rFonts w:ascii="Arial" w:hAnsi="Arial" w:cs="Calibri"/>
          <w:sz w:val="16"/>
          <w:szCs w:val="26"/>
          <w:lang w:eastAsia="de-DE"/>
        </w:rPr>
        <w:t>tktVivax</w:t>
      </w:r>
      <w:proofErr w:type="spellEnd"/>
      <w:r>
        <w:rPr>
          <w:rFonts w:ascii="Arial" w:hAnsi="Arial" w:cs="Calibri"/>
          <w:sz w:val="16"/>
          <w:szCs w:val="26"/>
          <w:lang w:eastAsia="de-DE"/>
        </w:rPr>
        <w:t xml:space="preserve"> </w:t>
      </w:r>
      <w:r w:rsidRPr="000655B7">
        <w:rPr>
          <w:rFonts w:ascii="Arial" w:hAnsi="Arial" w:cs="Calibri"/>
          <w:sz w:val="16"/>
          <w:szCs w:val="26"/>
          <w:lang w:eastAsia="de-DE"/>
        </w:rPr>
        <w:t xml:space="preserve">GmbH mit Sitz in </w:t>
      </w:r>
      <w:r>
        <w:rPr>
          <w:rFonts w:ascii="Arial" w:hAnsi="Arial" w:cs="Calibri"/>
          <w:sz w:val="16"/>
          <w:szCs w:val="26"/>
          <w:lang w:eastAsia="de-DE"/>
        </w:rPr>
        <w:t>Berlin und Niederlassungen in Stuttgart (Backnang)</w:t>
      </w:r>
      <w:r w:rsidR="00F4188B">
        <w:rPr>
          <w:rFonts w:ascii="Arial" w:hAnsi="Arial" w:cs="Calibri"/>
          <w:sz w:val="16"/>
          <w:szCs w:val="26"/>
          <w:lang w:eastAsia="de-DE"/>
        </w:rPr>
        <w:t xml:space="preserve"> und</w:t>
      </w:r>
      <w:r>
        <w:rPr>
          <w:rFonts w:ascii="Arial" w:hAnsi="Arial" w:cs="Calibri"/>
          <w:sz w:val="16"/>
          <w:szCs w:val="26"/>
          <w:lang w:eastAsia="de-DE"/>
        </w:rPr>
        <w:t xml:space="preserve"> Köln unterstützt ihre Kunden im </w:t>
      </w:r>
      <w:r w:rsidRPr="007749DD">
        <w:rPr>
          <w:rFonts w:ascii="Arial" w:hAnsi="Arial" w:cs="Calibri"/>
          <w:sz w:val="16"/>
          <w:szCs w:val="26"/>
          <w:lang w:eastAsia="de-DE"/>
        </w:rPr>
        <w:t xml:space="preserve">Bereich zukunftsorientierter Telekommunikationstechnologien </w:t>
      </w:r>
      <w:r>
        <w:rPr>
          <w:rFonts w:ascii="Arial" w:hAnsi="Arial" w:cs="Calibri"/>
          <w:sz w:val="16"/>
          <w:szCs w:val="26"/>
          <w:lang w:eastAsia="de-DE"/>
        </w:rPr>
        <w:t>sowie mit</w:t>
      </w:r>
      <w:r w:rsidRPr="007749DD">
        <w:rPr>
          <w:rFonts w:ascii="Arial" w:hAnsi="Arial" w:cs="Calibri"/>
          <w:sz w:val="16"/>
          <w:szCs w:val="26"/>
          <w:lang w:eastAsia="de-DE"/>
        </w:rPr>
        <w:t xml:space="preserve"> Organisations-, Prozess- und Digi</w:t>
      </w:r>
      <w:r>
        <w:rPr>
          <w:rFonts w:ascii="Arial" w:hAnsi="Arial" w:cs="Calibri"/>
          <w:sz w:val="16"/>
          <w:szCs w:val="26"/>
          <w:lang w:eastAsia="de-DE"/>
        </w:rPr>
        <w:t>t</w:t>
      </w:r>
      <w:r w:rsidRPr="007749DD">
        <w:rPr>
          <w:rFonts w:ascii="Arial" w:hAnsi="Arial" w:cs="Calibri"/>
          <w:sz w:val="16"/>
          <w:szCs w:val="26"/>
          <w:lang w:eastAsia="de-DE"/>
        </w:rPr>
        <w:t>alisierungsberatung in der kommunalen Versorgungswirtschaft.</w:t>
      </w:r>
      <w:r>
        <w:rPr>
          <w:rFonts w:ascii="Arial" w:hAnsi="Arial" w:cs="Calibri"/>
          <w:sz w:val="16"/>
          <w:szCs w:val="26"/>
          <w:lang w:eastAsia="de-DE"/>
        </w:rPr>
        <w:t xml:space="preserve"> Mit rund 50 Mitarbeitern deckt das Beratungsunternehmen ein breites Spektrum von der Analyse, </w:t>
      </w:r>
      <w:r w:rsidRPr="00AD4250">
        <w:rPr>
          <w:rFonts w:ascii="Arial" w:hAnsi="Arial" w:cs="Calibri"/>
          <w:sz w:val="16"/>
          <w:szCs w:val="26"/>
          <w:lang w:eastAsia="de-DE"/>
        </w:rPr>
        <w:t>Strategiefindung und Fördermittelberatung über die Neu- und Umgestaltung von Prozessen und Organisationen</w:t>
      </w:r>
      <w:r>
        <w:rPr>
          <w:rFonts w:ascii="Arial" w:hAnsi="Arial" w:cs="Calibri"/>
          <w:sz w:val="16"/>
          <w:szCs w:val="26"/>
          <w:lang w:eastAsia="de-DE"/>
        </w:rPr>
        <w:t xml:space="preserve"> in allen Bereichen der Versorgungswirtschaft</w:t>
      </w:r>
      <w:r w:rsidRPr="00AD4250">
        <w:rPr>
          <w:rFonts w:ascii="Arial" w:hAnsi="Arial" w:cs="Calibri"/>
          <w:sz w:val="16"/>
          <w:szCs w:val="26"/>
          <w:lang w:eastAsia="de-DE"/>
        </w:rPr>
        <w:t xml:space="preserve"> bis hin zur Planungs- und Umsetzungsbegleitung</w:t>
      </w:r>
      <w:r>
        <w:rPr>
          <w:rFonts w:ascii="Arial" w:hAnsi="Arial" w:cs="Calibri"/>
          <w:sz w:val="16"/>
          <w:szCs w:val="26"/>
          <w:lang w:eastAsia="de-DE"/>
        </w:rPr>
        <w:t xml:space="preserve"> von Glasfaser- und 5G-Infrastrukturen an. Zielgruppe sind sowohl Stadtwerke als auch Kommunalverwaltungen.</w:t>
      </w:r>
    </w:p>
    <w:bookmarkEnd w:id="3"/>
    <w:bookmarkEnd w:id="4"/>
    <w:p w14:paraId="2E55E5C6" w14:textId="7E857728" w:rsidR="007749DD" w:rsidRPr="005D3D1E" w:rsidRDefault="007749DD" w:rsidP="001E3CB7">
      <w:pPr>
        <w:widowControl w:val="0"/>
        <w:autoSpaceDE w:val="0"/>
        <w:autoSpaceDN w:val="0"/>
        <w:adjustRightInd w:val="0"/>
        <w:spacing w:line="240" w:lineRule="auto"/>
        <w:ind w:left="34"/>
        <w:rPr>
          <w:rFonts w:ascii="Arial" w:hAnsi="Arial" w:cs="Calibri"/>
          <w:sz w:val="16"/>
          <w:szCs w:val="26"/>
          <w:lang w:eastAsia="de-DE"/>
        </w:rPr>
      </w:pPr>
    </w:p>
    <w:sectPr w:rsidR="007749DD" w:rsidRPr="005D3D1E" w:rsidSect="000655B7">
      <w:headerReference w:type="even" r:id="rId9"/>
      <w:headerReference w:type="default" r:id="rId10"/>
      <w:footerReference w:type="even" r:id="rId11"/>
      <w:footerReference w:type="default" r:id="rId12"/>
      <w:headerReference w:type="first" r:id="rId13"/>
      <w:footerReference w:type="first" r:id="rId14"/>
      <w:pgSz w:w="12240" w:h="15840"/>
      <w:pgMar w:top="1701" w:right="3735"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5E1E8F" w14:textId="77777777" w:rsidR="009E32E3" w:rsidRDefault="009E32E3" w:rsidP="00BF70FE">
      <w:pPr>
        <w:spacing w:after="0" w:line="240" w:lineRule="auto"/>
      </w:pPr>
      <w:r>
        <w:separator/>
      </w:r>
    </w:p>
  </w:endnote>
  <w:endnote w:type="continuationSeparator" w:id="0">
    <w:p w14:paraId="617FAF38" w14:textId="77777777" w:rsidR="009E32E3" w:rsidRDefault="009E32E3"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altName w:val="Calibr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CAE68C" w14:textId="77777777" w:rsidR="007B0E5E" w:rsidRDefault="007B0E5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939AE4" w14:textId="77777777" w:rsidR="007B0E5E" w:rsidRDefault="007B0E5E">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6D3902" w14:textId="77777777" w:rsidR="007B0E5E" w:rsidRDefault="007B0E5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F3174B" w14:textId="77777777" w:rsidR="009E32E3" w:rsidRDefault="009E32E3" w:rsidP="00BF70FE">
      <w:pPr>
        <w:spacing w:after="0" w:line="240" w:lineRule="auto"/>
      </w:pPr>
      <w:r>
        <w:separator/>
      </w:r>
    </w:p>
  </w:footnote>
  <w:footnote w:type="continuationSeparator" w:id="0">
    <w:p w14:paraId="0FA7A9FF" w14:textId="77777777" w:rsidR="009E32E3" w:rsidRDefault="009E32E3"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AF94BC" w14:textId="77777777" w:rsidR="007B0E5E" w:rsidRDefault="007B0E5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049685" w14:textId="318F9223" w:rsidR="00B96701" w:rsidRDefault="00E478B7" w:rsidP="002757A3">
    <w:pPr>
      <w:pStyle w:val="Kopfzeile"/>
      <w:ind w:right="-2268"/>
      <w:jc w:val="right"/>
    </w:pPr>
    <w:r>
      <w:rPr>
        <w:noProof/>
        <w:lang w:eastAsia="de-DE"/>
      </w:rPr>
      <w:drawing>
        <wp:inline distT="0" distB="0" distL="0" distR="0" wp14:anchorId="4445E150" wp14:editId="47E183F1">
          <wp:extent cx="1758237" cy="433606"/>
          <wp:effectExtent l="0" t="0" r="0" b="508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ktvivax logo 80%k.jpg"/>
                  <pic:cNvPicPr/>
                </pic:nvPicPr>
                <pic:blipFill>
                  <a:blip r:embed="rId1"/>
                  <a:stretch>
                    <a:fillRect/>
                  </a:stretch>
                </pic:blipFill>
                <pic:spPr>
                  <a:xfrm>
                    <a:off x="0" y="0"/>
                    <a:ext cx="1882966" cy="464366"/>
                  </a:xfrm>
                  <a:prstGeom prst="rect">
                    <a:avLst/>
                  </a:prstGeom>
                </pic:spPr>
              </pic:pic>
            </a:graphicData>
          </a:graphic>
        </wp:inline>
      </w:drawing>
    </w:r>
    <w:r w:rsidR="00B96701">
      <w:rPr>
        <w:noProof/>
        <w:lang w:eastAsia="de-DE"/>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7BEB4F8" w14:textId="77777777" w:rsidR="007B0E5E" w:rsidRDefault="007B0E5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9"/>
  <w:proofState w:spelling="clean" w:grammar="clean"/>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6AC0"/>
    <w:rsid w:val="0001276C"/>
    <w:rsid w:val="00026CFD"/>
    <w:rsid w:val="00037481"/>
    <w:rsid w:val="00037B8A"/>
    <w:rsid w:val="00041A6A"/>
    <w:rsid w:val="00054244"/>
    <w:rsid w:val="0006200B"/>
    <w:rsid w:val="00065270"/>
    <w:rsid w:val="000655B7"/>
    <w:rsid w:val="00065961"/>
    <w:rsid w:val="000678EA"/>
    <w:rsid w:val="0007688A"/>
    <w:rsid w:val="00076CE4"/>
    <w:rsid w:val="000823CF"/>
    <w:rsid w:val="00091E09"/>
    <w:rsid w:val="000A1C71"/>
    <w:rsid w:val="000A1E6B"/>
    <w:rsid w:val="000A4C5E"/>
    <w:rsid w:val="000A4C93"/>
    <w:rsid w:val="000C2AF9"/>
    <w:rsid w:val="000C46B3"/>
    <w:rsid w:val="000C4746"/>
    <w:rsid w:val="000D4DE3"/>
    <w:rsid w:val="000E087D"/>
    <w:rsid w:val="000E7CE7"/>
    <w:rsid w:val="000F2111"/>
    <w:rsid w:val="000F4F9D"/>
    <w:rsid w:val="0010198B"/>
    <w:rsid w:val="00104674"/>
    <w:rsid w:val="00104719"/>
    <w:rsid w:val="00106821"/>
    <w:rsid w:val="00131142"/>
    <w:rsid w:val="0013234F"/>
    <w:rsid w:val="00132DC4"/>
    <w:rsid w:val="00135237"/>
    <w:rsid w:val="00157861"/>
    <w:rsid w:val="001700C4"/>
    <w:rsid w:val="00181FBB"/>
    <w:rsid w:val="00187FC7"/>
    <w:rsid w:val="001A14A1"/>
    <w:rsid w:val="001C51EC"/>
    <w:rsid w:val="001D2FB7"/>
    <w:rsid w:val="001E3CB7"/>
    <w:rsid w:val="001E6755"/>
    <w:rsid w:val="001E6F47"/>
    <w:rsid w:val="001F293E"/>
    <w:rsid w:val="0020049A"/>
    <w:rsid w:val="00205941"/>
    <w:rsid w:val="00207A9F"/>
    <w:rsid w:val="00211928"/>
    <w:rsid w:val="00213AF7"/>
    <w:rsid w:val="00221777"/>
    <w:rsid w:val="00235F66"/>
    <w:rsid w:val="00237217"/>
    <w:rsid w:val="00244E90"/>
    <w:rsid w:val="00255BB8"/>
    <w:rsid w:val="00262A08"/>
    <w:rsid w:val="00265589"/>
    <w:rsid w:val="002745F8"/>
    <w:rsid w:val="002757A3"/>
    <w:rsid w:val="0028558F"/>
    <w:rsid w:val="002A7D5D"/>
    <w:rsid w:val="002A7E29"/>
    <w:rsid w:val="002B36BE"/>
    <w:rsid w:val="002B3E9E"/>
    <w:rsid w:val="002D5B66"/>
    <w:rsid w:val="002D6045"/>
    <w:rsid w:val="002E0481"/>
    <w:rsid w:val="002E1504"/>
    <w:rsid w:val="002E33BB"/>
    <w:rsid w:val="002E6EA0"/>
    <w:rsid w:val="002F1BFF"/>
    <w:rsid w:val="0030091A"/>
    <w:rsid w:val="00304113"/>
    <w:rsid w:val="00314048"/>
    <w:rsid w:val="003228B7"/>
    <w:rsid w:val="003274D8"/>
    <w:rsid w:val="00341A34"/>
    <w:rsid w:val="0035048A"/>
    <w:rsid w:val="0035256E"/>
    <w:rsid w:val="00362AE7"/>
    <w:rsid w:val="00394D5C"/>
    <w:rsid w:val="003953CA"/>
    <w:rsid w:val="003A3B30"/>
    <w:rsid w:val="003A6602"/>
    <w:rsid w:val="003B1A9C"/>
    <w:rsid w:val="003B4407"/>
    <w:rsid w:val="003B6004"/>
    <w:rsid w:val="003B69BD"/>
    <w:rsid w:val="003C0B6F"/>
    <w:rsid w:val="003C475B"/>
    <w:rsid w:val="003D63AC"/>
    <w:rsid w:val="003D642E"/>
    <w:rsid w:val="003D7AC5"/>
    <w:rsid w:val="003E1E07"/>
    <w:rsid w:val="00402F7C"/>
    <w:rsid w:val="00406C69"/>
    <w:rsid w:val="00406EFB"/>
    <w:rsid w:val="004112BE"/>
    <w:rsid w:val="004137FD"/>
    <w:rsid w:val="00415B45"/>
    <w:rsid w:val="00427AD2"/>
    <w:rsid w:val="004306B3"/>
    <w:rsid w:val="004422BD"/>
    <w:rsid w:val="004467C0"/>
    <w:rsid w:val="004540FC"/>
    <w:rsid w:val="00454989"/>
    <w:rsid w:val="004638B5"/>
    <w:rsid w:val="00463FE6"/>
    <w:rsid w:val="00465527"/>
    <w:rsid w:val="00465CBB"/>
    <w:rsid w:val="004713E0"/>
    <w:rsid w:val="004810F6"/>
    <w:rsid w:val="00497AEF"/>
    <w:rsid w:val="004B0D7E"/>
    <w:rsid w:val="004E3F39"/>
    <w:rsid w:val="004E5B2F"/>
    <w:rsid w:val="004F09E6"/>
    <w:rsid w:val="004F5892"/>
    <w:rsid w:val="005071AD"/>
    <w:rsid w:val="00521E6A"/>
    <w:rsid w:val="005322F6"/>
    <w:rsid w:val="00532783"/>
    <w:rsid w:val="0053379A"/>
    <w:rsid w:val="00556FEE"/>
    <w:rsid w:val="005577A0"/>
    <w:rsid w:val="00557F58"/>
    <w:rsid w:val="00565D15"/>
    <w:rsid w:val="00576A90"/>
    <w:rsid w:val="00576E59"/>
    <w:rsid w:val="00582ECD"/>
    <w:rsid w:val="005926D7"/>
    <w:rsid w:val="005958C2"/>
    <w:rsid w:val="00596BC4"/>
    <w:rsid w:val="005B2C0D"/>
    <w:rsid w:val="005D3D1E"/>
    <w:rsid w:val="005E204F"/>
    <w:rsid w:val="005F5177"/>
    <w:rsid w:val="005F63B7"/>
    <w:rsid w:val="00613B84"/>
    <w:rsid w:val="00630497"/>
    <w:rsid w:val="00633111"/>
    <w:rsid w:val="00640EED"/>
    <w:rsid w:val="00650109"/>
    <w:rsid w:val="00650F5E"/>
    <w:rsid w:val="006563BE"/>
    <w:rsid w:val="00664FF9"/>
    <w:rsid w:val="006663C8"/>
    <w:rsid w:val="0067331D"/>
    <w:rsid w:val="00681349"/>
    <w:rsid w:val="006824CB"/>
    <w:rsid w:val="00682686"/>
    <w:rsid w:val="00682E83"/>
    <w:rsid w:val="006847AC"/>
    <w:rsid w:val="006A652B"/>
    <w:rsid w:val="006B4FEB"/>
    <w:rsid w:val="006D38DD"/>
    <w:rsid w:val="006F2189"/>
    <w:rsid w:val="00703D47"/>
    <w:rsid w:val="00705635"/>
    <w:rsid w:val="00712F91"/>
    <w:rsid w:val="00714AB5"/>
    <w:rsid w:val="00715711"/>
    <w:rsid w:val="007162A5"/>
    <w:rsid w:val="007169F8"/>
    <w:rsid w:val="00726D0D"/>
    <w:rsid w:val="00732AF9"/>
    <w:rsid w:val="00732F57"/>
    <w:rsid w:val="007408FB"/>
    <w:rsid w:val="00742C79"/>
    <w:rsid w:val="007448A8"/>
    <w:rsid w:val="00751621"/>
    <w:rsid w:val="00752985"/>
    <w:rsid w:val="00753CE4"/>
    <w:rsid w:val="007543B9"/>
    <w:rsid w:val="00764363"/>
    <w:rsid w:val="00766B7A"/>
    <w:rsid w:val="007749DD"/>
    <w:rsid w:val="007768B7"/>
    <w:rsid w:val="00780026"/>
    <w:rsid w:val="00785A83"/>
    <w:rsid w:val="00785BC8"/>
    <w:rsid w:val="007B0E5E"/>
    <w:rsid w:val="007B40BC"/>
    <w:rsid w:val="007E4D6B"/>
    <w:rsid w:val="007F32B3"/>
    <w:rsid w:val="007F3F43"/>
    <w:rsid w:val="007F4A3D"/>
    <w:rsid w:val="00803966"/>
    <w:rsid w:val="00822F51"/>
    <w:rsid w:val="00841C40"/>
    <w:rsid w:val="008457BE"/>
    <w:rsid w:val="00860C87"/>
    <w:rsid w:val="00872E24"/>
    <w:rsid w:val="00883CE3"/>
    <w:rsid w:val="008A484E"/>
    <w:rsid w:val="008A52B6"/>
    <w:rsid w:val="008A6550"/>
    <w:rsid w:val="008C3262"/>
    <w:rsid w:val="008E3944"/>
    <w:rsid w:val="00915DD5"/>
    <w:rsid w:val="00937B5E"/>
    <w:rsid w:val="0094694E"/>
    <w:rsid w:val="00953399"/>
    <w:rsid w:val="0095460E"/>
    <w:rsid w:val="00972598"/>
    <w:rsid w:val="0098474D"/>
    <w:rsid w:val="00993991"/>
    <w:rsid w:val="009A2BF1"/>
    <w:rsid w:val="009A5414"/>
    <w:rsid w:val="009B04A2"/>
    <w:rsid w:val="009B7074"/>
    <w:rsid w:val="009C0CE4"/>
    <w:rsid w:val="009E32E3"/>
    <w:rsid w:val="009E6B35"/>
    <w:rsid w:val="009F0C3D"/>
    <w:rsid w:val="00A12FF7"/>
    <w:rsid w:val="00A22923"/>
    <w:rsid w:val="00A25183"/>
    <w:rsid w:val="00A257D2"/>
    <w:rsid w:val="00A32BA5"/>
    <w:rsid w:val="00A339B3"/>
    <w:rsid w:val="00A409A1"/>
    <w:rsid w:val="00A40D7D"/>
    <w:rsid w:val="00A43049"/>
    <w:rsid w:val="00A461EC"/>
    <w:rsid w:val="00A462DC"/>
    <w:rsid w:val="00A549CB"/>
    <w:rsid w:val="00A551F1"/>
    <w:rsid w:val="00A55C3C"/>
    <w:rsid w:val="00A56E5A"/>
    <w:rsid w:val="00A71BF1"/>
    <w:rsid w:val="00A72FA1"/>
    <w:rsid w:val="00A8365C"/>
    <w:rsid w:val="00A86E2E"/>
    <w:rsid w:val="00A909F7"/>
    <w:rsid w:val="00AA41E7"/>
    <w:rsid w:val="00AB23C8"/>
    <w:rsid w:val="00AC6091"/>
    <w:rsid w:val="00AD08BE"/>
    <w:rsid w:val="00AD4250"/>
    <w:rsid w:val="00B11CFE"/>
    <w:rsid w:val="00B27B9D"/>
    <w:rsid w:val="00B43DB2"/>
    <w:rsid w:val="00B44741"/>
    <w:rsid w:val="00B46CF9"/>
    <w:rsid w:val="00B47F46"/>
    <w:rsid w:val="00B57768"/>
    <w:rsid w:val="00B71C92"/>
    <w:rsid w:val="00B753D5"/>
    <w:rsid w:val="00B819A5"/>
    <w:rsid w:val="00B857E2"/>
    <w:rsid w:val="00B96701"/>
    <w:rsid w:val="00BA51BE"/>
    <w:rsid w:val="00BB3C47"/>
    <w:rsid w:val="00BC1CCE"/>
    <w:rsid w:val="00BC3A66"/>
    <w:rsid w:val="00BE3481"/>
    <w:rsid w:val="00BE3C7C"/>
    <w:rsid w:val="00BF3BB4"/>
    <w:rsid w:val="00BF3DDF"/>
    <w:rsid w:val="00BF70BC"/>
    <w:rsid w:val="00BF70FE"/>
    <w:rsid w:val="00C048D9"/>
    <w:rsid w:val="00C27553"/>
    <w:rsid w:val="00C32033"/>
    <w:rsid w:val="00C3376B"/>
    <w:rsid w:val="00C424EF"/>
    <w:rsid w:val="00C52268"/>
    <w:rsid w:val="00C61B5D"/>
    <w:rsid w:val="00C6235A"/>
    <w:rsid w:val="00C74157"/>
    <w:rsid w:val="00C84CCA"/>
    <w:rsid w:val="00C91823"/>
    <w:rsid w:val="00CB2102"/>
    <w:rsid w:val="00CB3800"/>
    <w:rsid w:val="00CB4314"/>
    <w:rsid w:val="00CC44E9"/>
    <w:rsid w:val="00CC4D60"/>
    <w:rsid w:val="00CD3EF6"/>
    <w:rsid w:val="00CD490F"/>
    <w:rsid w:val="00CD5183"/>
    <w:rsid w:val="00CF04AC"/>
    <w:rsid w:val="00CF3ACA"/>
    <w:rsid w:val="00D02991"/>
    <w:rsid w:val="00D1662C"/>
    <w:rsid w:val="00D16EBD"/>
    <w:rsid w:val="00D20803"/>
    <w:rsid w:val="00D2582F"/>
    <w:rsid w:val="00D27A64"/>
    <w:rsid w:val="00D429BE"/>
    <w:rsid w:val="00D45085"/>
    <w:rsid w:val="00D52A64"/>
    <w:rsid w:val="00D572B9"/>
    <w:rsid w:val="00D63982"/>
    <w:rsid w:val="00D64707"/>
    <w:rsid w:val="00D7666E"/>
    <w:rsid w:val="00D83DBA"/>
    <w:rsid w:val="00D85B12"/>
    <w:rsid w:val="00D970E0"/>
    <w:rsid w:val="00D9728A"/>
    <w:rsid w:val="00DA183D"/>
    <w:rsid w:val="00DB7E36"/>
    <w:rsid w:val="00DC1341"/>
    <w:rsid w:val="00DC2EE2"/>
    <w:rsid w:val="00DC3629"/>
    <w:rsid w:val="00DC7658"/>
    <w:rsid w:val="00DD0093"/>
    <w:rsid w:val="00DE4605"/>
    <w:rsid w:val="00DF3864"/>
    <w:rsid w:val="00DF581E"/>
    <w:rsid w:val="00E14982"/>
    <w:rsid w:val="00E20A29"/>
    <w:rsid w:val="00E26B5E"/>
    <w:rsid w:val="00E3135E"/>
    <w:rsid w:val="00E37F9E"/>
    <w:rsid w:val="00E40C42"/>
    <w:rsid w:val="00E478B7"/>
    <w:rsid w:val="00E56401"/>
    <w:rsid w:val="00E570C4"/>
    <w:rsid w:val="00E60782"/>
    <w:rsid w:val="00E60990"/>
    <w:rsid w:val="00E6120F"/>
    <w:rsid w:val="00E64CFD"/>
    <w:rsid w:val="00E704E3"/>
    <w:rsid w:val="00E73FD3"/>
    <w:rsid w:val="00E833E9"/>
    <w:rsid w:val="00E835B3"/>
    <w:rsid w:val="00E92706"/>
    <w:rsid w:val="00E960D2"/>
    <w:rsid w:val="00E96682"/>
    <w:rsid w:val="00EA337B"/>
    <w:rsid w:val="00EB6A45"/>
    <w:rsid w:val="00EC0FE2"/>
    <w:rsid w:val="00ED3254"/>
    <w:rsid w:val="00ED48B5"/>
    <w:rsid w:val="00EE0D3C"/>
    <w:rsid w:val="00EF4362"/>
    <w:rsid w:val="00F02294"/>
    <w:rsid w:val="00F25E8D"/>
    <w:rsid w:val="00F36DE3"/>
    <w:rsid w:val="00F4188B"/>
    <w:rsid w:val="00F45322"/>
    <w:rsid w:val="00F60AEE"/>
    <w:rsid w:val="00F61423"/>
    <w:rsid w:val="00F62891"/>
    <w:rsid w:val="00F66C89"/>
    <w:rsid w:val="00F66CAF"/>
    <w:rsid w:val="00F80BB7"/>
    <w:rsid w:val="00F875B4"/>
    <w:rsid w:val="00F91B9F"/>
    <w:rsid w:val="00F94262"/>
    <w:rsid w:val="00F94264"/>
    <w:rsid w:val="00F965C4"/>
    <w:rsid w:val="00FB447B"/>
    <w:rsid w:val="00FB53D9"/>
    <w:rsid w:val="00FB68F7"/>
    <w:rsid w:val="00FD6613"/>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mailto:upa@press-n-relations.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429</Words>
  <Characters>2708</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7</cp:revision>
  <cp:lastPrinted>2020-12-02T12:57:00Z</cp:lastPrinted>
  <dcterms:created xsi:type="dcterms:W3CDTF">2020-12-03T07:20:00Z</dcterms:created>
  <dcterms:modified xsi:type="dcterms:W3CDTF">2020-12-03T12:10:00Z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306931540</vt:i4>
  </property>
  <property fmtid="{D5CDD505-2E9C-101B-9397-08002B2CF9AE}" pid="3" name="_NewReviewCycle">
    <vt:lpwstr/>
  </property>
  <property fmtid="{D5CDD505-2E9C-101B-9397-08002B2CF9AE}" pid="4" name="_EmailSubject">
    <vt:lpwstr>Presseinfo STI Energiewirtschaft</vt:lpwstr>
  </property>
  <property fmtid="{D5CDD505-2E9C-101B-9397-08002B2CF9AE}" pid="5" name="_AuthorEmail">
    <vt:lpwstr>d.fieml@vivax-gmbh.net</vt:lpwstr>
  </property>
  <property fmtid="{D5CDD505-2E9C-101B-9397-08002B2CF9AE}" pid="6" name="_AuthorEmailDisplayName">
    <vt:lpwstr>Dirk Fieml</vt:lpwstr>
  </property>
</Properties>
</file>