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36F352" w14:textId="77777777" w:rsidR="002757A3" w:rsidRPr="000655B7" w:rsidRDefault="002757A3" w:rsidP="00E37F9E">
      <w:pPr>
        <w:autoSpaceDE w:val="0"/>
        <w:autoSpaceDN w:val="0"/>
        <w:adjustRightInd w:val="0"/>
        <w:spacing w:after="0" w:line="240" w:lineRule="auto"/>
        <w:rPr>
          <w:rFonts w:ascii="Arial" w:hAnsi="Arial" w:cs="Arial"/>
          <w:b/>
          <w:color w:val="000000"/>
          <w:sz w:val="24"/>
          <w:szCs w:val="24"/>
        </w:rPr>
      </w:pPr>
    </w:p>
    <w:p w14:paraId="0B2168AF" w14:textId="77777777" w:rsidR="00E37F9E" w:rsidRPr="000655B7" w:rsidRDefault="002757A3" w:rsidP="00E37F9E">
      <w:pPr>
        <w:autoSpaceDE w:val="0"/>
        <w:autoSpaceDN w:val="0"/>
        <w:adjustRightInd w:val="0"/>
        <w:spacing w:after="0" w:line="240" w:lineRule="auto"/>
        <w:rPr>
          <w:rFonts w:ascii="Arial" w:hAnsi="Arial" w:cs="Arial"/>
          <w:b/>
          <w:color w:val="000000"/>
          <w:sz w:val="28"/>
          <w:szCs w:val="28"/>
        </w:rPr>
      </w:pPr>
      <w:r w:rsidRPr="000655B7">
        <w:rPr>
          <w:rFonts w:ascii="Arial" w:hAnsi="Arial" w:cs="Arial"/>
          <w:b/>
          <w:color w:val="000000"/>
          <w:sz w:val="28"/>
          <w:szCs w:val="28"/>
        </w:rPr>
        <w:t>PRESSEINFORMATION</w:t>
      </w:r>
    </w:p>
    <w:p w14:paraId="4C8BBA5C" w14:textId="77777777" w:rsidR="00EB6A45" w:rsidRDefault="00EB6A45" w:rsidP="00E37F9E">
      <w:pPr>
        <w:autoSpaceDE w:val="0"/>
        <w:autoSpaceDN w:val="0"/>
        <w:adjustRightInd w:val="0"/>
        <w:spacing w:after="0" w:line="240" w:lineRule="auto"/>
        <w:rPr>
          <w:rFonts w:ascii="Arial" w:hAnsi="Arial" w:cs="Arial"/>
          <w:color w:val="000000"/>
        </w:rPr>
      </w:pPr>
    </w:p>
    <w:p w14:paraId="1BB9B786" w14:textId="0BDAC5F2" w:rsidR="002757A3" w:rsidRPr="000655B7" w:rsidRDefault="00106821" w:rsidP="00E37F9E">
      <w:pPr>
        <w:autoSpaceDE w:val="0"/>
        <w:autoSpaceDN w:val="0"/>
        <w:adjustRightInd w:val="0"/>
        <w:spacing w:after="0" w:line="240" w:lineRule="auto"/>
        <w:rPr>
          <w:rFonts w:ascii="Arial" w:hAnsi="Arial" w:cs="Arial"/>
          <w:color w:val="000000"/>
        </w:rPr>
      </w:pPr>
      <w:r>
        <w:rPr>
          <w:rFonts w:ascii="Arial" w:hAnsi="Arial" w:cs="Arial"/>
          <w:color w:val="000000"/>
        </w:rPr>
        <w:t>Berlin</w:t>
      </w:r>
      <w:r w:rsidR="002757A3" w:rsidRPr="000655B7">
        <w:rPr>
          <w:rFonts w:ascii="Arial" w:hAnsi="Arial" w:cs="Arial"/>
          <w:color w:val="000000"/>
        </w:rPr>
        <w:t xml:space="preserve">, </w:t>
      </w:r>
      <w:r w:rsidR="0010198B">
        <w:rPr>
          <w:rFonts w:ascii="Arial" w:hAnsi="Arial" w:cs="Arial"/>
          <w:color w:val="000000"/>
        </w:rPr>
        <w:t>7</w:t>
      </w:r>
      <w:r w:rsidR="002757A3" w:rsidRPr="000655B7">
        <w:rPr>
          <w:rFonts w:ascii="Arial" w:hAnsi="Arial" w:cs="Arial"/>
          <w:color w:val="000000"/>
        </w:rPr>
        <w:t xml:space="preserve">. </w:t>
      </w:r>
      <w:r>
        <w:rPr>
          <w:rFonts w:ascii="Arial" w:hAnsi="Arial" w:cs="Arial"/>
          <w:color w:val="000000"/>
        </w:rPr>
        <w:t>Juni</w:t>
      </w:r>
      <w:r w:rsidR="002757A3" w:rsidRPr="000655B7">
        <w:rPr>
          <w:rFonts w:ascii="Arial" w:hAnsi="Arial" w:cs="Arial"/>
          <w:color w:val="000000"/>
        </w:rPr>
        <w:t xml:space="preserve"> 201</w:t>
      </w:r>
      <w:r>
        <w:rPr>
          <w:rFonts w:ascii="Arial" w:hAnsi="Arial" w:cs="Arial"/>
          <w:color w:val="000000"/>
        </w:rPr>
        <w:t>8</w:t>
      </w:r>
    </w:p>
    <w:p w14:paraId="1A81E8DA" w14:textId="77777777" w:rsidR="000655B7" w:rsidRPr="000655B7" w:rsidRDefault="000655B7" w:rsidP="00E37F9E">
      <w:pPr>
        <w:autoSpaceDE w:val="0"/>
        <w:autoSpaceDN w:val="0"/>
        <w:adjustRightInd w:val="0"/>
        <w:spacing w:after="0" w:line="240" w:lineRule="auto"/>
        <w:rPr>
          <w:rFonts w:ascii="Arial" w:hAnsi="Arial" w:cs="Arial"/>
          <w:color w:val="000000"/>
          <w:sz w:val="24"/>
          <w:szCs w:val="24"/>
        </w:rPr>
      </w:pPr>
    </w:p>
    <w:p w14:paraId="370C292D" w14:textId="5AA37488" w:rsidR="00D02991" w:rsidRPr="000655B7" w:rsidRDefault="00D02991" w:rsidP="00E37F9E">
      <w:pPr>
        <w:autoSpaceDE w:val="0"/>
        <w:autoSpaceDN w:val="0"/>
        <w:adjustRightInd w:val="0"/>
        <w:spacing w:after="0" w:line="240" w:lineRule="auto"/>
        <w:rPr>
          <w:rFonts w:ascii="Arial" w:hAnsi="Arial" w:cs="Arial"/>
          <w:color w:val="000000"/>
          <w:sz w:val="20"/>
          <w:szCs w:val="20"/>
        </w:rPr>
      </w:pPr>
    </w:p>
    <w:p w14:paraId="4214F379" w14:textId="276F0E8B" w:rsidR="00E37F9E" w:rsidRPr="000655B7" w:rsidRDefault="00106821" w:rsidP="002757A3">
      <w:pPr>
        <w:autoSpaceDE w:val="0"/>
        <w:autoSpaceDN w:val="0"/>
        <w:adjustRightInd w:val="0"/>
        <w:spacing w:after="0" w:line="240" w:lineRule="auto"/>
        <w:ind w:right="-1984"/>
        <w:rPr>
          <w:rFonts w:ascii="Arial" w:hAnsi="Arial" w:cs="Arial"/>
          <w:b/>
          <w:color w:val="000000"/>
          <w:sz w:val="28"/>
          <w:szCs w:val="28"/>
        </w:rPr>
      </w:pPr>
      <w:proofErr w:type="spellStart"/>
      <w:r>
        <w:rPr>
          <w:rFonts w:ascii="Arial" w:hAnsi="Arial" w:cs="Arial"/>
          <w:b/>
          <w:color w:val="000000"/>
          <w:sz w:val="28"/>
          <w:szCs w:val="28"/>
        </w:rPr>
        <w:t>Vivax</w:t>
      </w:r>
      <w:proofErr w:type="spellEnd"/>
      <w:r>
        <w:rPr>
          <w:rFonts w:ascii="Arial" w:hAnsi="Arial" w:cs="Arial"/>
          <w:b/>
          <w:color w:val="000000"/>
          <w:sz w:val="28"/>
          <w:szCs w:val="28"/>
        </w:rPr>
        <w:t xml:space="preserve"> unterstützt </w:t>
      </w:r>
      <w:r w:rsidR="00A461EC">
        <w:rPr>
          <w:rFonts w:ascii="Arial" w:hAnsi="Arial" w:cs="Arial"/>
          <w:b/>
          <w:color w:val="000000"/>
          <w:sz w:val="28"/>
          <w:szCs w:val="28"/>
        </w:rPr>
        <w:t xml:space="preserve">Stadtwerke </w:t>
      </w:r>
      <w:r w:rsidR="004540FC">
        <w:rPr>
          <w:rFonts w:ascii="Arial" w:hAnsi="Arial" w:cs="Arial"/>
          <w:b/>
          <w:color w:val="000000"/>
          <w:sz w:val="28"/>
          <w:szCs w:val="28"/>
        </w:rPr>
        <w:t xml:space="preserve">und Kommunen </w:t>
      </w:r>
      <w:r w:rsidR="004540FC">
        <w:rPr>
          <w:rFonts w:ascii="Arial" w:hAnsi="Arial" w:cs="Arial"/>
          <w:b/>
          <w:color w:val="000000"/>
          <w:sz w:val="28"/>
          <w:szCs w:val="28"/>
        </w:rPr>
        <w:br/>
      </w:r>
      <w:r>
        <w:rPr>
          <w:rFonts w:ascii="Arial" w:hAnsi="Arial" w:cs="Arial"/>
          <w:b/>
          <w:color w:val="000000"/>
          <w:sz w:val="28"/>
          <w:szCs w:val="28"/>
        </w:rPr>
        <w:t xml:space="preserve">beim </w:t>
      </w:r>
      <w:r w:rsidR="00181FBB">
        <w:rPr>
          <w:rFonts w:ascii="Arial" w:hAnsi="Arial" w:cs="Arial"/>
          <w:b/>
          <w:color w:val="000000"/>
          <w:sz w:val="28"/>
          <w:szCs w:val="28"/>
        </w:rPr>
        <w:t>Masterplan Digitalisierung</w:t>
      </w:r>
      <w:r>
        <w:rPr>
          <w:rFonts w:ascii="Arial" w:hAnsi="Arial" w:cs="Arial"/>
          <w:b/>
          <w:color w:val="000000"/>
          <w:sz w:val="28"/>
          <w:szCs w:val="28"/>
        </w:rPr>
        <w:t xml:space="preserve"> </w:t>
      </w:r>
    </w:p>
    <w:p w14:paraId="35A51C7D" w14:textId="328F2724" w:rsidR="00E37F9E" w:rsidRPr="000655B7" w:rsidRDefault="00106821" w:rsidP="00106821">
      <w:pPr>
        <w:spacing w:line="360" w:lineRule="auto"/>
        <w:ind w:right="-1276"/>
        <w:rPr>
          <w:rFonts w:ascii="Arial" w:hAnsi="Arial" w:cs="Tahoma"/>
          <w:sz w:val="20"/>
          <w:szCs w:val="20"/>
        </w:rPr>
      </w:pPr>
      <w:r>
        <w:rPr>
          <w:rFonts w:ascii="Arial" w:hAnsi="Arial" w:cs="Tahoma"/>
          <w:sz w:val="20"/>
          <w:szCs w:val="20"/>
        </w:rPr>
        <w:t xml:space="preserve">Neues Geschäftsfeld für Strategieberatung und Umsetzung von Breitband- und 5G-Angeboten </w:t>
      </w:r>
    </w:p>
    <w:p w14:paraId="1A42BDF4" w14:textId="77777777" w:rsidR="00E37F9E" w:rsidRPr="000655B7" w:rsidRDefault="00E37F9E" w:rsidP="00E37F9E">
      <w:pPr>
        <w:autoSpaceDE w:val="0"/>
        <w:autoSpaceDN w:val="0"/>
        <w:adjustRightInd w:val="0"/>
        <w:spacing w:after="0" w:line="240" w:lineRule="auto"/>
        <w:rPr>
          <w:rFonts w:ascii="Arial" w:hAnsi="Arial" w:cs="Arial"/>
          <w:color w:val="000000"/>
          <w:sz w:val="20"/>
          <w:szCs w:val="20"/>
        </w:rPr>
      </w:pPr>
    </w:p>
    <w:p w14:paraId="551585FE" w14:textId="4A52B62F" w:rsidR="005F63B7" w:rsidRPr="005F63B7" w:rsidRDefault="00DF581E" w:rsidP="004137FD">
      <w:pPr>
        <w:spacing w:line="360" w:lineRule="auto"/>
        <w:rPr>
          <w:rFonts w:ascii="Arial" w:hAnsi="Arial" w:cs="Tahoma"/>
          <w:b/>
          <w:bCs/>
          <w:sz w:val="20"/>
          <w:szCs w:val="20"/>
          <w:lang w:val="de-AT"/>
        </w:rPr>
      </w:pPr>
      <w:bookmarkStart w:id="0" w:name="_GoBack"/>
      <w:proofErr w:type="spellStart"/>
      <w:r>
        <w:rPr>
          <w:rFonts w:ascii="Arial" w:hAnsi="Arial" w:cs="Tahoma"/>
          <w:b/>
          <w:bCs/>
          <w:sz w:val="20"/>
          <w:szCs w:val="20"/>
          <w:lang w:val="de-AT"/>
        </w:rPr>
        <w:t>Vivax</w:t>
      </w:r>
      <w:proofErr w:type="spellEnd"/>
      <w:r>
        <w:rPr>
          <w:rFonts w:ascii="Arial" w:hAnsi="Arial" w:cs="Tahoma"/>
          <w:b/>
          <w:bCs/>
          <w:sz w:val="20"/>
          <w:szCs w:val="20"/>
          <w:lang w:val="de-AT"/>
        </w:rPr>
        <w:t xml:space="preserve">, bisher </w:t>
      </w:r>
      <w:r w:rsidR="00181FBB">
        <w:rPr>
          <w:rFonts w:ascii="Arial" w:hAnsi="Arial" w:cs="Tahoma"/>
          <w:b/>
          <w:bCs/>
          <w:sz w:val="20"/>
          <w:szCs w:val="20"/>
          <w:lang w:val="de-AT"/>
        </w:rPr>
        <w:t xml:space="preserve">vor allem </w:t>
      </w:r>
      <w:r>
        <w:rPr>
          <w:rFonts w:ascii="Arial" w:hAnsi="Arial" w:cs="Tahoma"/>
          <w:b/>
          <w:bCs/>
          <w:sz w:val="20"/>
          <w:szCs w:val="20"/>
          <w:lang w:val="de-AT"/>
        </w:rPr>
        <w:t>als</w:t>
      </w:r>
      <w:r w:rsidR="00F965C4">
        <w:rPr>
          <w:rFonts w:ascii="Arial" w:hAnsi="Arial" w:cs="Tahoma"/>
          <w:b/>
          <w:bCs/>
          <w:sz w:val="20"/>
          <w:szCs w:val="20"/>
          <w:lang w:val="de-AT"/>
        </w:rPr>
        <w:t xml:space="preserve"> Spezialist für</w:t>
      </w:r>
      <w:r>
        <w:rPr>
          <w:rFonts w:ascii="Arial" w:hAnsi="Arial" w:cs="Tahoma"/>
          <w:b/>
          <w:bCs/>
          <w:sz w:val="20"/>
          <w:szCs w:val="20"/>
          <w:lang w:val="de-AT"/>
        </w:rPr>
        <w:t xml:space="preserve"> Prozessoptimierung und Schwachstellenanalysen bekannt, hat sein </w:t>
      </w:r>
      <w:r w:rsidR="00705635">
        <w:rPr>
          <w:rFonts w:ascii="Arial" w:hAnsi="Arial" w:cs="Tahoma"/>
          <w:b/>
          <w:bCs/>
          <w:sz w:val="20"/>
          <w:szCs w:val="20"/>
          <w:lang w:val="de-AT"/>
        </w:rPr>
        <w:t>P</w:t>
      </w:r>
      <w:r>
        <w:rPr>
          <w:rFonts w:ascii="Arial" w:hAnsi="Arial" w:cs="Tahoma"/>
          <w:b/>
          <w:bCs/>
          <w:sz w:val="20"/>
          <w:szCs w:val="20"/>
          <w:lang w:val="de-AT"/>
        </w:rPr>
        <w:t xml:space="preserve">ortfolio ausgebaut und unterstützt Stadtwerke </w:t>
      </w:r>
      <w:r w:rsidR="001C51EC">
        <w:rPr>
          <w:rFonts w:ascii="Arial" w:hAnsi="Arial" w:cs="Tahoma"/>
          <w:b/>
          <w:bCs/>
          <w:sz w:val="20"/>
          <w:szCs w:val="20"/>
          <w:lang w:val="de-AT"/>
        </w:rPr>
        <w:t xml:space="preserve">und Kommunen </w:t>
      </w:r>
      <w:r>
        <w:rPr>
          <w:rFonts w:ascii="Arial" w:hAnsi="Arial" w:cs="Tahoma"/>
          <w:b/>
          <w:bCs/>
          <w:sz w:val="20"/>
          <w:szCs w:val="20"/>
          <w:lang w:val="de-AT"/>
        </w:rPr>
        <w:t xml:space="preserve">jetzt beim Aufbau und der Umsetzung von Digitalisierungsprojekten. Kopf der neuen Einheit ist </w:t>
      </w:r>
      <w:proofErr w:type="spellStart"/>
      <w:r w:rsidR="00A462DC">
        <w:rPr>
          <w:rFonts w:ascii="Arial" w:hAnsi="Arial" w:cs="Tahoma"/>
          <w:b/>
          <w:bCs/>
          <w:sz w:val="20"/>
          <w:szCs w:val="20"/>
          <w:lang w:val="de-AT"/>
        </w:rPr>
        <w:t>Vivax</w:t>
      </w:r>
      <w:proofErr w:type="spellEnd"/>
      <w:r w:rsidR="00A462DC">
        <w:rPr>
          <w:rFonts w:ascii="Arial" w:hAnsi="Arial" w:cs="Tahoma"/>
          <w:b/>
          <w:bCs/>
          <w:sz w:val="20"/>
          <w:szCs w:val="20"/>
          <w:lang w:val="de-AT"/>
        </w:rPr>
        <w:t xml:space="preserve">-Gründer und Geschäftsführer Dirk </w:t>
      </w:r>
      <w:proofErr w:type="spellStart"/>
      <w:r w:rsidR="00A462DC">
        <w:rPr>
          <w:rFonts w:ascii="Arial" w:hAnsi="Arial" w:cs="Tahoma"/>
          <w:b/>
          <w:bCs/>
          <w:sz w:val="20"/>
          <w:szCs w:val="20"/>
          <w:lang w:val="de-AT"/>
        </w:rPr>
        <w:t>Fieml</w:t>
      </w:r>
      <w:proofErr w:type="spellEnd"/>
      <w:r w:rsidR="00A462DC">
        <w:rPr>
          <w:rFonts w:ascii="Arial" w:hAnsi="Arial" w:cs="Tahoma"/>
          <w:b/>
          <w:bCs/>
          <w:sz w:val="20"/>
          <w:szCs w:val="20"/>
          <w:lang w:val="de-AT"/>
        </w:rPr>
        <w:t xml:space="preserve">. </w:t>
      </w:r>
      <w:r w:rsidR="003A3B30" w:rsidRPr="003A3B30">
        <w:rPr>
          <w:rFonts w:ascii="Arial" w:hAnsi="Arial" w:cs="Tahoma"/>
          <w:b/>
          <w:bCs/>
          <w:sz w:val="20"/>
          <w:szCs w:val="20"/>
          <w:lang w:val="de-AT"/>
        </w:rPr>
        <w:t xml:space="preserve">Unterstützt wird er von Jens Opitz, der seit 1992 Glasfaserausbau mit aktiven und passiven Infrastrukturen </w:t>
      </w:r>
      <w:r w:rsidR="00F94262">
        <w:rPr>
          <w:rFonts w:ascii="Arial" w:hAnsi="Arial" w:cs="Tahoma"/>
          <w:b/>
          <w:bCs/>
          <w:sz w:val="20"/>
          <w:szCs w:val="20"/>
          <w:lang w:val="de-AT"/>
        </w:rPr>
        <w:t xml:space="preserve">in Deutschland </w:t>
      </w:r>
      <w:r w:rsidR="003A3B30" w:rsidRPr="003A3B30">
        <w:rPr>
          <w:rFonts w:ascii="Arial" w:hAnsi="Arial" w:cs="Tahoma"/>
          <w:b/>
          <w:bCs/>
          <w:sz w:val="20"/>
          <w:szCs w:val="20"/>
          <w:lang w:val="de-AT"/>
        </w:rPr>
        <w:t xml:space="preserve">maßgeblich </w:t>
      </w:r>
      <w:proofErr w:type="gramStart"/>
      <w:r w:rsidR="00C27553">
        <w:rPr>
          <w:rFonts w:ascii="Arial" w:hAnsi="Arial" w:cs="Tahoma"/>
          <w:b/>
          <w:bCs/>
          <w:sz w:val="20"/>
          <w:szCs w:val="20"/>
          <w:lang w:val="de-AT"/>
        </w:rPr>
        <w:t>mit</w:t>
      </w:r>
      <w:r w:rsidR="003A3B30" w:rsidRPr="003A3B30">
        <w:rPr>
          <w:rFonts w:ascii="Arial" w:hAnsi="Arial" w:cs="Tahoma"/>
          <w:b/>
          <w:bCs/>
          <w:sz w:val="20"/>
          <w:szCs w:val="20"/>
          <w:lang w:val="de-AT"/>
        </w:rPr>
        <w:t xml:space="preserve"> geprägt</w:t>
      </w:r>
      <w:proofErr w:type="gramEnd"/>
      <w:r w:rsidR="003A3B30" w:rsidRPr="003A3B30">
        <w:rPr>
          <w:rFonts w:ascii="Arial" w:hAnsi="Arial" w:cs="Tahoma"/>
          <w:b/>
          <w:bCs/>
          <w:sz w:val="20"/>
          <w:szCs w:val="20"/>
          <w:lang w:val="de-AT"/>
        </w:rPr>
        <w:t xml:space="preserve"> hat. </w:t>
      </w:r>
      <w:r>
        <w:rPr>
          <w:rFonts w:ascii="Arial" w:hAnsi="Arial" w:cs="Tahoma"/>
          <w:b/>
          <w:bCs/>
          <w:sz w:val="20"/>
          <w:szCs w:val="20"/>
          <w:lang w:val="de-AT"/>
        </w:rPr>
        <w:t>„</w:t>
      </w:r>
      <w:r w:rsidR="00181FBB">
        <w:rPr>
          <w:rFonts w:ascii="Arial" w:hAnsi="Arial" w:cs="Tahoma"/>
          <w:b/>
          <w:bCs/>
          <w:sz w:val="20"/>
          <w:szCs w:val="20"/>
          <w:lang w:val="de-AT"/>
        </w:rPr>
        <w:t>Für Stadtwerke bietet die Digitalisierung enorme Chancen, neue Geschäftsfelder aufzubauen und sich als zentraler Ansprechpartner im eigenen kommunalen Umfeld zu positionieren. Doch dafür brauchen sie einen umfassenden Masterplan</w:t>
      </w:r>
      <w:r w:rsidR="003A3B30">
        <w:rPr>
          <w:rFonts w:ascii="Arial" w:hAnsi="Arial" w:cs="Tahoma"/>
          <w:b/>
          <w:bCs/>
          <w:sz w:val="20"/>
          <w:szCs w:val="20"/>
          <w:lang w:val="de-AT"/>
        </w:rPr>
        <w:t xml:space="preserve"> </w:t>
      </w:r>
      <w:r w:rsidR="003A3B30" w:rsidRPr="003A3B30">
        <w:rPr>
          <w:rFonts w:ascii="Arial" w:hAnsi="Arial" w:cs="Tahoma"/>
          <w:b/>
          <w:bCs/>
          <w:sz w:val="20"/>
          <w:szCs w:val="20"/>
          <w:lang w:val="de-AT"/>
        </w:rPr>
        <w:t>für</w:t>
      </w:r>
      <w:r w:rsidR="003A3B30">
        <w:rPr>
          <w:rFonts w:ascii="Arial" w:hAnsi="Arial" w:cs="Tahoma"/>
          <w:b/>
          <w:bCs/>
          <w:sz w:val="20"/>
          <w:szCs w:val="20"/>
          <w:lang w:val="de-AT"/>
        </w:rPr>
        <w:t xml:space="preserve"> ihre</w:t>
      </w:r>
      <w:r w:rsidR="003A3B30" w:rsidRPr="003A3B30">
        <w:rPr>
          <w:rFonts w:ascii="Arial" w:hAnsi="Arial" w:cs="Tahoma"/>
          <w:b/>
          <w:bCs/>
          <w:sz w:val="20"/>
          <w:szCs w:val="20"/>
          <w:lang w:val="de-AT"/>
        </w:rPr>
        <w:t xml:space="preserve"> Telekommun</w:t>
      </w:r>
      <w:r w:rsidR="003A3B30">
        <w:rPr>
          <w:rFonts w:ascii="Arial" w:hAnsi="Arial" w:cs="Tahoma"/>
          <w:b/>
          <w:bCs/>
          <w:sz w:val="20"/>
          <w:szCs w:val="20"/>
          <w:lang w:val="de-AT"/>
        </w:rPr>
        <w:t>i</w:t>
      </w:r>
      <w:r w:rsidR="003A3B30" w:rsidRPr="003A3B30">
        <w:rPr>
          <w:rFonts w:ascii="Arial" w:hAnsi="Arial" w:cs="Tahoma"/>
          <w:b/>
          <w:bCs/>
          <w:sz w:val="20"/>
          <w:szCs w:val="20"/>
          <w:lang w:val="de-AT"/>
        </w:rPr>
        <w:t>kations- und Energiestrategien</w:t>
      </w:r>
      <w:r w:rsidR="00181FBB">
        <w:rPr>
          <w:rFonts w:ascii="Arial" w:hAnsi="Arial" w:cs="Tahoma"/>
          <w:b/>
          <w:bCs/>
          <w:sz w:val="20"/>
          <w:szCs w:val="20"/>
          <w:lang w:val="de-AT"/>
        </w:rPr>
        <w:t xml:space="preserve">, sonst bleibt die Digitalisierung Stückwerk“, erklärt Dirk </w:t>
      </w:r>
      <w:proofErr w:type="spellStart"/>
      <w:r w:rsidR="00181FBB">
        <w:rPr>
          <w:rFonts w:ascii="Arial" w:hAnsi="Arial" w:cs="Tahoma"/>
          <w:b/>
          <w:bCs/>
          <w:sz w:val="20"/>
          <w:szCs w:val="20"/>
          <w:lang w:val="de-AT"/>
        </w:rPr>
        <w:t>Fieml</w:t>
      </w:r>
      <w:proofErr w:type="spellEnd"/>
      <w:r w:rsidR="00181FBB">
        <w:rPr>
          <w:rFonts w:ascii="Arial" w:hAnsi="Arial" w:cs="Tahoma"/>
          <w:b/>
          <w:bCs/>
          <w:sz w:val="20"/>
          <w:szCs w:val="20"/>
          <w:lang w:val="de-AT"/>
        </w:rPr>
        <w:t xml:space="preserve"> </w:t>
      </w:r>
      <w:r w:rsidR="005F63B7">
        <w:rPr>
          <w:rFonts w:ascii="Arial" w:hAnsi="Arial" w:cs="Tahoma"/>
          <w:b/>
          <w:bCs/>
          <w:sz w:val="20"/>
          <w:szCs w:val="20"/>
          <w:lang w:val="de-AT"/>
        </w:rPr>
        <w:t>den Beratungsansatz. „</w:t>
      </w:r>
      <w:r w:rsidR="00BE3C7C">
        <w:rPr>
          <w:rFonts w:ascii="Arial" w:hAnsi="Arial" w:cs="Tahoma"/>
          <w:b/>
          <w:bCs/>
          <w:sz w:val="20"/>
          <w:szCs w:val="20"/>
          <w:lang w:val="de-AT"/>
        </w:rPr>
        <w:t xml:space="preserve">Um die Komplexität der 5G-Zukunft meistern zu können, </w:t>
      </w:r>
      <w:r w:rsidR="00751621">
        <w:rPr>
          <w:rFonts w:ascii="Arial" w:hAnsi="Arial" w:cs="Tahoma"/>
          <w:b/>
          <w:bCs/>
          <w:sz w:val="20"/>
          <w:szCs w:val="20"/>
          <w:lang w:val="de-AT"/>
        </w:rPr>
        <w:t>ist</w:t>
      </w:r>
      <w:r w:rsidR="00BE3C7C">
        <w:rPr>
          <w:rFonts w:ascii="Arial" w:hAnsi="Arial" w:cs="Tahoma"/>
          <w:b/>
          <w:bCs/>
          <w:sz w:val="20"/>
          <w:szCs w:val="20"/>
          <w:lang w:val="de-AT"/>
        </w:rPr>
        <w:t xml:space="preserve"> ein ganzheitliches Verständnis weit über den Tellerrand hinaus</w:t>
      </w:r>
      <w:r w:rsidR="00751621">
        <w:rPr>
          <w:rFonts w:ascii="Arial" w:hAnsi="Arial" w:cs="Tahoma"/>
          <w:b/>
          <w:bCs/>
          <w:sz w:val="20"/>
          <w:szCs w:val="20"/>
          <w:lang w:val="de-AT"/>
        </w:rPr>
        <w:t xml:space="preserve"> unabdingbar</w:t>
      </w:r>
      <w:r w:rsidR="00BE3C7C">
        <w:rPr>
          <w:rFonts w:ascii="Arial" w:hAnsi="Arial" w:cs="Tahoma"/>
          <w:b/>
          <w:bCs/>
          <w:sz w:val="20"/>
          <w:szCs w:val="20"/>
          <w:lang w:val="de-AT"/>
        </w:rPr>
        <w:t>. Zudem sind neue Kooperationsansätze notwendig, über die eine</w:t>
      </w:r>
      <w:r w:rsidR="00BE3C7C" w:rsidRPr="00BE3C7C">
        <w:rPr>
          <w:rFonts w:ascii="Arial" w:hAnsi="Arial" w:cs="Tahoma"/>
          <w:b/>
          <w:bCs/>
          <w:sz w:val="20"/>
          <w:szCs w:val="20"/>
          <w:lang w:val="de-AT"/>
        </w:rPr>
        <w:t xml:space="preserve"> Vielzahl neu</w:t>
      </w:r>
      <w:r w:rsidR="00BE3C7C">
        <w:rPr>
          <w:rFonts w:ascii="Arial" w:hAnsi="Arial" w:cs="Tahoma"/>
          <w:b/>
          <w:bCs/>
          <w:sz w:val="20"/>
          <w:szCs w:val="20"/>
          <w:lang w:val="de-AT"/>
        </w:rPr>
        <w:t>er,</w:t>
      </w:r>
      <w:r w:rsidR="00BE3C7C" w:rsidRPr="00BE3C7C">
        <w:rPr>
          <w:rFonts w:ascii="Arial" w:hAnsi="Arial" w:cs="Tahoma"/>
          <w:b/>
          <w:bCs/>
          <w:sz w:val="20"/>
          <w:szCs w:val="20"/>
          <w:lang w:val="de-AT"/>
        </w:rPr>
        <w:t xml:space="preserve"> abrechenbarer Dienstleistungen und nachhaltige digitale Erlösmodelle</w:t>
      </w:r>
      <w:r w:rsidR="00BE3C7C">
        <w:rPr>
          <w:rFonts w:ascii="Arial" w:hAnsi="Arial" w:cs="Tahoma"/>
          <w:b/>
          <w:bCs/>
          <w:sz w:val="20"/>
          <w:szCs w:val="20"/>
          <w:lang w:val="de-AT"/>
        </w:rPr>
        <w:t xml:space="preserve"> umgesetzt werden können</w:t>
      </w:r>
      <w:r w:rsidR="005F63B7">
        <w:rPr>
          <w:rFonts w:ascii="Arial" w:hAnsi="Arial" w:cs="Tahoma"/>
          <w:b/>
          <w:bCs/>
          <w:sz w:val="20"/>
          <w:szCs w:val="20"/>
          <w:lang w:val="de-AT"/>
        </w:rPr>
        <w:t xml:space="preserve">“, ergänzt Jens Opitz. Deswegen unterstützt </w:t>
      </w:r>
      <w:proofErr w:type="spellStart"/>
      <w:r w:rsidR="005F63B7">
        <w:rPr>
          <w:rFonts w:ascii="Arial" w:hAnsi="Arial" w:cs="Tahoma"/>
          <w:b/>
          <w:bCs/>
          <w:sz w:val="20"/>
          <w:szCs w:val="20"/>
          <w:lang w:val="de-AT"/>
        </w:rPr>
        <w:t>Vivax</w:t>
      </w:r>
      <w:proofErr w:type="spellEnd"/>
      <w:r w:rsidR="005F63B7">
        <w:rPr>
          <w:rFonts w:ascii="Arial" w:hAnsi="Arial" w:cs="Tahoma"/>
          <w:b/>
          <w:bCs/>
          <w:sz w:val="20"/>
          <w:szCs w:val="20"/>
          <w:lang w:val="de-AT"/>
        </w:rPr>
        <w:t xml:space="preserve"> die Stadtwerke</w:t>
      </w:r>
      <w:r w:rsidR="00BE3C7C">
        <w:rPr>
          <w:rFonts w:ascii="Arial" w:hAnsi="Arial" w:cs="Tahoma"/>
          <w:b/>
          <w:bCs/>
          <w:sz w:val="20"/>
          <w:szCs w:val="20"/>
          <w:lang w:val="de-AT"/>
        </w:rPr>
        <w:t xml:space="preserve"> und Kommunen</w:t>
      </w:r>
      <w:r w:rsidR="005F63B7">
        <w:rPr>
          <w:rFonts w:ascii="Arial" w:hAnsi="Arial" w:cs="Tahoma"/>
          <w:b/>
          <w:bCs/>
          <w:sz w:val="20"/>
          <w:szCs w:val="20"/>
          <w:lang w:val="de-AT"/>
        </w:rPr>
        <w:t xml:space="preserve"> über den gesamten Prozess von der Strategiefindung bis hin zur Umsetzung. Dafür verstärken auch Experten für die Netzplanung das neue Team.</w:t>
      </w:r>
    </w:p>
    <w:p w14:paraId="379054EF" w14:textId="7CD00ED1" w:rsidR="002A7E29" w:rsidRDefault="005F63B7" w:rsidP="002A7E29">
      <w:pPr>
        <w:spacing w:line="360" w:lineRule="auto"/>
        <w:rPr>
          <w:rFonts w:ascii="Arial" w:hAnsi="Arial" w:cs="Tahoma"/>
          <w:sz w:val="20"/>
          <w:szCs w:val="20"/>
        </w:rPr>
      </w:pPr>
      <w:r>
        <w:rPr>
          <w:rFonts w:ascii="Arial" w:hAnsi="Arial" w:cs="Tahoma"/>
          <w:sz w:val="20"/>
          <w:szCs w:val="20"/>
        </w:rPr>
        <w:t>Die Breitbandvernetzung und 5G-</w:t>
      </w:r>
      <w:r w:rsidR="00BF3BB4">
        <w:rPr>
          <w:rFonts w:ascii="Arial" w:hAnsi="Arial" w:cs="Tahoma"/>
          <w:sz w:val="20"/>
          <w:szCs w:val="20"/>
        </w:rPr>
        <w:t>Digitalisierung</w:t>
      </w:r>
      <w:r>
        <w:rPr>
          <w:rFonts w:ascii="Arial" w:hAnsi="Arial" w:cs="Tahoma"/>
          <w:sz w:val="20"/>
          <w:szCs w:val="20"/>
        </w:rPr>
        <w:t xml:space="preserve"> bildet künftig die Basis</w:t>
      </w:r>
      <w:r w:rsidR="00BF3BB4">
        <w:rPr>
          <w:rFonts w:ascii="Arial" w:hAnsi="Arial" w:cs="Tahoma"/>
          <w:sz w:val="20"/>
          <w:szCs w:val="20"/>
        </w:rPr>
        <w:t xml:space="preserve"> für die Umsetzung von intelligenten Stadtkonzepten, die ganz unterschiedliche Angebote von der Fahrzeugvernetzung, über Verkehrsteuerung</w:t>
      </w:r>
      <w:r w:rsidR="00A461EC">
        <w:rPr>
          <w:rFonts w:ascii="Arial" w:hAnsi="Arial" w:cs="Tahoma"/>
          <w:sz w:val="20"/>
          <w:szCs w:val="20"/>
        </w:rPr>
        <w:t>,</w:t>
      </w:r>
      <w:r w:rsidR="00BF3BB4">
        <w:rPr>
          <w:rFonts w:ascii="Arial" w:hAnsi="Arial" w:cs="Tahoma"/>
          <w:sz w:val="20"/>
          <w:szCs w:val="20"/>
        </w:rPr>
        <w:t xml:space="preserve"> Parkraumbewirtschaftung</w:t>
      </w:r>
      <w:r w:rsidR="00A461EC">
        <w:rPr>
          <w:rFonts w:ascii="Arial" w:hAnsi="Arial" w:cs="Tahoma"/>
          <w:sz w:val="20"/>
          <w:szCs w:val="20"/>
        </w:rPr>
        <w:t xml:space="preserve"> oder</w:t>
      </w:r>
      <w:r w:rsidR="00BF3BB4">
        <w:rPr>
          <w:rFonts w:ascii="Arial" w:hAnsi="Arial" w:cs="Tahoma"/>
          <w:sz w:val="20"/>
          <w:szCs w:val="20"/>
        </w:rPr>
        <w:t xml:space="preserve"> Telekommunikation bis hin zur Vernetzung von Industrie und </w:t>
      </w:r>
      <w:r w:rsidR="00C6235A">
        <w:rPr>
          <w:rFonts w:ascii="Arial" w:hAnsi="Arial" w:cs="Tahoma"/>
          <w:sz w:val="20"/>
          <w:szCs w:val="20"/>
        </w:rPr>
        <w:t xml:space="preserve">dezentraler </w:t>
      </w:r>
      <w:r w:rsidR="00BF3BB4">
        <w:rPr>
          <w:rFonts w:ascii="Arial" w:hAnsi="Arial" w:cs="Tahoma"/>
          <w:sz w:val="20"/>
          <w:szCs w:val="20"/>
        </w:rPr>
        <w:t>Energie</w:t>
      </w:r>
      <w:r w:rsidR="00C6235A">
        <w:rPr>
          <w:rFonts w:ascii="Arial" w:hAnsi="Arial" w:cs="Tahoma"/>
          <w:sz w:val="20"/>
          <w:szCs w:val="20"/>
        </w:rPr>
        <w:t>erzeugung</w:t>
      </w:r>
      <w:r w:rsidR="00BF3BB4">
        <w:rPr>
          <w:rFonts w:ascii="Arial" w:hAnsi="Arial" w:cs="Tahoma"/>
          <w:sz w:val="20"/>
          <w:szCs w:val="20"/>
        </w:rPr>
        <w:t xml:space="preserve"> umfassen.</w:t>
      </w:r>
      <w:r w:rsidR="00A461EC">
        <w:rPr>
          <w:rFonts w:ascii="Arial" w:hAnsi="Arial" w:cs="Tahoma"/>
          <w:sz w:val="20"/>
          <w:szCs w:val="20"/>
        </w:rPr>
        <w:t xml:space="preserve"> „Deswegen ist beim Aufbau der dazu nötigen Infrastruktur darauf zu achten, dass all diese Optionen im Auge behalten werden und keine Wege </w:t>
      </w:r>
      <w:r w:rsidR="006F2189">
        <w:rPr>
          <w:rFonts w:ascii="Arial" w:hAnsi="Arial" w:cs="Tahoma"/>
          <w:sz w:val="20"/>
          <w:szCs w:val="20"/>
        </w:rPr>
        <w:t xml:space="preserve">– </w:t>
      </w:r>
      <w:r w:rsidR="00A461EC">
        <w:rPr>
          <w:rFonts w:ascii="Arial" w:hAnsi="Arial" w:cs="Tahoma"/>
          <w:sz w:val="20"/>
          <w:szCs w:val="20"/>
        </w:rPr>
        <w:t>im wahrsten Sinne des Wortes</w:t>
      </w:r>
      <w:r w:rsidR="00B753D5">
        <w:rPr>
          <w:rFonts w:ascii="Arial" w:hAnsi="Arial" w:cs="Tahoma"/>
          <w:sz w:val="20"/>
          <w:szCs w:val="20"/>
        </w:rPr>
        <w:t xml:space="preserve"> </w:t>
      </w:r>
      <w:r w:rsidR="000823CF">
        <w:rPr>
          <w:rFonts w:ascii="Arial" w:hAnsi="Arial" w:cs="Tahoma"/>
          <w:sz w:val="20"/>
          <w:szCs w:val="20"/>
        </w:rPr>
        <w:t>–</w:t>
      </w:r>
      <w:r w:rsidR="00A461EC">
        <w:rPr>
          <w:rFonts w:ascii="Arial" w:hAnsi="Arial" w:cs="Tahoma"/>
          <w:sz w:val="20"/>
          <w:szCs w:val="20"/>
        </w:rPr>
        <w:t xml:space="preserve"> verbaut</w:t>
      </w:r>
      <w:r w:rsidR="006F2189">
        <w:rPr>
          <w:rFonts w:ascii="Arial" w:hAnsi="Arial" w:cs="Tahoma"/>
          <w:sz w:val="20"/>
          <w:szCs w:val="20"/>
        </w:rPr>
        <w:t xml:space="preserve"> </w:t>
      </w:r>
      <w:r w:rsidR="00A461EC">
        <w:rPr>
          <w:rFonts w:ascii="Arial" w:hAnsi="Arial" w:cs="Tahoma"/>
          <w:sz w:val="20"/>
          <w:szCs w:val="20"/>
        </w:rPr>
        <w:t>werden“, erklärt Jens Opitz.</w:t>
      </w:r>
      <w:r w:rsidR="00BF3BB4">
        <w:rPr>
          <w:rFonts w:ascii="Arial" w:hAnsi="Arial" w:cs="Tahoma"/>
          <w:sz w:val="20"/>
          <w:szCs w:val="20"/>
        </w:rPr>
        <w:t xml:space="preserve"> </w:t>
      </w:r>
      <w:r w:rsidR="00A461EC">
        <w:rPr>
          <w:rFonts w:ascii="Arial" w:hAnsi="Arial" w:cs="Tahoma"/>
          <w:sz w:val="20"/>
          <w:szCs w:val="20"/>
        </w:rPr>
        <w:t xml:space="preserve">Für diese Aufgabe bringt er jahrelange Erfahrungen </w:t>
      </w:r>
      <w:r w:rsidR="00A461EC">
        <w:rPr>
          <w:rFonts w:ascii="Arial" w:hAnsi="Arial" w:cs="Tahoma"/>
          <w:sz w:val="20"/>
          <w:szCs w:val="20"/>
        </w:rPr>
        <w:lastRenderedPageBreak/>
        <w:t>und eine umfangreiche Vernetzung</w:t>
      </w:r>
      <w:r w:rsidR="00BF3BB4">
        <w:rPr>
          <w:rFonts w:ascii="Arial" w:hAnsi="Arial" w:cs="Tahoma"/>
          <w:sz w:val="20"/>
          <w:szCs w:val="20"/>
        </w:rPr>
        <w:t xml:space="preserve"> </w:t>
      </w:r>
      <w:r w:rsidR="00A461EC">
        <w:rPr>
          <w:rFonts w:ascii="Arial" w:hAnsi="Arial" w:cs="Tahoma"/>
          <w:sz w:val="20"/>
          <w:szCs w:val="20"/>
        </w:rPr>
        <w:t xml:space="preserve">im Umfeld der Telekommunikation mit. So arbeitet </w:t>
      </w:r>
      <w:r w:rsidR="006F2189">
        <w:rPr>
          <w:rFonts w:ascii="Arial" w:hAnsi="Arial" w:cs="Tahoma"/>
          <w:sz w:val="20"/>
          <w:szCs w:val="20"/>
        </w:rPr>
        <w:t xml:space="preserve">er seit </w:t>
      </w:r>
      <w:r w:rsidR="00A461EC">
        <w:rPr>
          <w:rFonts w:ascii="Arial" w:hAnsi="Arial" w:cs="Tahoma"/>
          <w:sz w:val="20"/>
          <w:szCs w:val="20"/>
        </w:rPr>
        <w:t xml:space="preserve">Jahren als </w:t>
      </w:r>
      <w:r w:rsidR="001C51EC">
        <w:rPr>
          <w:rFonts w:ascii="Arial" w:hAnsi="Arial" w:cs="Tahoma"/>
          <w:sz w:val="20"/>
          <w:szCs w:val="20"/>
        </w:rPr>
        <w:t>Berater</w:t>
      </w:r>
      <w:r w:rsidR="00A461EC">
        <w:rPr>
          <w:rFonts w:ascii="Arial" w:hAnsi="Arial" w:cs="Tahoma"/>
          <w:sz w:val="20"/>
          <w:szCs w:val="20"/>
        </w:rPr>
        <w:t xml:space="preserve"> für Themen wie</w:t>
      </w:r>
      <w:r w:rsidR="00A461EC" w:rsidRPr="00A461EC">
        <w:rPr>
          <w:rFonts w:ascii="Arial" w:hAnsi="Arial" w:cs="Tahoma"/>
          <w:sz w:val="20"/>
          <w:szCs w:val="20"/>
        </w:rPr>
        <w:t xml:space="preserve"> 5G</w:t>
      </w:r>
      <w:r w:rsidR="00A461EC">
        <w:rPr>
          <w:rFonts w:ascii="Arial" w:hAnsi="Arial" w:cs="Tahoma"/>
          <w:sz w:val="20"/>
          <w:szCs w:val="20"/>
        </w:rPr>
        <w:t>,</w:t>
      </w:r>
      <w:r w:rsidR="00A461EC" w:rsidRPr="00A461EC">
        <w:rPr>
          <w:rFonts w:ascii="Arial" w:hAnsi="Arial" w:cs="Tahoma"/>
          <w:sz w:val="20"/>
          <w:szCs w:val="20"/>
        </w:rPr>
        <w:t xml:space="preserve"> </w:t>
      </w:r>
      <w:proofErr w:type="spellStart"/>
      <w:r w:rsidR="00A461EC" w:rsidRPr="00A461EC">
        <w:rPr>
          <w:rFonts w:ascii="Arial" w:hAnsi="Arial" w:cs="Tahoma"/>
          <w:sz w:val="20"/>
          <w:szCs w:val="20"/>
        </w:rPr>
        <w:t>IoT</w:t>
      </w:r>
      <w:proofErr w:type="spellEnd"/>
      <w:r w:rsidR="00A461EC">
        <w:rPr>
          <w:rFonts w:ascii="Arial" w:hAnsi="Arial" w:cs="Tahoma"/>
          <w:sz w:val="20"/>
          <w:szCs w:val="20"/>
        </w:rPr>
        <w:t>,</w:t>
      </w:r>
      <w:r w:rsidR="00A461EC" w:rsidRPr="00A461EC">
        <w:rPr>
          <w:rFonts w:ascii="Arial" w:hAnsi="Arial" w:cs="Tahoma"/>
          <w:sz w:val="20"/>
          <w:szCs w:val="20"/>
        </w:rPr>
        <w:t xml:space="preserve"> </w:t>
      </w:r>
      <w:proofErr w:type="gramStart"/>
      <w:r w:rsidR="00A461EC" w:rsidRPr="00A461EC">
        <w:rPr>
          <w:rFonts w:ascii="Arial" w:hAnsi="Arial" w:cs="Tahoma"/>
          <w:sz w:val="20"/>
          <w:szCs w:val="20"/>
        </w:rPr>
        <w:t>Smart</w:t>
      </w:r>
      <w:proofErr w:type="gramEnd"/>
      <w:r w:rsidR="00A461EC" w:rsidRPr="00A461EC">
        <w:rPr>
          <w:rFonts w:ascii="Arial" w:hAnsi="Arial" w:cs="Tahoma"/>
          <w:sz w:val="20"/>
          <w:szCs w:val="20"/>
        </w:rPr>
        <w:t xml:space="preserve"> City, Telemedizin, Energie 4.0 </w:t>
      </w:r>
      <w:r w:rsidR="00A461EC">
        <w:rPr>
          <w:rFonts w:ascii="Arial" w:hAnsi="Arial" w:cs="Tahoma"/>
          <w:sz w:val="20"/>
          <w:szCs w:val="20"/>
        </w:rPr>
        <w:t>sowie</w:t>
      </w:r>
      <w:r w:rsidR="00A461EC" w:rsidRPr="00A461EC">
        <w:rPr>
          <w:rFonts w:ascii="Arial" w:hAnsi="Arial" w:cs="Tahoma"/>
          <w:sz w:val="20"/>
          <w:szCs w:val="20"/>
        </w:rPr>
        <w:t xml:space="preserve"> Industrie 4.0</w:t>
      </w:r>
      <w:r w:rsidR="00A461EC">
        <w:rPr>
          <w:rFonts w:ascii="Arial" w:hAnsi="Arial" w:cs="Tahoma"/>
          <w:sz w:val="20"/>
          <w:szCs w:val="20"/>
        </w:rPr>
        <w:t>-</w:t>
      </w:r>
      <w:r w:rsidR="00A461EC" w:rsidRPr="00A461EC">
        <w:rPr>
          <w:rFonts w:ascii="Arial" w:hAnsi="Arial" w:cs="Tahoma"/>
          <w:sz w:val="20"/>
          <w:szCs w:val="20"/>
        </w:rPr>
        <w:t>Lösungen</w:t>
      </w:r>
      <w:r w:rsidR="00A461EC">
        <w:rPr>
          <w:rFonts w:ascii="Arial" w:hAnsi="Arial" w:cs="Tahoma"/>
          <w:sz w:val="20"/>
          <w:szCs w:val="20"/>
        </w:rPr>
        <w:t xml:space="preserve">. </w:t>
      </w:r>
      <w:r w:rsidR="00BE3C7C">
        <w:rPr>
          <w:rFonts w:ascii="Arial" w:hAnsi="Arial" w:cs="Tahoma"/>
          <w:sz w:val="20"/>
          <w:szCs w:val="20"/>
        </w:rPr>
        <w:t xml:space="preserve">Seit 2007 ist er zudem an der Entwicklung einer </w:t>
      </w:r>
      <w:r w:rsidR="00BE3C7C" w:rsidRPr="00C6235A">
        <w:rPr>
          <w:rFonts w:ascii="Arial" w:hAnsi="Arial" w:cs="Tahoma"/>
          <w:sz w:val="20"/>
          <w:szCs w:val="20"/>
        </w:rPr>
        <w:t>zukunftsweisende</w:t>
      </w:r>
      <w:r w:rsidR="00BE3C7C">
        <w:rPr>
          <w:rFonts w:ascii="Arial" w:hAnsi="Arial" w:cs="Tahoma"/>
          <w:sz w:val="20"/>
          <w:szCs w:val="20"/>
        </w:rPr>
        <w:t>n</w:t>
      </w:r>
      <w:r w:rsidR="00BE3C7C" w:rsidRPr="00C6235A">
        <w:rPr>
          <w:rFonts w:ascii="Arial" w:hAnsi="Arial" w:cs="Tahoma"/>
          <w:sz w:val="20"/>
          <w:szCs w:val="20"/>
        </w:rPr>
        <w:t xml:space="preserve"> </w:t>
      </w:r>
      <w:r w:rsidR="00BE3C7C">
        <w:rPr>
          <w:rFonts w:ascii="Arial" w:hAnsi="Arial" w:cs="Tahoma"/>
          <w:sz w:val="20"/>
          <w:szCs w:val="20"/>
        </w:rPr>
        <w:t xml:space="preserve">hybriden </w:t>
      </w:r>
      <w:r w:rsidR="00BE3C7C" w:rsidRPr="00C6235A">
        <w:rPr>
          <w:rFonts w:ascii="Arial" w:hAnsi="Arial" w:cs="Tahoma"/>
          <w:sz w:val="20"/>
          <w:szCs w:val="20"/>
        </w:rPr>
        <w:t xml:space="preserve">Infrastrukturlösung </w:t>
      </w:r>
      <w:r w:rsidR="00BE3C7C">
        <w:rPr>
          <w:rFonts w:ascii="Arial" w:hAnsi="Arial" w:cs="Tahoma"/>
          <w:sz w:val="20"/>
          <w:szCs w:val="20"/>
        </w:rPr>
        <w:t>beteiligt, bei der</w:t>
      </w:r>
      <w:r w:rsidR="00BE3C7C" w:rsidRPr="00C6235A">
        <w:rPr>
          <w:rFonts w:ascii="Arial" w:hAnsi="Arial" w:cs="Tahoma"/>
          <w:sz w:val="20"/>
          <w:szCs w:val="20"/>
        </w:rPr>
        <w:t xml:space="preserve"> intelligente Straßenleuchten als Brückentechnologie zum Glasfaserausbau </w:t>
      </w:r>
      <w:r w:rsidR="00BE3C7C">
        <w:rPr>
          <w:rFonts w:ascii="Arial" w:hAnsi="Arial" w:cs="Tahoma"/>
          <w:sz w:val="20"/>
          <w:szCs w:val="20"/>
        </w:rPr>
        <w:t xml:space="preserve">das </w:t>
      </w:r>
      <w:r w:rsidR="00BE3C7C" w:rsidRPr="00C6235A">
        <w:rPr>
          <w:rFonts w:ascii="Arial" w:hAnsi="Arial" w:cs="Tahoma"/>
          <w:sz w:val="20"/>
          <w:szCs w:val="20"/>
        </w:rPr>
        <w:t>schnelle</w:t>
      </w:r>
      <w:r w:rsidR="00BE3C7C">
        <w:rPr>
          <w:rFonts w:ascii="Arial" w:hAnsi="Arial" w:cs="Tahoma"/>
          <w:sz w:val="20"/>
          <w:szCs w:val="20"/>
        </w:rPr>
        <w:t xml:space="preserve"> Internet bis zum Nutzer weiter</w:t>
      </w:r>
      <w:r w:rsidR="00BE3C7C" w:rsidRPr="00C6235A">
        <w:rPr>
          <w:rFonts w:ascii="Arial" w:hAnsi="Arial" w:cs="Tahoma"/>
          <w:sz w:val="20"/>
          <w:szCs w:val="20"/>
        </w:rPr>
        <w:t>leiten</w:t>
      </w:r>
      <w:r w:rsidR="00C6235A">
        <w:rPr>
          <w:rFonts w:ascii="Arial" w:hAnsi="Arial" w:cs="Tahoma"/>
          <w:sz w:val="20"/>
          <w:szCs w:val="20"/>
        </w:rPr>
        <w:t>.</w:t>
      </w:r>
    </w:p>
    <w:p w14:paraId="5B005D5F" w14:textId="548398E0" w:rsidR="00463FE6" w:rsidRPr="000655B7" w:rsidRDefault="00705635" w:rsidP="006F2189">
      <w:pPr>
        <w:spacing w:line="360" w:lineRule="auto"/>
        <w:rPr>
          <w:rFonts w:ascii="Arial" w:hAnsi="Arial" w:cs="Tahoma"/>
          <w:sz w:val="20"/>
          <w:szCs w:val="20"/>
        </w:rPr>
      </w:pPr>
      <w:r w:rsidRPr="00705635">
        <w:rPr>
          <w:rFonts w:ascii="Arial" w:hAnsi="Arial" w:cs="Tahoma"/>
          <w:sz w:val="20"/>
          <w:szCs w:val="20"/>
        </w:rPr>
        <w:t xml:space="preserve">Die </w:t>
      </w:r>
      <w:proofErr w:type="spellStart"/>
      <w:r w:rsidRPr="00705635">
        <w:rPr>
          <w:rFonts w:ascii="Arial" w:hAnsi="Arial" w:cs="Tahoma"/>
          <w:sz w:val="20"/>
          <w:szCs w:val="20"/>
        </w:rPr>
        <w:t>Vivax</w:t>
      </w:r>
      <w:proofErr w:type="spellEnd"/>
      <w:r w:rsidRPr="00705635">
        <w:rPr>
          <w:rFonts w:ascii="Arial" w:hAnsi="Arial" w:cs="Tahoma"/>
          <w:sz w:val="20"/>
          <w:szCs w:val="20"/>
        </w:rPr>
        <w:t xml:space="preserve"> GmbH wurde 200</w:t>
      </w:r>
      <w:r w:rsidR="0010198B">
        <w:rPr>
          <w:rFonts w:ascii="Arial" w:hAnsi="Arial" w:cs="Tahoma"/>
          <w:sz w:val="20"/>
          <w:szCs w:val="20"/>
        </w:rPr>
        <w:t>9</w:t>
      </w:r>
      <w:r w:rsidRPr="00705635">
        <w:rPr>
          <w:rFonts w:ascii="Arial" w:hAnsi="Arial" w:cs="Tahoma"/>
          <w:sz w:val="20"/>
          <w:szCs w:val="20"/>
        </w:rPr>
        <w:t xml:space="preserve"> gegründet und ist auf die Beratung von Unternehmen aus der Versorgungswirtschaft, öffentlichen Einrichtungen sowie Körperschaften des öffentlichen Rechts spezialisiert. Hinter </w:t>
      </w:r>
      <w:proofErr w:type="spellStart"/>
      <w:r w:rsidRPr="00705635">
        <w:rPr>
          <w:rFonts w:ascii="Arial" w:hAnsi="Arial" w:cs="Tahoma"/>
          <w:sz w:val="20"/>
          <w:szCs w:val="20"/>
        </w:rPr>
        <w:t>Vivax</w:t>
      </w:r>
      <w:proofErr w:type="spellEnd"/>
      <w:r w:rsidRPr="00705635">
        <w:rPr>
          <w:rFonts w:ascii="Arial" w:hAnsi="Arial" w:cs="Tahoma"/>
          <w:sz w:val="20"/>
          <w:szCs w:val="20"/>
        </w:rPr>
        <w:t xml:space="preserve"> stehen ausgewiesene Experten, die über jahrelange Erfahrungen sowohl auf Unternehmensseite als auch in der Beratung verfügen. </w:t>
      </w:r>
      <w:r w:rsidR="00B753D5">
        <w:rPr>
          <w:rFonts w:ascii="Arial" w:hAnsi="Arial" w:cs="Tahoma"/>
          <w:sz w:val="20"/>
          <w:szCs w:val="20"/>
        </w:rPr>
        <w:t>Im Fokus stehen dabei Strategie-, Prozess- und IT-Beratung, Organisationsentwicklung</w:t>
      </w:r>
      <w:r w:rsidRPr="00705635">
        <w:rPr>
          <w:rFonts w:ascii="Arial" w:hAnsi="Arial" w:cs="Tahoma"/>
          <w:sz w:val="20"/>
          <w:szCs w:val="20"/>
        </w:rPr>
        <w:t xml:space="preserve"> </w:t>
      </w:r>
      <w:r w:rsidR="00B753D5">
        <w:rPr>
          <w:rFonts w:ascii="Arial" w:hAnsi="Arial" w:cs="Tahoma"/>
          <w:sz w:val="20"/>
          <w:szCs w:val="20"/>
        </w:rPr>
        <w:t>sowie Projekt- und Interimsmanagement</w:t>
      </w:r>
      <w:r w:rsidRPr="00705635">
        <w:rPr>
          <w:rFonts w:ascii="Arial" w:hAnsi="Arial" w:cs="Tahoma"/>
          <w:sz w:val="20"/>
          <w:szCs w:val="20"/>
        </w:rPr>
        <w:t>.</w:t>
      </w:r>
      <w:r>
        <w:rPr>
          <w:rFonts w:ascii="Arial" w:hAnsi="Arial" w:cs="Tahoma"/>
          <w:sz w:val="20"/>
          <w:szCs w:val="20"/>
        </w:rPr>
        <w:t xml:space="preserve"> Mit der </w:t>
      </w:r>
      <w:proofErr w:type="spellStart"/>
      <w:r>
        <w:rPr>
          <w:rFonts w:ascii="Arial" w:hAnsi="Arial" w:cs="Tahoma"/>
          <w:sz w:val="20"/>
          <w:szCs w:val="20"/>
        </w:rPr>
        <w:t>Vivax</w:t>
      </w:r>
      <w:proofErr w:type="spellEnd"/>
      <w:r>
        <w:rPr>
          <w:rFonts w:ascii="Arial" w:hAnsi="Arial" w:cs="Tahoma"/>
          <w:sz w:val="20"/>
          <w:szCs w:val="20"/>
        </w:rPr>
        <w:t xml:space="preserve"> Prozessanalyse verfügt das Unternehmen über ein </w:t>
      </w:r>
      <w:r w:rsidR="00B753D5">
        <w:rPr>
          <w:rFonts w:ascii="Arial" w:hAnsi="Arial" w:cs="Tahoma"/>
          <w:sz w:val="20"/>
          <w:szCs w:val="20"/>
        </w:rPr>
        <w:t xml:space="preserve">eigenes </w:t>
      </w:r>
      <w:r w:rsidR="006F2189">
        <w:rPr>
          <w:rFonts w:ascii="Arial" w:hAnsi="Arial" w:cs="Tahoma"/>
          <w:sz w:val="20"/>
          <w:szCs w:val="20"/>
        </w:rPr>
        <w:t>Software-</w:t>
      </w:r>
      <w:r>
        <w:rPr>
          <w:rFonts w:ascii="Arial" w:hAnsi="Arial" w:cs="Tahoma"/>
          <w:sz w:val="20"/>
          <w:szCs w:val="20"/>
        </w:rPr>
        <w:t xml:space="preserve">Werkzeug, in dem spartenübergreifend 700 versorgertypische Prozesse mit mehr als 15.000 dazugehörigen Einzelaufgaben hinterlegt sind. Damit können Versorgungsunternehmen </w:t>
      </w:r>
      <w:r w:rsidR="006F2189">
        <w:rPr>
          <w:rFonts w:ascii="Arial" w:hAnsi="Arial" w:cs="Tahoma"/>
          <w:sz w:val="20"/>
          <w:szCs w:val="20"/>
        </w:rPr>
        <w:t>ihre</w:t>
      </w:r>
      <w:r>
        <w:rPr>
          <w:rFonts w:ascii="Arial" w:hAnsi="Arial" w:cs="Tahoma"/>
          <w:sz w:val="20"/>
          <w:szCs w:val="20"/>
        </w:rPr>
        <w:t xml:space="preserve"> eigenen </w:t>
      </w:r>
      <w:r w:rsidR="00B753D5">
        <w:rPr>
          <w:rFonts w:ascii="Arial" w:hAnsi="Arial" w:cs="Tahoma"/>
          <w:sz w:val="20"/>
          <w:szCs w:val="20"/>
        </w:rPr>
        <w:t>Abläufe</w:t>
      </w:r>
      <w:r>
        <w:rPr>
          <w:rFonts w:ascii="Arial" w:hAnsi="Arial" w:cs="Tahoma"/>
          <w:sz w:val="20"/>
          <w:szCs w:val="20"/>
        </w:rPr>
        <w:t xml:space="preserve"> sehr einfach auf Kosten und Aufwände hin </w:t>
      </w:r>
      <w:r w:rsidR="006F2189">
        <w:rPr>
          <w:rFonts w:ascii="Arial" w:hAnsi="Arial" w:cs="Tahoma"/>
          <w:sz w:val="20"/>
          <w:szCs w:val="20"/>
        </w:rPr>
        <w:t>analysieren</w:t>
      </w:r>
      <w:r>
        <w:rPr>
          <w:rFonts w:ascii="Arial" w:hAnsi="Arial" w:cs="Tahoma"/>
          <w:sz w:val="20"/>
          <w:szCs w:val="20"/>
        </w:rPr>
        <w:t xml:space="preserve"> und so ein permanentes Prozesscontrolling aufbauen. Mit seinem „</w:t>
      </w:r>
      <w:proofErr w:type="spellStart"/>
      <w:r>
        <w:rPr>
          <w:rFonts w:ascii="Arial" w:hAnsi="Arial" w:cs="Tahoma"/>
          <w:sz w:val="20"/>
          <w:szCs w:val="20"/>
        </w:rPr>
        <w:t>Bottom-up</w:t>
      </w:r>
      <w:proofErr w:type="spellEnd"/>
      <w:r>
        <w:rPr>
          <w:rFonts w:ascii="Arial" w:hAnsi="Arial" w:cs="Tahoma"/>
          <w:sz w:val="20"/>
          <w:szCs w:val="20"/>
        </w:rPr>
        <w:t>“</w:t>
      </w:r>
      <w:r w:rsidR="006F2189">
        <w:rPr>
          <w:rFonts w:ascii="Arial" w:hAnsi="Arial" w:cs="Tahoma"/>
          <w:sz w:val="20"/>
          <w:szCs w:val="20"/>
        </w:rPr>
        <w:t xml:space="preserve">-Beratungsansatz sorgt </w:t>
      </w:r>
      <w:proofErr w:type="spellStart"/>
      <w:r w:rsidR="006F2189">
        <w:rPr>
          <w:rFonts w:ascii="Arial" w:hAnsi="Arial" w:cs="Tahoma"/>
          <w:sz w:val="20"/>
          <w:szCs w:val="20"/>
        </w:rPr>
        <w:t>Viva</w:t>
      </w:r>
      <w:r>
        <w:rPr>
          <w:rFonts w:ascii="Arial" w:hAnsi="Arial" w:cs="Tahoma"/>
          <w:sz w:val="20"/>
          <w:szCs w:val="20"/>
        </w:rPr>
        <w:t>x</w:t>
      </w:r>
      <w:proofErr w:type="spellEnd"/>
      <w:r>
        <w:rPr>
          <w:rFonts w:ascii="Arial" w:hAnsi="Arial" w:cs="Tahoma"/>
          <w:sz w:val="20"/>
          <w:szCs w:val="20"/>
        </w:rPr>
        <w:t xml:space="preserve"> zudem dafür, das</w:t>
      </w:r>
      <w:r w:rsidR="006F2189">
        <w:rPr>
          <w:rFonts w:ascii="Arial" w:hAnsi="Arial" w:cs="Tahoma"/>
          <w:sz w:val="20"/>
          <w:szCs w:val="20"/>
        </w:rPr>
        <w:t>s der Veränderungsprozess im Unternehmen nachhaltig unterstützt und von den Mitarbeitern selbst getragen wird.</w:t>
      </w:r>
    </w:p>
    <w:tbl>
      <w:tblPr>
        <w:tblW w:w="9180" w:type="dxa"/>
        <w:tblLook w:val="04A0" w:firstRow="1" w:lastRow="0" w:firstColumn="1" w:lastColumn="0" w:noHBand="0" w:noVBand="1"/>
      </w:tblPr>
      <w:tblGrid>
        <w:gridCol w:w="4361"/>
        <w:gridCol w:w="4819"/>
      </w:tblGrid>
      <w:tr w:rsidR="00CD3EF6" w:rsidRPr="000655B7" w14:paraId="776D8C01" w14:textId="77777777" w:rsidTr="00BF3BB4">
        <w:tc>
          <w:tcPr>
            <w:tcW w:w="4361" w:type="dxa"/>
            <w:shd w:val="clear" w:color="auto" w:fill="auto"/>
          </w:tcPr>
          <w:p w14:paraId="380AE0B3" w14:textId="42EBA2E0" w:rsidR="00CD3EF6" w:rsidRPr="008457BE" w:rsidRDefault="00CD3EF6" w:rsidP="008457BE">
            <w:pPr>
              <w:widowControl w:val="0"/>
              <w:tabs>
                <w:tab w:val="left" w:pos="3969"/>
              </w:tabs>
              <w:autoSpaceDE w:val="0"/>
              <w:autoSpaceDN w:val="0"/>
              <w:adjustRightInd w:val="0"/>
              <w:spacing w:line="240" w:lineRule="auto"/>
              <w:ind w:left="-109" w:right="176"/>
              <w:rPr>
                <w:rFonts w:ascii="Arial" w:hAnsi="Arial" w:cs="Calibri"/>
                <w:sz w:val="16"/>
                <w:szCs w:val="26"/>
                <w:lang w:eastAsia="de-DE"/>
              </w:rPr>
            </w:pPr>
            <w:r w:rsidRPr="000655B7">
              <w:rPr>
                <w:rFonts w:ascii="Arial" w:hAnsi="Arial" w:cs="Calibri"/>
                <w:b/>
                <w:sz w:val="16"/>
                <w:szCs w:val="26"/>
                <w:lang w:eastAsia="de-DE"/>
              </w:rPr>
              <w:t>Kontaktdaten:</w:t>
            </w:r>
            <w:r w:rsidRPr="000655B7">
              <w:rPr>
                <w:rFonts w:ascii="Arial" w:hAnsi="Arial" w:cs="Calibri"/>
                <w:b/>
                <w:sz w:val="16"/>
                <w:szCs w:val="26"/>
                <w:lang w:eastAsia="de-DE"/>
              </w:rPr>
              <w:br/>
            </w:r>
            <w:proofErr w:type="spellStart"/>
            <w:r w:rsidRPr="000655B7">
              <w:rPr>
                <w:rFonts w:ascii="Arial" w:hAnsi="Arial" w:cs="Calibri"/>
                <w:sz w:val="16"/>
                <w:szCs w:val="26"/>
                <w:lang w:eastAsia="de-DE"/>
              </w:rPr>
              <w:t>Vivax</w:t>
            </w:r>
            <w:proofErr w:type="spellEnd"/>
            <w:r w:rsidRPr="000655B7">
              <w:rPr>
                <w:rFonts w:ascii="Arial" w:hAnsi="Arial" w:cs="Calibri"/>
                <w:sz w:val="16"/>
                <w:szCs w:val="26"/>
                <w:lang w:eastAsia="de-DE"/>
              </w:rPr>
              <w:t xml:space="preserve"> GmbH – Dirk </w:t>
            </w:r>
            <w:proofErr w:type="spellStart"/>
            <w:r w:rsidRPr="000655B7">
              <w:rPr>
                <w:rFonts w:ascii="Arial" w:hAnsi="Arial" w:cs="Calibri"/>
                <w:sz w:val="16"/>
                <w:szCs w:val="26"/>
                <w:lang w:eastAsia="de-DE"/>
              </w:rPr>
              <w:t>Fieml</w:t>
            </w:r>
            <w:proofErr w:type="spellEnd"/>
            <w:r w:rsidRPr="000655B7">
              <w:rPr>
                <w:rFonts w:ascii="Arial" w:hAnsi="Arial" w:cs="Calibri"/>
                <w:sz w:val="16"/>
                <w:szCs w:val="26"/>
                <w:lang w:eastAsia="de-DE"/>
              </w:rPr>
              <w:br/>
            </w:r>
            <w:r w:rsidR="008457BE" w:rsidRPr="008457BE">
              <w:rPr>
                <w:rFonts w:ascii="Arial" w:hAnsi="Arial" w:cs="Calibri"/>
                <w:sz w:val="16"/>
                <w:szCs w:val="26"/>
                <w:lang w:eastAsia="de-DE"/>
              </w:rPr>
              <w:t>Kurfürstendamm 194</w:t>
            </w:r>
            <w:r w:rsidR="008457BE">
              <w:rPr>
                <w:rFonts w:ascii="Arial" w:hAnsi="Arial" w:cs="Calibri"/>
                <w:sz w:val="16"/>
                <w:szCs w:val="26"/>
                <w:lang w:eastAsia="de-DE"/>
              </w:rPr>
              <w:t xml:space="preserve"> – </w:t>
            </w:r>
            <w:r w:rsidR="008457BE" w:rsidRPr="008457BE">
              <w:rPr>
                <w:rFonts w:ascii="Arial" w:hAnsi="Arial" w:cs="Calibri"/>
                <w:sz w:val="16"/>
                <w:szCs w:val="26"/>
                <w:lang w:eastAsia="de-DE"/>
              </w:rPr>
              <w:t>10707 Berlin</w:t>
            </w:r>
            <w:r w:rsidR="008457BE">
              <w:rPr>
                <w:rFonts w:ascii="Arial" w:hAnsi="Arial" w:cs="Calibri"/>
                <w:sz w:val="16"/>
                <w:szCs w:val="26"/>
                <w:lang w:eastAsia="de-DE"/>
              </w:rPr>
              <w:br/>
            </w:r>
            <w:r w:rsidRPr="008457BE">
              <w:rPr>
                <w:rFonts w:ascii="Arial" w:hAnsi="Arial" w:cs="Calibri"/>
                <w:sz w:val="16"/>
                <w:szCs w:val="26"/>
                <w:lang w:eastAsia="de-DE"/>
              </w:rPr>
              <w:t xml:space="preserve">Tel: </w:t>
            </w:r>
            <w:r w:rsidR="008457BE">
              <w:rPr>
                <w:rFonts w:ascii="Arial" w:hAnsi="Arial" w:cs="Calibri"/>
                <w:sz w:val="16"/>
                <w:szCs w:val="26"/>
                <w:lang w:eastAsia="de-DE"/>
              </w:rPr>
              <w:t>+</w:t>
            </w:r>
            <w:r w:rsidR="008457BE" w:rsidRPr="008457BE">
              <w:rPr>
                <w:rFonts w:ascii="Arial" w:hAnsi="Arial" w:cs="Calibri"/>
                <w:sz w:val="16"/>
                <w:szCs w:val="26"/>
                <w:lang w:eastAsia="de-DE"/>
              </w:rPr>
              <w:t>49 30 700 159 805</w:t>
            </w:r>
            <w:r w:rsidR="008457BE">
              <w:rPr>
                <w:rFonts w:ascii="Arial" w:hAnsi="Arial" w:cs="Calibri"/>
                <w:sz w:val="16"/>
                <w:szCs w:val="26"/>
                <w:lang w:eastAsia="de-DE"/>
              </w:rPr>
              <w:br/>
            </w:r>
            <w:hyperlink r:id="rId7" w:history="1">
              <w:r w:rsidR="0010198B" w:rsidRPr="0082244C">
                <w:rPr>
                  <w:rStyle w:val="Hyperlink"/>
                  <w:rFonts w:ascii="Arial" w:hAnsi="Arial" w:cs="Calibri"/>
                  <w:sz w:val="16"/>
                  <w:szCs w:val="26"/>
                  <w:lang w:eastAsia="de-DE"/>
                </w:rPr>
                <w:t>d.fieml@vivax.consulting</w:t>
              </w:r>
            </w:hyperlink>
            <w:r w:rsidR="0010198B" w:rsidRPr="008457BE">
              <w:rPr>
                <w:rFonts w:ascii="Arial" w:hAnsi="Arial" w:cs="Calibri"/>
                <w:sz w:val="16"/>
                <w:szCs w:val="26"/>
                <w:lang w:eastAsia="de-DE"/>
              </w:rPr>
              <w:br/>
              <w:t>www.viva</w:t>
            </w:r>
            <w:r w:rsidR="0010198B">
              <w:rPr>
                <w:rFonts w:ascii="Arial" w:hAnsi="Arial" w:cs="Calibri"/>
                <w:sz w:val="16"/>
                <w:szCs w:val="26"/>
                <w:lang w:eastAsia="de-DE"/>
              </w:rPr>
              <w:t>x.consulting</w:t>
            </w:r>
          </w:p>
          <w:p w14:paraId="145B0F0B" w14:textId="77777777" w:rsidR="00CD3EF6" w:rsidRPr="008457BE" w:rsidRDefault="00CD3EF6" w:rsidP="00CD3EF6">
            <w:pPr>
              <w:widowControl w:val="0"/>
              <w:tabs>
                <w:tab w:val="left" w:pos="2977"/>
                <w:tab w:val="left" w:pos="3969"/>
              </w:tabs>
              <w:autoSpaceDE w:val="0"/>
              <w:autoSpaceDN w:val="0"/>
              <w:adjustRightInd w:val="0"/>
              <w:spacing w:line="240" w:lineRule="auto"/>
              <w:ind w:right="176"/>
              <w:rPr>
                <w:rFonts w:ascii="Arial" w:hAnsi="Arial" w:cs="Calibri"/>
                <w:color w:val="0000FF"/>
                <w:sz w:val="16"/>
                <w:szCs w:val="26"/>
                <w:u w:val="single"/>
                <w:lang w:eastAsia="de-DE"/>
              </w:rPr>
            </w:pPr>
          </w:p>
        </w:tc>
        <w:tc>
          <w:tcPr>
            <w:tcW w:w="4819" w:type="dxa"/>
            <w:shd w:val="clear" w:color="auto" w:fill="auto"/>
          </w:tcPr>
          <w:p w14:paraId="045CCE93" w14:textId="630DF6C0" w:rsidR="00CD3EF6" w:rsidRPr="000655B7" w:rsidRDefault="00CD3EF6" w:rsidP="00CD3EF6">
            <w:pPr>
              <w:widowControl w:val="0"/>
              <w:autoSpaceDE w:val="0"/>
              <w:autoSpaceDN w:val="0"/>
              <w:adjustRightInd w:val="0"/>
              <w:spacing w:line="240" w:lineRule="auto"/>
              <w:ind w:left="34" w:right="742"/>
              <w:rPr>
                <w:rFonts w:ascii="Arial" w:hAnsi="Arial" w:cs="Calibri"/>
                <w:b/>
                <w:sz w:val="16"/>
                <w:szCs w:val="26"/>
                <w:lang w:eastAsia="de-DE"/>
              </w:rPr>
            </w:pPr>
            <w:r w:rsidRPr="000655B7">
              <w:rPr>
                <w:rFonts w:ascii="Arial" w:hAnsi="Arial" w:cs="Calibri"/>
                <w:b/>
                <w:sz w:val="16"/>
                <w:szCs w:val="26"/>
                <w:lang w:eastAsia="de-DE"/>
              </w:rPr>
              <w:t>Presse- und Öffentlichkeitsarbeit:</w:t>
            </w:r>
            <w:r w:rsidRPr="000655B7">
              <w:rPr>
                <w:rFonts w:ascii="Arial" w:hAnsi="Arial" w:cs="Calibri"/>
                <w:b/>
                <w:sz w:val="16"/>
                <w:szCs w:val="26"/>
                <w:lang w:eastAsia="de-DE"/>
              </w:rPr>
              <w:br/>
            </w:r>
            <w:r w:rsidRPr="000655B7">
              <w:rPr>
                <w:rFonts w:ascii="Arial" w:hAnsi="Arial" w:cs="Calibri"/>
                <w:sz w:val="16"/>
                <w:szCs w:val="26"/>
                <w:lang w:eastAsia="de-DE"/>
              </w:rPr>
              <w:t>Uwe Pagel – Press’n’Relations GmbH</w:t>
            </w:r>
            <w:r w:rsidRPr="000655B7">
              <w:rPr>
                <w:rFonts w:ascii="Arial" w:hAnsi="Arial" w:cs="Calibri"/>
                <w:sz w:val="16"/>
                <w:szCs w:val="26"/>
                <w:lang w:eastAsia="de-DE"/>
              </w:rPr>
              <w:br/>
              <w:t>Magirusstraße 33 – D-89077 Ulm</w:t>
            </w:r>
            <w:r w:rsidRPr="000655B7">
              <w:rPr>
                <w:rFonts w:ascii="Arial" w:hAnsi="Arial" w:cs="Calibri"/>
                <w:sz w:val="16"/>
                <w:szCs w:val="26"/>
                <w:lang w:eastAsia="de-DE"/>
              </w:rPr>
              <w:br/>
              <w:t xml:space="preserve">Tel.: +49 731 962 87-29 </w:t>
            </w:r>
            <w:r w:rsidRPr="000655B7">
              <w:rPr>
                <w:rFonts w:ascii="Arial" w:hAnsi="Arial" w:cs="Calibri"/>
                <w:sz w:val="16"/>
                <w:szCs w:val="26"/>
                <w:lang w:eastAsia="de-DE"/>
              </w:rPr>
              <w:br/>
            </w:r>
            <w:hyperlink r:id="rId8" w:history="1">
              <w:r w:rsidRPr="000655B7">
                <w:rPr>
                  <w:rStyle w:val="Hyperlink"/>
                  <w:rFonts w:ascii="Arial" w:hAnsi="Arial" w:cs="Calibri"/>
                  <w:sz w:val="16"/>
                  <w:szCs w:val="26"/>
                  <w:lang w:eastAsia="de-DE"/>
                </w:rPr>
                <w:t>upa@press-n-relations.de</w:t>
              </w:r>
            </w:hyperlink>
            <w:r w:rsidRPr="000655B7">
              <w:rPr>
                <w:rFonts w:ascii="Arial" w:hAnsi="Arial" w:cs="Calibri"/>
                <w:sz w:val="16"/>
                <w:szCs w:val="26"/>
                <w:lang w:eastAsia="de-DE"/>
              </w:rPr>
              <w:br/>
              <w:t>www.press-n-relations.com</w:t>
            </w:r>
          </w:p>
        </w:tc>
      </w:tr>
    </w:tbl>
    <w:p w14:paraId="40A101D1" w14:textId="23161F01" w:rsidR="001D2FB7" w:rsidRPr="000655B7" w:rsidRDefault="002B3E9E" w:rsidP="001C51EC">
      <w:pPr>
        <w:widowControl w:val="0"/>
        <w:autoSpaceDE w:val="0"/>
        <w:autoSpaceDN w:val="0"/>
        <w:adjustRightInd w:val="0"/>
        <w:spacing w:line="240" w:lineRule="auto"/>
        <w:ind w:left="34"/>
        <w:rPr>
          <w:rFonts w:ascii="Arial" w:hAnsi="Arial" w:cs="Calibri"/>
          <w:sz w:val="16"/>
          <w:szCs w:val="26"/>
          <w:lang w:eastAsia="de-DE"/>
        </w:rPr>
      </w:pPr>
      <w:r w:rsidRPr="000655B7">
        <w:rPr>
          <w:rFonts w:ascii="Arial" w:hAnsi="Arial" w:cs="Calibri"/>
          <w:sz w:val="16"/>
          <w:szCs w:val="26"/>
          <w:lang w:eastAsia="de-DE"/>
        </w:rPr>
        <w:t xml:space="preserve">Die </w:t>
      </w:r>
      <w:proofErr w:type="spellStart"/>
      <w:r w:rsidRPr="000655B7">
        <w:rPr>
          <w:rFonts w:ascii="Arial" w:hAnsi="Arial" w:cs="Calibri"/>
          <w:sz w:val="16"/>
          <w:szCs w:val="26"/>
          <w:lang w:eastAsia="de-DE"/>
        </w:rPr>
        <w:t>Vivax</w:t>
      </w:r>
      <w:proofErr w:type="spellEnd"/>
      <w:r w:rsidRPr="000655B7">
        <w:rPr>
          <w:rFonts w:ascii="Arial" w:hAnsi="Arial" w:cs="Calibri"/>
          <w:sz w:val="16"/>
          <w:szCs w:val="26"/>
          <w:lang w:eastAsia="de-DE"/>
        </w:rPr>
        <w:t xml:space="preserve"> GmbH </w:t>
      </w:r>
      <w:r w:rsidR="008457BE" w:rsidRPr="000655B7">
        <w:rPr>
          <w:rFonts w:ascii="Arial" w:hAnsi="Arial" w:cs="Calibri"/>
          <w:sz w:val="16"/>
          <w:szCs w:val="26"/>
          <w:lang w:eastAsia="de-DE"/>
        </w:rPr>
        <w:t xml:space="preserve">mit Sitz in </w:t>
      </w:r>
      <w:r w:rsidR="008457BE">
        <w:rPr>
          <w:rFonts w:ascii="Arial" w:hAnsi="Arial" w:cs="Calibri"/>
          <w:sz w:val="16"/>
          <w:szCs w:val="26"/>
          <w:lang w:eastAsia="de-DE"/>
        </w:rPr>
        <w:t>Berlin</w:t>
      </w:r>
      <w:r w:rsidR="008457BE" w:rsidRPr="000655B7">
        <w:rPr>
          <w:rFonts w:ascii="Arial" w:hAnsi="Arial" w:cs="Calibri"/>
          <w:sz w:val="16"/>
          <w:szCs w:val="26"/>
          <w:lang w:eastAsia="de-DE"/>
        </w:rPr>
        <w:t xml:space="preserve"> </w:t>
      </w:r>
      <w:r w:rsidRPr="000655B7">
        <w:rPr>
          <w:rFonts w:ascii="Arial" w:hAnsi="Arial" w:cs="Calibri"/>
          <w:sz w:val="16"/>
          <w:szCs w:val="26"/>
          <w:lang w:eastAsia="de-DE"/>
        </w:rPr>
        <w:t>wurde 200</w:t>
      </w:r>
      <w:r w:rsidR="0010198B">
        <w:rPr>
          <w:rFonts w:ascii="Arial" w:hAnsi="Arial" w:cs="Calibri"/>
          <w:sz w:val="16"/>
          <w:szCs w:val="26"/>
          <w:lang w:eastAsia="de-DE"/>
        </w:rPr>
        <w:t>9</w:t>
      </w:r>
      <w:r w:rsidRPr="000655B7">
        <w:rPr>
          <w:rFonts w:ascii="Arial" w:hAnsi="Arial" w:cs="Calibri"/>
          <w:sz w:val="16"/>
          <w:szCs w:val="26"/>
          <w:lang w:eastAsia="de-DE"/>
        </w:rPr>
        <w:t xml:space="preserve"> gegründet und ist auf die Beratung von Unternehmen aus der Versorgungswirtschaft, öffentlichen Einrichtungen sowie Körperschaften des öffentlichen Rechts spezialisiert. Hinter </w:t>
      </w:r>
      <w:proofErr w:type="spellStart"/>
      <w:r w:rsidRPr="000655B7">
        <w:rPr>
          <w:rFonts w:ascii="Arial" w:hAnsi="Arial" w:cs="Calibri"/>
          <w:sz w:val="16"/>
          <w:szCs w:val="26"/>
          <w:lang w:eastAsia="de-DE"/>
        </w:rPr>
        <w:t>Vivax</w:t>
      </w:r>
      <w:proofErr w:type="spellEnd"/>
      <w:r w:rsidRPr="000655B7">
        <w:rPr>
          <w:rFonts w:ascii="Arial" w:hAnsi="Arial" w:cs="Calibri"/>
          <w:sz w:val="16"/>
          <w:szCs w:val="26"/>
          <w:lang w:eastAsia="de-DE"/>
        </w:rPr>
        <w:t xml:space="preserve"> stehen ausgewiesene Experten, die über jahrelange Erfahrungen sowohl auf Unternehmensseite als auch in der Beratung verfügen. Das Unternehmen hat sich vor allem auf die Beratung in den Feldern „Management“, „Prozesse“ und „Organisation“ spezialisiert.</w:t>
      </w:r>
      <w:bookmarkEnd w:id="0"/>
    </w:p>
    <w:sectPr w:rsidR="001D2FB7" w:rsidRPr="000655B7" w:rsidSect="000655B7">
      <w:headerReference w:type="default" r:id="rId9"/>
      <w:pgSz w:w="12240" w:h="15840"/>
      <w:pgMar w:top="1701" w:right="3735" w:bottom="1134"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AA487A" w14:textId="77777777" w:rsidR="000F4F9D" w:rsidRDefault="000F4F9D" w:rsidP="00BF70FE">
      <w:pPr>
        <w:spacing w:after="0" w:line="240" w:lineRule="auto"/>
      </w:pPr>
      <w:r>
        <w:separator/>
      </w:r>
    </w:p>
  </w:endnote>
  <w:endnote w:type="continuationSeparator" w:id="0">
    <w:p w14:paraId="34462435" w14:textId="77777777" w:rsidR="000F4F9D" w:rsidRDefault="000F4F9D"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egoe UI">
    <w:altName w:val="Arial"/>
    <w:panose1 w:val="020B0604020202020204"/>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AD8020" w14:textId="77777777" w:rsidR="000F4F9D" w:rsidRDefault="000F4F9D" w:rsidP="00BF70FE">
      <w:pPr>
        <w:spacing w:after="0" w:line="240" w:lineRule="auto"/>
      </w:pPr>
      <w:r>
        <w:separator/>
      </w:r>
    </w:p>
  </w:footnote>
  <w:footnote w:type="continuationSeparator" w:id="0">
    <w:p w14:paraId="107F015A" w14:textId="77777777" w:rsidR="000F4F9D" w:rsidRDefault="000F4F9D" w:rsidP="00BF7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049685" w14:textId="77777777" w:rsidR="00B96701" w:rsidRDefault="00B96701" w:rsidP="002757A3">
    <w:pPr>
      <w:pStyle w:val="Kopfzeile"/>
      <w:ind w:right="-2268"/>
      <w:jc w:val="right"/>
    </w:pPr>
    <w:r>
      <w:rPr>
        <w:noProof/>
        <w:lang w:eastAsia="de-DE"/>
      </w:rPr>
      <w:drawing>
        <wp:inline distT="0" distB="0" distL="0" distR="0" wp14:anchorId="6F3DF14F" wp14:editId="365F5EBB">
          <wp:extent cx="1091184" cy="292608"/>
          <wp:effectExtent l="0" t="0" r="1270" b="12700"/>
          <wp:docPr id="4"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png"/>
                  <pic:cNvPicPr/>
                </pic:nvPicPr>
                <pic:blipFill>
                  <a:blip r:embed="rId1">
                    <a:extLst>
                      <a:ext uri="{28A0092B-C50C-407E-A947-70E740481C1C}">
                        <a14:useLocalDpi xmlns:a14="http://schemas.microsoft.com/office/drawing/2010/main" val="0"/>
                      </a:ext>
                    </a:extLst>
                  </a:blip>
                  <a:stretch>
                    <a:fillRect/>
                  </a:stretch>
                </pic:blipFill>
                <pic:spPr>
                  <a:xfrm>
                    <a:off x="0" y="0"/>
                    <a:ext cx="1091184" cy="292608"/>
                  </a:xfrm>
                  <a:prstGeom prst="rect">
                    <a:avLst/>
                  </a:prstGeom>
                </pic:spPr>
              </pic:pic>
            </a:graphicData>
          </a:graphic>
        </wp:inline>
      </w:drawing>
    </w:r>
    <w:r>
      <w:rPr>
        <w:noProof/>
        <w:lang w:eastAsia="de-DE"/>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7"/>
  <w:proofState w:spelling="clean" w:grammar="clean"/>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655B7"/>
    <w:rsid w:val="000823CF"/>
    <w:rsid w:val="000C4746"/>
    <w:rsid w:val="000F4F9D"/>
    <w:rsid w:val="0010198B"/>
    <w:rsid w:val="00104674"/>
    <w:rsid w:val="00106821"/>
    <w:rsid w:val="00181FBB"/>
    <w:rsid w:val="00187FC7"/>
    <w:rsid w:val="001C51EC"/>
    <w:rsid w:val="001D2FB7"/>
    <w:rsid w:val="00205941"/>
    <w:rsid w:val="00262A08"/>
    <w:rsid w:val="00265589"/>
    <w:rsid w:val="002757A3"/>
    <w:rsid w:val="002A7E29"/>
    <w:rsid w:val="002B3E9E"/>
    <w:rsid w:val="002D5B66"/>
    <w:rsid w:val="0030091A"/>
    <w:rsid w:val="00314048"/>
    <w:rsid w:val="003274D8"/>
    <w:rsid w:val="0035256E"/>
    <w:rsid w:val="00362AE7"/>
    <w:rsid w:val="003953CA"/>
    <w:rsid w:val="003A3B30"/>
    <w:rsid w:val="003C0B6F"/>
    <w:rsid w:val="00406C69"/>
    <w:rsid w:val="004137FD"/>
    <w:rsid w:val="004422BD"/>
    <w:rsid w:val="004540FC"/>
    <w:rsid w:val="00463FE6"/>
    <w:rsid w:val="00497AEF"/>
    <w:rsid w:val="00556FEE"/>
    <w:rsid w:val="00557F58"/>
    <w:rsid w:val="00576E59"/>
    <w:rsid w:val="005F63B7"/>
    <w:rsid w:val="006F2189"/>
    <w:rsid w:val="00705635"/>
    <w:rsid w:val="00732F57"/>
    <w:rsid w:val="00751621"/>
    <w:rsid w:val="007768B7"/>
    <w:rsid w:val="00785A83"/>
    <w:rsid w:val="00785BC8"/>
    <w:rsid w:val="00822F51"/>
    <w:rsid w:val="008457BE"/>
    <w:rsid w:val="00872E24"/>
    <w:rsid w:val="0094694E"/>
    <w:rsid w:val="00953399"/>
    <w:rsid w:val="00A257D2"/>
    <w:rsid w:val="00A32BA5"/>
    <w:rsid w:val="00A461EC"/>
    <w:rsid w:val="00A462DC"/>
    <w:rsid w:val="00A56E5A"/>
    <w:rsid w:val="00AC6091"/>
    <w:rsid w:val="00B11CFE"/>
    <w:rsid w:val="00B27B9D"/>
    <w:rsid w:val="00B71C92"/>
    <w:rsid w:val="00B753D5"/>
    <w:rsid w:val="00B96701"/>
    <w:rsid w:val="00BE3C7C"/>
    <w:rsid w:val="00BF3BB4"/>
    <w:rsid w:val="00BF70FE"/>
    <w:rsid w:val="00C27553"/>
    <w:rsid w:val="00C6235A"/>
    <w:rsid w:val="00C91823"/>
    <w:rsid w:val="00CB2102"/>
    <w:rsid w:val="00CC44E9"/>
    <w:rsid w:val="00CD3EF6"/>
    <w:rsid w:val="00CD5183"/>
    <w:rsid w:val="00D02991"/>
    <w:rsid w:val="00D16EBD"/>
    <w:rsid w:val="00D429BE"/>
    <w:rsid w:val="00DF581E"/>
    <w:rsid w:val="00E14982"/>
    <w:rsid w:val="00E26B5E"/>
    <w:rsid w:val="00E37F9E"/>
    <w:rsid w:val="00E6120F"/>
    <w:rsid w:val="00E704E3"/>
    <w:rsid w:val="00E73FD3"/>
    <w:rsid w:val="00E92706"/>
    <w:rsid w:val="00EB6A45"/>
    <w:rsid w:val="00ED48B5"/>
    <w:rsid w:val="00EF4362"/>
    <w:rsid w:val="00F94262"/>
    <w:rsid w:val="00F965C4"/>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6DFBD88"/>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3" Type="http://schemas.openxmlformats.org/officeDocument/2006/relationships/settings" Target="settings.xml"/><Relationship Id="rId7" Type="http://schemas.openxmlformats.org/officeDocument/2006/relationships/hyperlink" Target="mailto:d.fieml@vivax.consultin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615</Words>
  <Characters>3880</Characters>
  <Application>Microsoft Office Word</Application>
  <DocSecurity>0</DocSecurity>
  <Lines>32</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Uwe Pagel</cp:lastModifiedBy>
  <cp:revision>4</cp:revision>
  <cp:lastPrinted>2018-05-22T13:00:00Z</cp:lastPrinted>
  <dcterms:created xsi:type="dcterms:W3CDTF">2018-06-06T08:55:00Z</dcterms:created>
  <dcterms:modified xsi:type="dcterms:W3CDTF">2018-06-07T06:19:00Z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306931540</vt:i4>
  </property>
  <property fmtid="{D5CDD505-2E9C-101B-9397-08002B2CF9AE}" pid="3" name="_NewReviewCycle">
    <vt:lpwstr/>
  </property>
  <property fmtid="{D5CDD505-2E9C-101B-9397-08002B2CF9AE}" pid="4" name="_EmailSubject">
    <vt:lpwstr>Presseinfo STI Energiewirtschaft</vt:lpwstr>
  </property>
  <property fmtid="{D5CDD505-2E9C-101B-9397-08002B2CF9AE}" pid="5" name="_AuthorEmail">
    <vt:lpwstr>d.fieml@vivax-gmbh.net</vt:lpwstr>
  </property>
  <property fmtid="{D5CDD505-2E9C-101B-9397-08002B2CF9AE}" pid="6" name="_AuthorEmailDisplayName">
    <vt:lpwstr>Dirk Fieml</vt:lpwstr>
  </property>
</Properties>
</file>