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038E05" w14:textId="77777777" w:rsidR="005D3D1E" w:rsidRDefault="005D3D1E" w:rsidP="005D3D1E">
      <w:pPr>
        <w:autoSpaceDE w:val="0"/>
        <w:autoSpaceDN w:val="0"/>
        <w:adjustRightInd w:val="0"/>
        <w:spacing w:after="0" w:line="240" w:lineRule="auto"/>
        <w:rPr>
          <w:rFonts w:ascii="Arial" w:hAnsi="Arial" w:cs="Arial"/>
          <w:b/>
          <w:color w:val="000000"/>
          <w:sz w:val="24"/>
          <w:szCs w:val="24"/>
        </w:rPr>
      </w:pPr>
    </w:p>
    <w:p w14:paraId="366C25D7" w14:textId="77777777" w:rsidR="005D3D1E" w:rsidRPr="000655B7" w:rsidRDefault="005D3D1E" w:rsidP="005D3D1E">
      <w:pPr>
        <w:autoSpaceDE w:val="0"/>
        <w:autoSpaceDN w:val="0"/>
        <w:adjustRightInd w:val="0"/>
        <w:spacing w:after="0" w:line="240" w:lineRule="auto"/>
        <w:rPr>
          <w:rFonts w:ascii="Arial" w:hAnsi="Arial" w:cs="Arial"/>
          <w:b/>
          <w:color w:val="000000"/>
          <w:sz w:val="24"/>
          <w:szCs w:val="24"/>
        </w:rPr>
      </w:pPr>
    </w:p>
    <w:p w14:paraId="6DF482A4" w14:textId="77777777" w:rsidR="005D3D1E" w:rsidRPr="000655B7" w:rsidRDefault="005D3D1E" w:rsidP="005D3D1E">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5844D01A" w14:textId="77777777" w:rsidR="005D3D1E" w:rsidRDefault="005D3D1E" w:rsidP="005D3D1E">
      <w:pPr>
        <w:autoSpaceDE w:val="0"/>
        <w:autoSpaceDN w:val="0"/>
        <w:adjustRightInd w:val="0"/>
        <w:spacing w:after="0" w:line="240" w:lineRule="auto"/>
        <w:rPr>
          <w:rFonts w:ascii="Arial" w:hAnsi="Arial" w:cs="Arial"/>
          <w:color w:val="000000"/>
        </w:rPr>
      </w:pPr>
    </w:p>
    <w:p w14:paraId="62F05F78" w14:textId="5316A9AC" w:rsidR="005D3D1E" w:rsidRPr="000655B7" w:rsidRDefault="005D3D1E" w:rsidP="005D3D1E">
      <w:pPr>
        <w:autoSpaceDE w:val="0"/>
        <w:autoSpaceDN w:val="0"/>
        <w:adjustRightInd w:val="0"/>
        <w:spacing w:after="0" w:line="240" w:lineRule="auto"/>
        <w:rPr>
          <w:rFonts w:ascii="Arial" w:hAnsi="Arial" w:cs="Arial"/>
          <w:color w:val="000000"/>
        </w:rPr>
      </w:pPr>
      <w:r>
        <w:rPr>
          <w:rFonts w:ascii="Arial" w:hAnsi="Arial" w:cs="Arial"/>
          <w:color w:val="000000"/>
        </w:rPr>
        <w:t>Berlin/Backnang</w:t>
      </w:r>
      <w:r w:rsidRPr="000655B7">
        <w:rPr>
          <w:rFonts w:ascii="Arial" w:hAnsi="Arial" w:cs="Arial"/>
          <w:color w:val="000000"/>
        </w:rPr>
        <w:t xml:space="preserve">, </w:t>
      </w:r>
      <w:r w:rsidR="00131142">
        <w:rPr>
          <w:rFonts w:ascii="Arial" w:hAnsi="Arial" w:cs="Arial"/>
          <w:color w:val="000000"/>
        </w:rPr>
        <w:t>24</w:t>
      </w:r>
      <w:r w:rsidRPr="000655B7">
        <w:rPr>
          <w:rFonts w:ascii="Arial" w:hAnsi="Arial" w:cs="Arial"/>
          <w:color w:val="000000"/>
        </w:rPr>
        <w:t xml:space="preserve">. </w:t>
      </w:r>
      <w:r w:rsidR="00131142">
        <w:rPr>
          <w:rFonts w:ascii="Arial" w:hAnsi="Arial" w:cs="Arial"/>
          <w:color w:val="000000"/>
        </w:rPr>
        <w:t>Januar</w:t>
      </w:r>
      <w:r w:rsidRPr="000655B7">
        <w:rPr>
          <w:rFonts w:ascii="Arial" w:hAnsi="Arial" w:cs="Arial"/>
          <w:color w:val="000000"/>
        </w:rPr>
        <w:t xml:space="preserve"> 201</w:t>
      </w:r>
      <w:r w:rsidR="00131142">
        <w:rPr>
          <w:rFonts w:ascii="Arial" w:hAnsi="Arial" w:cs="Arial"/>
          <w:color w:val="000000"/>
        </w:rPr>
        <w:t>9</w:t>
      </w:r>
    </w:p>
    <w:p w14:paraId="3A8B5942" w14:textId="77777777" w:rsidR="005D3D1E" w:rsidRPr="000655B7" w:rsidRDefault="005D3D1E" w:rsidP="005D3D1E">
      <w:pPr>
        <w:autoSpaceDE w:val="0"/>
        <w:autoSpaceDN w:val="0"/>
        <w:adjustRightInd w:val="0"/>
        <w:spacing w:after="0" w:line="240" w:lineRule="auto"/>
        <w:rPr>
          <w:rFonts w:ascii="Arial" w:hAnsi="Arial" w:cs="Arial"/>
          <w:color w:val="000000"/>
          <w:sz w:val="24"/>
          <w:szCs w:val="24"/>
        </w:rPr>
      </w:pPr>
    </w:p>
    <w:p w14:paraId="0EEC0A94" w14:textId="77777777" w:rsidR="005D3D1E" w:rsidRPr="000655B7" w:rsidRDefault="005D3D1E" w:rsidP="005D3D1E">
      <w:pPr>
        <w:autoSpaceDE w:val="0"/>
        <w:autoSpaceDN w:val="0"/>
        <w:adjustRightInd w:val="0"/>
        <w:spacing w:after="0" w:line="360" w:lineRule="auto"/>
        <w:rPr>
          <w:rFonts w:ascii="Arial" w:hAnsi="Arial" w:cs="Arial"/>
          <w:color w:val="000000"/>
          <w:sz w:val="20"/>
          <w:szCs w:val="20"/>
        </w:rPr>
      </w:pPr>
    </w:p>
    <w:p w14:paraId="105E7BD4" w14:textId="18CF213A" w:rsidR="005D3D1E" w:rsidRDefault="003A6602" w:rsidP="003A6602">
      <w:pPr>
        <w:autoSpaceDE w:val="0"/>
        <w:autoSpaceDN w:val="0"/>
        <w:adjustRightInd w:val="0"/>
        <w:spacing w:after="0" w:line="360" w:lineRule="auto"/>
        <w:ind w:right="-2268"/>
        <w:rPr>
          <w:rFonts w:ascii="Arial" w:hAnsi="Arial" w:cs="Arial"/>
          <w:b/>
          <w:color w:val="000000"/>
          <w:sz w:val="28"/>
          <w:szCs w:val="28"/>
        </w:rPr>
      </w:pPr>
      <w:bookmarkStart w:id="0" w:name="OLE_LINK1"/>
      <w:bookmarkStart w:id="1" w:name="OLE_LINK2"/>
      <w:r>
        <w:rPr>
          <w:rFonts w:ascii="Arial" w:hAnsi="Arial" w:cs="Arial"/>
          <w:b/>
          <w:color w:val="000000"/>
          <w:sz w:val="28"/>
          <w:szCs w:val="28"/>
        </w:rPr>
        <w:t>DICLINA</w:t>
      </w:r>
      <w:r w:rsidR="00B46CF9">
        <w:rPr>
          <w:rFonts w:ascii="Arial" w:hAnsi="Arial" w:cs="Arial"/>
          <w:b/>
          <w:color w:val="000000"/>
          <w:sz w:val="28"/>
          <w:szCs w:val="28"/>
        </w:rPr>
        <w:t xml:space="preserve">: Das </w:t>
      </w:r>
      <w:r w:rsidR="00860C87">
        <w:rPr>
          <w:rFonts w:ascii="Arial" w:hAnsi="Arial" w:cs="Arial"/>
          <w:b/>
          <w:color w:val="000000"/>
          <w:sz w:val="28"/>
          <w:szCs w:val="28"/>
        </w:rPr>
        <w:t>„</w:t>
      </w:r>
      <w:r w:rsidR="00B46CF9">
        <w:rPr>
          <w:rFonts w:ascii="Arial" w:hAnsi="Arial" w:cs="Arial"/>
          <w:b/>
          <w:color w:val="000000"/>
          <w:sz w:val="28"/>
          <w:szCs w:val="28"/>
        </w:rPr>
        <w:t>Schweizer Taschenmesser</w:t>
      </w:r>
      <w:r w:rsidR="00860C87">
        <w:rPr>
          <w:rFonts w:ascii="Arial" w:hAnsi="Arial" w:cs="Arial"/>
          <w:b/>
          <w:color w:val="000000"/>
          <w:sz w:val="28"/>
          <w:szCs w:val="28"/>
        </w:rPr>
        <w:t>“</w:t>
      </w:r>
      <w:r w:rsidR="00B46CF9">
        <w:rPr>
          <w:rFonts w:ascii="Arial" w:hAnsi="Arial" w:cs="Arial"/>
          <w:b/>
          <w:color w:val="000000"/>
          <w:sz w:val="28"/>
          <w:szCs w:val="28"/>
        </w:rPr>
        <w:t xml:space="preserve"> für </w:t>
      </w:r>
      <w:r w:rsidR="00860C87">
        <w:rPr>
          <w:rFonts w:ascii="Arial" w:hAnsi="Arial" w:cs="Arial"/>
          <w:b/>
          <w:color w:val="000000"/>
          <w:sz w:val="28"/>
          <w:szCs w:val="28"/>
        </w:rPr>
        <w:br/>
      </w:r>
      <w:r w:rsidR="00B46CF9">
        <w:rPr>
          <w:rFonts w:ascii="Arial" w:hAnsi="Arial" w:cs="Arial"/>
          <w:b/>
          <w:color w:val="000000"/>
          <w:sz w:val="28"/>
          <w:szCs w:val="28"/>
        </w:rPr>
        <w:t>Internet Service Provider</w:t>
      </w:r>
    </w:p>
    <w:bookmarkEnd w:id="0"/>
    <w:bookmarkEnd w:id="1"/>
    <w:p w14:paraId="13C12000" w14:textId="29EA003C" w:rsidR="005D3D1E" w:rsidRPr="0098474D" w:rsidRDefault="001E6755" w:rsidP="005D3D1E">
      <w:pPr>
        <w:autoSpaceDE w:val="0"/>
        <w:autoSpaceDN w:val="0"/>
        <w:adjustRightInd w:val="0"/>
        <w:spacing w:after="0" w:line="360" w:lineRule="auto"/>
        <w:ind w:right="-1984"/>
        <w:rPr>
          <w:rFonts w:ascii="Arial" w:hAnsi="Arial" w:cs="Arial"/>
          <w:b/>
          <w:color w:val="000000"/>
          <w:sz w:val="28"/>
          <w:szCs w:val="28"/>
        </w:rPr>
      </w:pPr>
      <w:r>
        <w:rPr>
          <w:rFonts w:ascii="Arial" w:hAnsi="Arial" w:cs="Tahoma"/>
          <w:sz w:val="20"/>
          <w:szCs w:val="20"/>
        </w:rPr>
        <w:t>Ein IT-Werkzeug für</w:t>
      </w:r>
      <w:r w:rsidR="00B46CF9">
        <w:rPr>
          <w:rFonts w:ascii="Arial" w:hAnsi="Arial" w:cs="Tahoma"/>
          <w:sz w:val="20"/>
          <w:szCs w:val="20"/>
        </w:rPr>
        <w:t xml:space="preserve"> </w:t>
      </w:r>
      <w:r>
        <w:rPr>
          <w:rFonts w:ascii="Arial" w:hAnsi="Arial" w:cs="Tahoma"/>
          <w:sz w:val="20"/>
          <w:szCs w:val="20"/>
        </w:rPr>
        <w:t xml:space="preserve">alle </w:t>
      </w:r>
      <w:r w:rsidR="00B46CF9">
        <w:rPr>
          <w:rFonts w:ascii="Arial" w:hAnsi="Arial" w:cs="Tahoma"/>
          <w:sz w:val="20"/>
          <w:szCs w:val="20"/>
        </w:rPr>
        <w:t xml:space="preserve">Prozesse von der ersten Kundenanfrage bis zur technischen Inbetriebnahme </w:t>
      </w:r>
    </w:p>
    <w:p w14:paraId="72F56B60" w14:textId="77777777" w:rsidR="005D3D1E" w:rsidRPr="000655B7" w:rsidRDefault="005D3D1E" w:rsidP="005D3D1E">
      <w:pPr>
        <w:autoSpaceDE w:val="0"/>
        <w:autoSpaceDN w:val="0"/>
        <w:adjustRightInd w:val="0"/>
        <w:spacing w:after="0" w:line="360" w:lineRule="auto"/>
        <w:rPr>
          <w:rFonts w:ascii="Arial" w:hAnsi="Arial" w:cs="Arial"/>
          <w:color w:val="000000"/>
          <w:sz w:val="20"/>
          <w:szCs w:val="20"/>
        </w:rPr>
      </w:pPr>
    </w:p>
    <w:p w14:paraId="5B68C538" w14:textId="35677D0B" w:rsidR="003A6602" w:rsidRPr="00465CBB" w:rsidRDefault="003A6602" w:rsidP="003A6602">
      <w:pPr>
        <w:spacing w:line="360" w:lineRule="auto"/>
        <w:rPr>
          <w:rFonts w:ascii="Arial" w:hAnsi="Arial" w:cs="Tahoma"/>
          <w:b/>
          <w:bCs/>
          <w:sz w:val="20"/>
          <w:szCs w:val="20"/>
        </w:rPr>
      </w:pPr>
      <w:r>
        <w:rPr>
          <w:rFonts w:ascii="Arial" w:hAnsi="Arial" w:cs="Tahoma"/>
          <w:b/>
          <w:bCs/>
          <w:sz w:val="20"/>
          <w:szCs w:val="20"/>
        </w:rPr>
        <w:t xml:space="preserve">Ob Kundenanfrage, Vertragsmanagement, </w:t>
      </w:r>
      <w:proofErr w:type="spellStart"/>
      <w:r>
        <w:rPr>
          <w:rFonts w:ascii="Arial" w:hAnsi="Arial" w:cs="Tahoma"/>
          <w:b/>
          <w:bCs/>
          <w:sz w:val="20"/>
          <w:szCs w:val="20"/>
        </w:rPr>
        <w:t>Provisionierung</w:t>
      </w:r>
      <w:proofErr w:type="spellEnd"/>
      <w:r>
        <w:rPr>
          <w:rFonts w:ascii="Arial" w:hAnsi="Arial" w:cs="Tahoma"/>
          <w:b/>
          <w:bCs/>
          <w:sz w:val="20"/>
          <w:szCs w:val="20"/>
        </w:rPr>
        <w:t>, technische Einrichtung oder Abrechnung: Mit DICLINA decken Stadtwerke, die sich mit de</w:t>
      </w:r>
      <w:r w:rsidR="00C32033">
        <w:rPr>
          <w:rFonts w:ascii="Arial" w:hAnsi="Arial" w:cs="Tahoma"/>
          <w:b/>
          <w:bCs/>
          <w:sz w:val="20"/>
          <w:szCs w:val="20"/>
        </w:rPr>
        <w:t>n</w:t>
      </w:r>
      <w:r>
        <w:rPr>
          <w:rFonts w:ascii="Arial" w:hAnsi="Arial" w:cs="Tahoma"/>
          <w:b/>
          <w:bCs/>
          <w:sz w:val="20"/>
          <w:szCs w:val="20"/>
        </w:rPr>
        <w:t xml:space="preserve"> Them</w:t>
      </w:r>
      <w:r w:rsidR="00C32033">
        <w:rPr>
          <w:rFonts w:ascii="Arial" w:hAnsi="Arial" w:cs="Tahoma"/>
          <w:b/>
          <w:bCs/>
          <w:sz w:val="20"/>
          <w:szCs w:val="20"/>
        </w:rPr>
        <w:t>en</w:t>
      </w:r>
      <w:r>
        <w:rPr>
          <w:rFonts w:ascii="Arial" w:hAnsi="Arial" w:cs="Tahoma"/>
          <w:b/>
          <w:bCs/>
          <w:sz w:val="20"/>
          <w:szCs w:val="20"/>
        </w:rPr>
        <w:t xml:space="preserve"> </w:t>
      </w:r>
      <w:r w:rsidR="00726D0D">
        <w:rPr>
          <w:rFonts w:ascii="Arial" w:hAnsi="Arial" w:cs="Tahoma"/>
          <w:b/>
          <w:bCs/>
          <w:sz w:val="20"/>
          <w:szCs w:val="20"/>
        </w:rPr>
        <w:t xml:space="preserve">Breitband und </w:t>
      </w:r>
      <w:r>
        <w:rPr>
          <w:rFonts w:ascii="Arial" w:hAnsi="Arial" w:cs="Tahoma"/>
          <w:b/>
          <w:bCs/>
          <w:sz w:val="20"/>
          <w:szCs w:val="20"/>
        </w:rPr>
        <w:t>Glasfaser beschäftigen, alle Anforderungen, die an einen Internet Service Provider gestellt werden, einfach ab. DICLINA steht für „</w:t>
      </w:r>
      <w:r>
        <w:rPr>
          <w:b/>
          <w:bCs/>
        </w:rPr>
        <w:t xml:space="preserve">Digital Client </w:t>
      </w:r>
      <w:proofErr w:type="spellStart"/>
      <w:r w:rsidR="009C0CE4">
        <w:rPr>
          <w:b/>
          <w:bCs/>
        </w:rPr>
        <w:t>a</w:t>
      </w:r>
      <w:r>
        <w:rPr>
          <w:b/>
          <w:bCs/>
        </w:rPr>
        <w:t>nd</w:t>
      </w:r>
      <w:proofErr w:type="spellEnd"/>
      <w:r>
        <w:rPr>
          <w:b/>
          <w:bCs/>
        </w:rPr>
        <w:t xml:space="preserve"> Network Administration Software</w:t>
      </w:r>
      <w:r>
        <w:rPr>
          <w:rFonts w:ascii="Arial" w:hAnsi="Arial" w:cs="Tahoma"/>
          <w:b/>
          <w:bCs/>
          <w:sz w:val="20"/>
          <w:szCs w:val="20"/>
        </w:rPr>
        <w:t xml:space="preserve">“. Die </w:t>
      </w:r>
      <w:r w:rsidR="00F875B4">
        <w:rPr>
          <w:rFonts w:ascii="Arial" w:hAnsi="Arial" w:cs="Tahoma"/>
          <w:b/>
          <w:bCs/>
          <w:sz w:val="20"/>
          <w:szCs w:val="20"/>
        </w:rPr>
        <w:t>On-Premise</w:t>
      </w:r>
      <w:r w:rsidR="00E478B7">
        <w:rPr>
          <w:rFonts w:ascii="Arial" w:hAnsi="Arial" w:cs="Tahoma"/>
          <w:b/>
          <w:bCs/>
          <w:sz w:val="20"/>
          <w:szCs w:val="20"/>
        </w:rPr>
        <w:t xml:space="preserve"> gehostete Web-</w:t>
      </w:r>
      <w:proofErr w:type="spellStart"/>
      <w:r w:rsidRPr="00F57241">
        <w:rPr>
          <w:rFonts w:ascii="Arial" w:hAnsi="Arial" w:cs="Tahoma"/>
          <w:b/>
          <w:bCs/>
          <w:sz w:val="20"/>
          <w:szCs w:val="20"/>
        </w:rPr>
        <w:t>Application</w:t>
      </w:r>
      <w:proofErr w:type="spellEnd"/>
      <w:r>
        <w:rPr>
          <w:rFonts w:ascii="Arial" w:hAnsi="Arial" w:cs="Tahoma"/>
          <w:b/>
          <w:bCs/>
          <w:sz w:val="20"/>
          <w:szCs w:val="20"/>
        </w:rPr>
        <w:t xml:space="preserve"> ist schnell einführbar und prozessorientiert aufgebaut. Auf diese Weise sind nur wenige Mitarbeiter notwendig, um auch ein hohes Kundenaufkommen bewältigen zu können. Über die integrierte Netzübersicht haben die Service-Mitarbeiter nicht nur die Kunden, sondern auch alle IP-Adressen, Ressourcen, Standorte und die installierte Technik transparent im Blick. So können Neukunden unkompliziert </w:t>
      </w:r>
      <w:proofErr w:type="spellStart"/>
      <w:r>
        <w:rPr>
          <w:rFonts w:ascii="Arial" w:hAnsi="Arial" w:cs="Tahoma"/>
          <w:b/>
          <w:bCs/>
          <w:sz w:val="20"/>
          <w:szCs w:val="20"/>
        </w:rPr>
        <w:t>provisioniert</w:t>
      </w:r>
      <w:proofErr w:type="spellEnd"/>
      <w:r>
        <w:rPr>
          <w:rFonts w:ascii="Arial" w:hAnsi="Arial" w:cs="Tahoma"/>
          <w:b/>
          <w:bCs/>
          <w:sz w:val="20"/>
          <w:szCs w:val="20"/>
        </w:rPr>
        <w:t xml:space="preserve"> werden, ohne dass die Unterstützung durch einen Techniker nötig ist. „Mit DICLINA bieten wir die Möglichkeit, sich </w:t>
      </w:r>
      <w:r w:rsidRPr="002B7FA4">
        <w:rPr>
          <w:rFonts w:ascii="Arial" w:hAnsi="Arial" w:cs="Tahoma"/>
          <w:b/>
          <w:bCs/>
          <w:sz w:val="20"/>
          <w:szCs w:val="20"/>
        </w:rPr>
        <w:t>ohne großen Aufwand als ISP</w:t>
      </w:r>
      <w:r>
        <w:rPr>
          <w:rFonts w:ascii="Arial" w:hAnsi="Arial" w:cs="Tahoma"/>
          <w:b/>
          <w:bCs/>
          <w:sz w:val="20"/>
          <w:szCs w:val="20"/>
        </w:rPr>
        <w:t xml:space="preserve"> und damit auch als digitales Versorgungsunternehmen zu positionieren. Ein weiterer Vorteil: DICLINA ist das einzige System</w:t>
      </w:r>
      <w:r w:rsidR="00E570C4">
        <w:rPr>
          <w:rFonts w:ascii="Arial" w:hAnsi="Arial" w:cs="Tahoma"/>
          <w:b/>
          <w:bCs/>
          <w:sz w:val="20"/>
          <w:szCs w:val="20"/>
        </w:rPr>
        <w:t>,</w:t>
      </w:r>
      <w:r>
        <w:rPr>
          <w:rFonts w:ascii="Arial" w:hAnsi="Arial" w:cs="Tahoma"/>
          <w:b/>
          <w:bCs/>
          <w:sz w:val="20"/>
          <w:szCs w:val="20"/>
        </w:rPr>
        <w:t xml:space="preserve"> welches unabhängig von </w:t>
      </w:r>
      <w:proofErr w:type="spellStart"/>
      <w:r>
        <w:rPr>
          <w:rFonts w:ascii="Arial" w:hAnsi="Arial" w:cs="Tahoma"/>
          <w:b/>
          <w:bCs/>
          <w:sz w:val="20"/>
          <w:szCs w:val="20"/>
        </w:rPr>
        <w:t>Diensteanbietern</w:t>
      </w:r>
      <w:proofErr w:type="spellEnd"/>
      <w:r>
        <w:rPr>
          <w:rFonts w:ascii="Arial" w:hAnsi="Arial" w:cs="Tahoma"/>
          <w:b/>
          <w:bCs/>
          <w:sz w:val="20"/>
          <w:szCs w:val="20"/>
        </w:rPr>
        <w:t xml:space="preserve"> ist</w:t>
      </w:r>
      <w:r w:rsidR="00E570C4">
        <w:rPr>
          <w:rFonts w:ascii="Arial" w:hAnsi="Arial" w:cs="Tahoma"/>
          <w:b/>
          <w:bCs/>
          <w:sz w:val="20"/>
          <w:szCs w:val="20"/>
        </w:rPr>
        <w:t>,</w:t>
      </w:r>
      <w:r>
        <w:rPr>
          <w:rFonts w:ascii="Arial" w:hAnsi="Arial" w:cs="Tahoma"/>
          <w:b/>
          <w:bCs/>
          <w:sz w:val="20"/>
          <w:szCs w:val="20"/>
        </w:rPr>
        <w:t xml:space="preserve"> und bietet zudem ein Funktionsspektrum, dass es so bislang nicht auf dem Markt gibt“, fasst </w:t>
      </w:r>
      <w:proofErr w:type="spellStart"/>
      <w:r>
        <w:rPr>
          <w:rFonts w:ascii="Arial" w:hAnsi="Arial" w:cs="Tahoma"/>
          <w:b/>
          <w:bCs/>
          <w:sz w:val="20"/>
          <w:szCs w:val="20"/>
        </w:rPr>
        <w:t>tktVivax</w:t>
      </w:r>
      <w:proofErr w:type="spellEnd"/>
      <w:r>
        <w:rPr>
          <w:rFonts w:ascii="Arial" w:hAnsi="Arial" w:cs="Tahoma"/>
          <w:b/>
          <w:bCs/>
          <w:sz w:val="20"/>
          <w:szCs w:val="20"/>
        </w:rPr>
        <w:t xml:space="preserve">-Geschäftsführer Dirk </w:t>
      </w:r>
      <w:proofErr w:type="spellStart"/>
      <w:r>
        <w:rPr>
          <w:rFonts w:ascii="Arial" w:hAnsi="Arial" w:cs="Tahoma"/>
          <w:b/>
          <w:bCs/>
          <w:sz w:val="20"/>
          <w:szCs w:val="20"/>
        </w:rPr>
        <w:t>Fieml</w:t>
      </w:r>
      <w:proofErr w:type="spellEnd"/>
      <w:r>
        <w:rPr>
          <w:rFonts w:ascii="Arial" w:hAnsi="Arial" w:cs="Tahoma"/>
          <w:b/>
          <w:bCs/>
          <w:sz w:val="20"/>
          <w:szCs w:val="20"/>
        </w:rPr>
        <w:t xml:space="preserve"> die Alleinstellungsmerkmale zusammen. Ihre Praxistauglichkeit hat die Lösung bereits bewiesen: Sie ist unter anderem bei </w:t>
      </w:r>
      <w:proofErr w:type="spellStart"/>
      <w:r w:rsidRPr="002B7FA4">
        <w:rPr>
          <w:rFonts w:ascii="Arial" w:hAnsi="Arial" w:cs="Tahoma"/>
          <w:b/>
          <w:bCs/>
          <w:sz w:val="20"/>
          <w:szCs w:val="20"/>
        </w:rPr>
        <w:t>comingolstadt</w:t>
      </w:r>
      <w:proofErr w:type="spellEnd"/>
      <w:r w:rsidRPr="002B7FA4">
        <w:rPr>
          <w:rFonts w:ascii="Arial" w:hAnsi="Arial" w:cs="Tahoma"/>
          <w:b/>
          <w:bCs/>
          <w:sz w:val="20"/>
          <w:szCs w:val="20"/>
        </w:rPr>
        <w:t>, der ZEAG oder bei den Stadtwerken Bühl</w:t>
      </w:r>
      <w:r>
        <w:rPr>
          <w:rFonts w:ascii="Arial" w:hAnsi="Arial" w:cs="Tahoma"/>
          <w:b/>
          <w:bCs/>
          <w:sz w:val="20"/>
          <w:szCs w:val="20"/>
        </w:rPr>
        <w:t xml:space="preserve"> im Einsatz.</w:t>
      </w:r>
    </w:p>
    <w:p w14:paraId="44F347BF" w14:textId="4C1D71D4" w:rsidR="003A6602" w:rsidRDefault="003A6602" w:rsidP="003A6602">
      <w:pPr>
        <w:spacing w:line="360" w:lineRule="auto"/>
        <w:rPr>
          <w:rFonts w:ascii="Arial" w:hAnsi="Arial" w:cs="Tahoma"/>
          <w:sz w:val="20"/>
          <w:szCs w:val="20"/>
        </w:rPr>
      </w:pPr>
      <w:r>
        <w:rPr>
          <w:rFonts w:ascii="Arial" w:hAnsi="Arial" w:cs="Tahoma"/>
          <w:sz w:val="20"/>
          <w:szCs w:val="20"/>
        </w:rPr>
        <w:t xml:space="preserve">Als Kundenschnittstelle bietet DICLINA ein einfach an den jeweiligen Auftritt des Versorgers anpassbares Portal, über das Interessenten die Verfügbarkeit der einzelnen Angebote und Datenraten an ihrer Adresse prüfen und die entsprechenden Pakete direkt beauftragen können. Über diese Kundenschnittstelle </w:t>
      </w:r>
      <w:r>
        <w:rPr>
          <w:rFonts w:ascii="Arial" w:hAnsi="Arial" w:cs="Tahoma"/>
          <w:sz w:val="20"/>
          <w:szCs w:val="20"/>
        </w:rPr>
        <w:lastRenderedPageBreak/>
        <w:t xml:space="preserve">ist später auch der Online-Zugriff auf Rechnungen oder Einzelverbindungsnachweise möglich. </w:t>
      </w:r>
    </w:p>
    <w:p w14:paraId="5D62DA92" w14:textId="6D868F48" w:rsidR="003A6602" w:rsidRDefault="003A6602" w:rsidP="003A6602">
      <w:pPr>
        <w:spacing w:line="360" w:lineRule="auto"/>
        <w:rPr>
          <w:rFonts w:ascii="Arial" w:hAnsi="Arial" w:cs="Tahoma"/>
          <w:sz w:val="20"/>
          <w:szCs w:val="20"/>
        </w:rPr>
      </w:pPr>
      <w:r>
        <w:rPr>
          <w:rFonts w:ascii="Arial" w:hAnsi="Arial" w:cs="Tahoma"/>
          <w:sz w:val="20"/>
          <w:szCs w:val="20"/>
        </w:rPr>
        <w:t xml:space="preserve">Die Service-Mitarbeiter sehen nach dem Einstieg eine Übersicht aller offenen Aufgaben, so dass Sie ohne Umwege die Bearbeitung starten können. Über eine Ampelfunktion ist der Status jedes Kunden auf einen Blick ersichtlich – vom Stand der Einrichtung des Anschlusses bis hin zum Zahlungsverhalten. </w:t>
      </w:r>
      <w:r w:rsidRPr="002B7FA4">
        <w:rPr>
          <w:rFonts w:ascii="Arial" w:hAnsi="Arial" w:cs="Tahoma"/>
          <w:sz w:val="20"/>
          <w:szCs w:val="20"/>
        </w:rPr>
        <w:t>Für die Kundenkommunikation über</w:t>
      </w:r>
      <w:r>
        <w:rPr>
          <w:rFonts w:ascii="Arial" w:hAnsi="Arial" w:cs="Tahoma"/>
          <w:sz w:val="20"/>
          <w:szCs w:val="20"/>
        </w:rPr>
        <w:t xml:space="preserve"> </w:t>
      </w:r>
      <w:r w:rsidRPr="00FF7148">
        <w:rPr>
          <w:rFonts w:ascii="Arial" w:hAnsi="Arial" w:cs="Tahoma"/>
          <w:sz w:val="20"/>
          <w:szCs w:val="20"/>
        </w:rPr>
        <w:t>einzelne</w:t>
      </w:r>
      <w:r w:rsidRPr="002B7FA4">
        <w:rPr>
          <w:rFonts w:ascii="Arial" w:hAnsi="Arial" w:cs="Tahoma"/>
          <w:sz w:val="20"/>
          <w:szCs w:val="20"/>
        </w:rPr>
        <w:t xml:space="preserve"> personalisierte E-Mails steht</w:t>
      </w:r>
      <w:r>
        <w:rPr>
          <w:rFonts w:ascii="Arial" w:hAnsi="Arial" w:cs="Tahoma"/>
          <w:sz w:val="20"/>
          <w:szCs w:val="20"/>
        </w:rPr>
        <w:t xml:space="preserve"> </w:t>
      </w:r>
      <w:r w:rsidRPr="00FF7148">
        <w:rPr>
          <w:rFonts w:ascii="Arial" w:hAnsi="Arial" w:cs="Tahoma"/>
          <w:sz w:val="20"/>
          <w:szCs w:val="20"/>
        </w:rPr>
        <w:t>zusätzlich</w:t>
      </w:r>
      <w:r w:rsidRPr="002B7FA4">
        <w:rPr>
          <w:rFonts w:ascii="Arial" w:hAnsi="Arial" w:cs="Tahoma"/>
          <w:sz w:val="20"/>
          <w:szCs w:val="20"/>
        </w:rPr>
        <w:t xml:space="preserve"> ein Massen-Mailer zur Verfügung</w:t>
      </w:r>
      <w:r>
        <w:rPr>
          <w:rFonts w:ascii="Arial" w:hAnsi="Arial" w:cs="Tahoma"/>
          <w:sz w:val="20"/>
          <w:szCs w:val="20"/>
        </w:rPr>
        <w:t xml:space="preserve">. Die Auftragsbearbeitung und das Kundenmanagement werden durch ein Ticket-System unterstützt. Auf Wunsch können aber auch individuelle Ticket-Lösungen angebunden werden, denn </w:t>
      </w:r>
      <w:r w:rsidR="003C475B">
        <w:rPr>
          <w:rFonts w:ascii="Arial" w:hAnsi="Arial" w:cs="Tahoma"/>
          <w:sz w:val="20"/>
          <w:szCs w:val="20"/>
        </w:rPr>
        <w:t xml:space="preserve">DICLINA </w:t>
      </w:r>
      <w:r>
        <w:rPr>
          <w:rFonts w:ascii="Arial" w:hAnsi="Arial" w:cs="Tahoma"/>
          <w:sz w:val="20"/>
          <w:szCs w:val="20"/>
        </w:rPr>
        <w:t xml:space="preserve">bietet eine offene Schnittstellen-Architektur. Die Abrechnung kann so beispielsweise über den </w:t>
      </w:r>
      <w:proofErr w:type="spellStart"/>
      <w:r>
        <w:rPr>
          <w:rFonts w:ascii="Arial" w:hAnsi="Arial" w:cs="Tahoma"/>
          <w:sz w:val="20"/>
          <w:szCs w:val="20"/>
        </w:rPr>
        <w:t>tktVivax</w:t>
      </w:r>
      <w:proofErr w:type="spellEnd"/>
      <w:r>
        <w:rPr>
          <w:rFonts w:ascii="Arial" w:hAnsi="Arial" w:cs="Tahoma"/>
          <w:sz w:val="20"/>
          <w:szCs w:val="20"/>
        </w:rPr>
        <w:t xml:space="preserve">-Partner </w:t>
      </w:r>
      <w:proofErr w:type="spellStart"/>
      <w:r>
        <w:rPr>
          <w:rFonts w:ascii="Arial" w:hAnsi="Arial" w:cs="Tahoma"/>
          <w:sz w:val="20"/>
          <w:szCs w:val="20"/>
        </w:rPr>
        <w:t>Purtel</w:t>
      </w:r>
      <w:proofErr w:type="spellEnd"/>
      <w:r>
        <w:rPr>
          <w:rFonts w:ascii="Arial" w:hAnsi="Arial" w:cs="Tahoma"/>
          <w:sz w:val="20"/>
          <w:szCs w:val="20"/>
        </w:rPr>
        <w:t xml:space="preserve"> erfolgen, zu dessen Lösung eine Standardschnittstelle besteht. Auch die Anbindung an ERP-Systeme</w:t>
      </w:r>
      <w:r w:rsidR="00E570C4">
        <w:rPr>
          <w:rFonts w:ascii="Arial" w:hAnsi="Arial" w:cs="Tahoma"/>
          <w:sz w:val="20"/>
          <w:szCs w:val="20"/>
        </w:rPr>
        <w:t>,</w:t>
      </w:r>
      <w:r>
        <w:rPr>
          <w:rFonts w:ascii="Arial" w:hAnsi="Arial" w:cs="Tahoma"/>
          <w:sz w:val="20"/>
          <w:szCs w:val="20"/>
        </w:rPr>
        <w:t xml:space="preserve"> wie SAP</w:t>
      </w:r>
      <w:r w:rsidR="00E570C4">
        <w:rPr>
          <w:rFonts w:ascii="Arial" w:hAnsi="Arial" w:cs="Tahoma"/>
          <w:sz w:val="20"/>
          <w:szCs w:val="20"/>
        </w:rPr>
        <w:t>,</w:t>
      </w:r>
      <w:r>
        <w:rPr>
          <w:rFonts w:ascii="Arial" w:hAnsi="Arial" w:cs="Tahoma"/>
          <w:sz w:val="20"/>
          <w:szCs w:val="20"/>
        </w:rPr>
        <w:t xml:space="preserve"> ist realisierbar, ebenso wie an zahlreiche technische Anwendungen. Dazu gehören beispielsweise ACS-Lösungen (</w:t>
      </w:r>
      <w:proofErr w:type="spellStart"/>
      <w:r w:rsidRPr="00EC7626">
        <w:rPr>
          <w:rFonts w:ascii="Arial" w:hAnsi="Arial" w:cs="Tahoma"/>
          <w:sz w:val="20"/>
          <w:szCs w:val="20"/>
        </w:rPr>
        <w:t>Automatic</w:t>
      </w:r>
      <w:proofErr w:type="spellEnd"/>
      <w:r w:rsidRPr="00EC7626">
        <w:rPr>
          <w:rFonts w:ascii="Arial" w:hAnsi="Arial" w:cs="Tahoma"/>
          <w:sz w:val="20"/>
          <w:szCs w:val="20"/>
        </w:rPr>
        <w:t xml:space="preserve"> </w:t>
      </w:r>
      <w:proofErr w:type="spellStart"/>
      <w:r w:rsidRPr="00EC7626">
        <w:rPr>
          <w:rFonts w:ascii="Arial" w:hAnsi="Arial" w:cs="Tahoma"/>
          <w:sz w:val="20"/>
          <w:szCs w:val="20"/>
        </w:rPr>
        <w:t>Configuration</w:t>
      </w:r>
      <w:proofErr w:type="spellEnd"/>
      <w:r w:rsidRPr="00EC7626">
        <w:rPr>
          <w:rFonts w:ascii="Arial" w:hAnsi="Arial" w:cs="Tahoma"/>
          <w:sz w:val="20"/>
          <w:szCs w:val="20"/>
        </w:rPr>
        <w:t xml:space="preserve"> Server</w:t>
      </w:r>
      <w:r>
        <w:rPr>
          <w:rFonts w:ascii="Arial" w:hAnsi="Arial" w:cs="Tahoma"/>
          <w:sz w:val="20"/>
          <w:szCs w:val="20"/>
        </w:rPr>
        <w:t xml:space="preserve">) von </w:t>
      </w:r>
      <w:proofErr w:type="spellStart"/>
      <w:r>
        <w:rPr>
          <w:rFonts w:ascii="Arial" w:hAnsi="Arial" w:cs="Tahoma"/>
          <w:sz w:val="20"/>
          <w:szCs w:val="20"/>
        </w:rPr>
        <w:t>Axiros</w:t>
      </w:r>
      <w:proofErr w:type="spellEnd"/>
      <w:r>
        <w:rPr>
          <w:rFonts w:ascii="Arial" w:hAnsi="Arial" w:cs="Tahoma"/>
          <w:sz w:val="20"/>
          <w:szCs w:val="20"/>
        </w:rPr>
        <w:t xml:space="preserve">, </w:t>
      </w:r>
      <w:proofErr w:type="spellStart"/>
      <w:r w:rsidRPr="00EC7626">
        <w:rPr>
          <w:rFonts w:ascii="Arial" w:hAnsi="Arial" w:cs="Tahoma"/>
          <w:sz w:val="20"/>
          <w:szCs w:val="20"/>
        </w:rPr>
        <w:t>Purtel</w:t>
      </w:r>
      <w:proofErr w:type="spellEnd"/>
      <w:r w:rsidRPr="00EC7626" w:rsidDel="00EC7626">
        <w:rPr>
          <w:rFonts w:ascii="Arial" w:hAnsi="Arial" w:cs="Tahoma"/>
          <w:sz w:val="20"/>
          <w:szCs w:val="20"/>
        </w:rPr>
        <w:t xml:space="preserve"> </w:t>
      </w:r>
      <w:r>
        <w:rPr>
          <w:rFonts w:ascii="Arial" w:hAnsi="Arial" w:cs="Tahoma"/>
          <w:sz w:val="20"/>
          <w:szCs w:val="20"/>
        </w:rPr>
        <w:t xml:space="preserve">oder </w:t>
      </w:r>
      <w:proofErr w:type="spellStart"/>
      <w:r w:rsidRPr="00EC7626">
        <w:rPr>
          <w:rFonts w:ascii="Arial" w:hAnsi="Arial" w:cs="Tahoma"/>
          <w:sz w:val="20"/>
          <w:szCs w:val="20"/>
        </w:rPr>
        <w:t>OpenACS</w:t>
      </w:r>
      <w:proofErr w:type="spellEnd"/>
      <w:r>
        <w:rPr>
          <w:rFonts w:ascii="Arial" w:hAnsi="Arial" w:cs="Tahoma"/>
          <w:sz w:val="20"/>
          <w:szCs w:val="20"/>
        </w:rPr>
        <w:t xml:space="preserve">, die die jeweiligen </w:t>
      </w:r>
      <w:r w:rsidRPr="00FF7148">
        <w:rPr>
          <w:rFonts w:ascii="Arial" w:hAnsi="Arial" w:cs="Tahoma"/>
          <w:sz w:val="20"/>
          <w:szCs w:val="20"/>
        </w:rPr>
        <w:t>Kunden-Endgeräte</w:t>
      </w:r>
      <w:r>
        <w:rPr>
          <w:rFonts w:ascii="Arial" w:hAnsi="Arial" w:cs="Tahoma"/>
          <w:sz w:val="20"/>
          <w:szCs w:val="20"/>
        </w:rPr>
        <w:t xml:space="preserve"> automatisch konfigurieren. Dazu kommen Schnittstellen wie WBCI (</w:t>
      </w:r>
      <w:r w:rsidRPr="00135237">
        <w:rPr>
          <w:rFonts w:ascii="Arial" w:hAnsi="Arial" w:cs="Tahoma"/>
          <w:sz w:val="20"/>
          <w:szCs w:val="20"/>
        </w:rPr>
        <w:t xml:space="preserve">WITA </w:t>
      </w:r>
      <w:proofErr w:type="spellStart"/>
      <w:r w:rsidRPr="00135237">
        <w:rPr>
          <w:rFonts w:ascii="Arial" w:hAnsi="Arial" w:cs="Tahoma"/>
          <w:sz w:val="20"/>
          <w:szCs w:val="20"/>
        </w:rPr>
        <w:t>Based</w:t>
      </w:r>
      <w:proofErr w:type="spellEnd"/>
      <w:r w:rsidRPr="00135237">
        <w:rPr>
          <w:rFonts w:ascii="Arial" w:hAnsi="Arial" w:cs="Tahoma"/>
          <w:sz w:val="20"/>
          <w:szCs w:val="20"/>
        </w:rPr>
        <w:t xml:space="preserve"> Carrier Interface</w:t>
      </w:r>
      <w:r>
        <w:rPr>
          <w:rFonts w:ascii="Arial" w:hAnsi="Arial" w:cs="Tahoma"/>
          <w:sz w:val="20"/>
          <w:szCs w:val="20"/>
        </w:rPr>
        <w:t xml:space="preserve">) zu </w:t>
      </w:r>
      <w:proofErr w:type="spellStart"/>
      <w:r>
        <w:rPr>
          <w:rFonts w:ascii="Arial" w:hAnsi="Arial" w:cs="Tahoma"/>
          <w:sz w:val="20"/>
          <w:szCs w:val="20"/>
        </w:rPr>
        <w:t>Carriern</w:t>
      </w:r>
      <w:proofErr w:type="spellEnd"/>
      <w:r w:rsidR="00E570C4">
        <w:rPr>
          <w:rFonts w:ascii="Arial" w:hAnsi="Arial" w:cs="Tahoma"/>
          <w:sz w:val="20"/>
          <w:szCs w:val="20"/>
        </w:rPr>
        <w:t>,</w:t>
      </w:r>
      <w:r>
        <w:rPr>
          <w:rFonts w:ascii="Arial" w:hAnsi="Arial" w:cs="Tahoma"/>
          <w:sz w:val="20"/>
          <w:szCs w:val="20"/>
        </w:rPr>
        <w:t xml:space="preserve"> wie der Telekom</w:t>
      </w:r>
      <w:r w:rsidR="00E570C4">
        <w:rPr>
          <w:rFonts w:ascii="Arial" w:hAnsi="Arial" w:cs="Tahoma"/>
          <w:sz w:val="20"/>
          <w:szCs w:val="20"/>
        </w:rPr>
        <w:t>,</w:t>
      </w:r>
      <w:bookmarkStart w:id="2" w:name="_GoBack"/>
      <w:bookmarkEnd w:id="2"/>
      <w:r>
        <w:rPr>
          <w:rFonts w:ascii="Arial" w:hAnsi="Arial" w:cs="Tahoma"/>
          <w:sz w:val="20"/>
          <w:szCs w:val="20"/>
        </w:rPr>
        <w:t xml:space="preserve"> </w:t>
      </w:r>
      <w:r w:rsidRPr="002B7FA4">
        <w:rPr>
          <w:rFonts w:ascii="Arial" w:hAnsi="Arial" w:cs="Tahoma"/>
          <w:sz w:val="20"/>
          <w:szCs w:val="20"/>
        </w:rPr>
        <w:t xml:space="preserve">oder </w:t>
      </w:r>
      <w:r w:rsidR="00E478B7">
        <w:rPr>
          <w:rFonts w:ascii="Arial" w:hAnsi="Arial" w:cs="Tahoma"/>
          <w:sz w:val="20"/>
          <w:szCs w:val="20"/>
        </w:rPr>
        <w:t xml:space="preserve">weitere </w:t>
      </w:r>
      <w:r w:rsidRPr="002B7FA4">
        <w:rPr>
          <w:rFonts w:ascii="Arial" w:hAnsi="Arial" w:cs="Tahoma"/>
          <w:sz w:val="20"/>
          <w:szCs w:val="20"/>
        </w:rPr>
        <w:t xml:space="preserve">zu Anbietern von Netzwerktechnik wie Nokia/Alcatel, </w:t>
      </w:r>
      <w:proofErr w:type="spellStart"/>
      <w:r w:rsidRPr="002B7FA4">
        <w:rPr>
          <w:rFonts w:ascii="Arial" w:hAnsi="Arial" w:cs="Tahoma"/>
          <w:sz w:val="20"/>
          <w:szCs w:val="20"/>
        </w:rPr>
        <w:t>Iskratel</w:t>
      </w:r>
      <w:proofErr w:type="spellEnd"/>
      <w:r w:rsidRPr="002B7FA4">
        <w:rPr>
          <w:rFonts w:ascii="Arial" w:hAnsi="Arial" w:cs="Tahoma"/>
          <w:sz w:val="20"/>
          <w:szCs w:val="20"/>
        </w:rPr>
        <w:t xml:space="preserve"> und künftig auch </w:t>
      </w:r>
      <w:proofErr w:type="spellStart"/>
      <w:r w:rsidRPr="002B7FA4">
        <w:rPr>
          <w:rFonts w:ascii="Arial" w:hAnsi="Arial" w:cs="Tahoma"/>
          <w:sz w:val="20"/>
          <w:szCs w:val="20"/>
        </w:rPr>
        <w:t>Huawei</w:t>
      </w:r>
      <w:proofErr w:type="spellEnd"/>
      <w:r>
        <w:rPr>
          <w:rFonts w:ascii="Arial" w:hAnsi="Arial" w:cs="Tahoma"/>
          <w:sz w:val="20"/>
          <w:szCs w:val="20"/>
        </w:rPr>
        <w:t>.</w:t>
      </w:r>
    </w:p>
    <w:p w14:paraId="147FB0C6" w14:textId="77777777" w:rsidR="00135237" w:rsidRPr="000655B7" w:rsidRDefault="00135237" w:rsidP="005D3D1E">
      <w:pPr>
        <w:spacing w:line="360" w:lineRule="auto"/>
        <w:rPr>
          <w:rFonts w:ascii="Arial" w:hAnsi="Arial" w:cs="Tahoma"/>
          <w:sz w:val="20"/>
          <w:szCs w:val="20"/>
        </w:rPr>
      </w:pPr>
    </w:p>
    <w:tbl>
      <w:tblPr>
        <w:tblW w:w="9180" w:type="dxa"/>
        <w:tblLook w:val="04A0" w:firstRow="1" w:lastRow="0" w:firstColumn="1" w:lastColumn="0" w:noHBand="0" w:noVBand="1"/>
      </w:tblPr>
      <w:tblGrid>
        <w:gridCol w:w="4361"/>
        <w:gridCol w:w="4819"/>
      </w:tblGrid>
      <w:tr w:rsidR="005D3D1E" w:rsidRPr="000655B7" w14:paraId="55C2A03B" w14:textId="77777777" w:rsidTr="00B714E4">
        <w:tc>
          <w:tcPr>
            <w:tcW w:w="4361" w:type="dxa"/>
            <w:shd w:val="clear" w:color="auto" w:fill="auto"/>
          </w:tcPr>
          <w:p w14:paraId="357997F4" w14:textId="5F6FB02B" w:rsidR="005D3D1E" w:rsidRPr="008457BE" w:rsidRDefault="005D3D1E" w:rsidP="00B714E4">
            <w:pPr>
              <w:widowControl w:val="0"/>
              <w:tabs>
                <w:tab w:val="left" w:pos="3969"/>
              </w:tabs>
              <w:autoSpaceDE w:val="0"/>
              <w:autoSpaceDN w:val="0"/>
              <w:adjustRightInd w:val="0"/>
              <w:spacing w:line="240" w:lineRule="auto"/>
              <w:ind w:left="-109" w:right="176"/>
              <w:rPr>
                <w:rFonts w:ascii="Arial" w:hAnsi="Arial" w:cs="Calibri"/>
                <w:sz w:val="16"/>
                <w:szCs w:val="26"/>
                <w:lang w:eastAsia="de-DE"/>
              </w:rPr>
            </w:pPr>
            <w:r w:rsidRPr="000655B7">
              <w:rPr>
                <w:rFonts w:ascii="Arial" w:hAnsi="Arial" w:cs="Calibri"/>
                <w:b/>
                <w:sz w:val="16"/>
                <w:szCs w:val="26"/>
                <w:lang w:eastAsia="de-DE"/>
              </w:rPr>
              <w:t>Kontaktdaten:</w:t>
            </w:r>
            <w:r w:rsidRPr="000655B7">
              <w:rPr>
                <w:rFonts w:ascii="Arial" w:hAnsi="Arial" w:cs="Calibri"/>
                <w:b/>
                <w:sz w:val="16"/>
                <w:szCs w:val="26"/>
                <w:lang w:eastAsia="de-DE"/>
              </w:rPr>
              <w:br/>
            </w: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Pr="008457BE">
              <w:rPr>
                <w:rFonts w:ascii="Arial" w:hAnsi="Arial" w:cs="Calibri"/>
                <w:sz w:val="16"/>
                <w:szCs w:val="26"/>
                <w:lang w:eastAsia="de-DE"/>
              </w:rPr>
              <w:t>Kurfürstendamm 194</w:t>
            </w:r>
            <w:r>
              <w:rPr>
                <w:rFonts w:ascii="Arial" w:hAnsi="Arial" w:cs="Calibri"/>
                <w:sz w:val="16"/>
                <w:szCs w:val="26"/>
                <w:lang w:eastAsia="de-DE"/>
              </w:rPr>
              <w:t xml:space="preserve"> – </w:t>
            </w:r>
            <w:r w:rsidRPr="008457BE">
              <w:rPr>
                <w:rFonts w:ascii="Arial" w:hAnsi="Arial" w:cs="Calibri"/>
                <w:sz w:val="16"/>
                <w:szCs w:val="26"/>
                <w:lang w:eastAsia="de-DE"/>
              </w:rPr>
              <w:t>10707 Berlin</w:t>
            </w:r>
            <w:r>
              <w:rPr>
                <w:rFonts w:ascii="Arial" w:hAnsi="Arial" w:cs="Calibri"/>
                <w:sz w:val="16"/>
                <w:szCs w:val="26"/>
                <w:lang w:eastAsia="de-DE"/>
              </w:rPr>
              <w:br/>
            </w:r>
            <w:r w:rsidRPr="008457BE">
              <w:rPr>
                <w:rFonts w:ascii="Arial" w:hAnsi="Arial" w:cs="Calibri"/>
                <w:sz w:val="16"/>
                <w:szCs w:val="26"/>
                <w:lang w:eastAsia="de-DE"/>
              </w:rPr>
              <w:t xml:space="preserve">Tel: </w:t>
            </w:r>
            <w:r>
              <w:rPr>
                <w:rFonts w:ascii="Arial" w:hAnsi="Arial" w:cs="Calibri"/>
                <w:sz w:val="16"/>
                <w:szCs w:val="26"/>
                <w:lang w:eastAsia="de-DE"/>
              </w:rPr>
              <w:t>+</w:t>
            </w:r>
            <w:r w:rsidRPr="008457BE">
              <w:rPr>
                <w:rFonts w:ascii="Arial" w:hAnsi="Arial" w:cs="Calibri"/>
                <w:sz w:val="16"/>
                <w:szCs w:val="26"/>
                <w:lang w:eastAsia="de-DE"/>
              </w:rPr>
              <w:t>49 30 700 159 805</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t>www.</w:t>
            </w:r>
            <w:r w:rsidR="00CD490F">
              <w:rPr>
                <w:rFonts w:ascii="Arial" w:hAnsi="Arial" w:cs="Calibri"/>
                <w:sz w:val="16"/>
                <w:szCs w:val="26"/>
                <w:lang w:eastAsia="de-DE"/>
              </w:rPr>
              <w:t>tkt</w:t>
            </w:r>
            <w:r w:rsidR="003B6004">
              <w:rPr>
                <w:rFonts w:ascii="Arial" w:hAnsi="Arial" w:cs="Calibri"/>
                <w:sz w:val="16"/>
                <w:szCs w:val="26"/>
                <w:lang w:eastAsia="de-DE"/>
              </w:rPr>
              <w:t>-</w:t>
            </w:r>
            <w:r w:rsidR="00CD490F">
              <w:rPr>
                <w:rFonts w:ascii="Arial" w:hAnsi="Arial" w:cs="Calibri"/>
                <w:sz w:val="16"/>
                <w:szCs w:val="26"/>
                <w:lang w:eastAsia="de-DE"/>
              </w:rPr>
              <w:t>vivax.de</w:t>
            </w:r>
          </w:p>
          <w:p w14:paraId="14C72989" w14:textId="77777777" w:rsidR="005D3D1E" w:rsidRPr="008457BE" w:rsidRDefault="005D3D1E" w:rsidP="00B714E4">
            <w:pPr>
              <w:widowControl w:val="0"/>
              <w:tabs>
                <w:tab w:val="left" w:pos="2977"/>
                <w:tab w:val="left" w:pos="3969"/>
              </w:tabs>
              <w:autoSpaceDE w:val="0"/>
              <w:autoSpaceDN w:val="0"/>
              <w:adjustRightInd w:val="0"/>
              <w:spacing w:line="240" w:lineRule="auto"/>
              <w:ind w:right="176"/>
              <w:rPr>
                <w:rFonts w:ascii="Arial" w:hAnsi="Arial" w:cs="Calibri"/>
                <w:color w:val="0000FF"/>
                <w:sz w:val="16"/>
                <w:szCs w:val="26"/>
                <w:u w:val="single"/>
                <w:lang w:eastAsia="de-DE"/>
              </w:rPr>
            </w:pPr>
          </w:p>
        </w:tc>
        <w:tc>
          <w:tcPr>
            <w:tcW w:w="4819" w:type="dxa"/>
            <w:shd w:val="clear" w:color="auto" w:fill="auto"/>
          </w:tcPr>
          <w:p w14:paraId="37912198" w14:textId="77777777" w:rsidR="005D3D1E" w:rsidRPr="000655B7" w:rsidRDefault="005D3D1E" w:rsidP="00B714E4">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D-89077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8"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2E55E5C6" w14:textId="5551ECA8" w:rsidR="007749DD" w:rsidRPr="005D3D1E" w:rsidRDefault="005D3D1E" w:rsidP="005D3D1E">
      <w:pPr>
        <w:widowControl w:val="0"/>
        <w:autoSpaceDE w:val="0"/>
        <w:autoSpaceDN w:val="0"/>
        <w:adjustRightInd w:val="0"/>
        <w:spacing w:line="240" w:lineRule="auto"/>
        <w:ind w:left="34"/>
        <w:rPr>
          <w:rFonts w:ascii="Arial" w:hAnsi="Arial" w:cs="Calibri"/>
          <w:sz w:val="16"/>
          <w:szCs w:val="26"/>
          <w:lang w:eastAsia="de-DE"/>
        </w:rPr>
      </w:pPr>
      <w:r w:rsidRPr="000655B7">
        <w:rPr>
          <w:rFonts w:ascii="Arial" w:hAnsi="Arial" w:cs="Calibri"/>
          <w:sz w:val="16"/>
          <w:szCs w:val="26"/>
          <w:lang w:eastAsia="de-DE"/>
        </w:rPr>
        <w:t>Die</w:t>
      </w:r>
      <w:r>
        <w:rPr>
          <w:rFonts w:ascii="Arial" w:hAnsi="Arial" w:cs="Calibri"/>
          <w:sz w:val="16"/>
          <w:szCs w:val="26"/>
          <w:lang w:eastAsia="de-DE"/>
        </w:rPr>
        <w:t xml:space="preserve"> </w:t>
      </w:r>
      <w:proofErr w:type="spellStart"/>
      <w:r>
        <w:rPr>
          <w:rFonts w:ascii="Arial" w:hAnsi="Arial" w:cs="Calibri"/>
          <w:sz w:val="16"/>
          <w:szCs w:val="26"/>
          <w:lang w:eastAsia="de-DE"/>
        </w:rPr>
        <w:t>tktVivax</w:t>
      </w:r>
      <w:proofErr w:type="spellEnd"/>
      <w:r>
        <w:rPr>
          <w:rFonts w:ascii="Arial" w:hAnsi="Arial" w:cs="Calibri"/>
          <w:sz w:val="16"/>
          <w:szCs w:val="26"/>
          <w:lang w:eastAsia="de-DE"/>
        </w:rPr>
        <w:t xml:space="preserve"> </w:t>
      </w:r>
      <w:r w:rsidRPr="000655B7">
        <w:rPr>
          <w:rFonts w:ascii="Arial" w:hAnsi="Arial" w:cs="Calibri"/>
          <w:sz w:val="16"/>
          <w:szCs w:val="26"/>
          <w:lang w:eastAsia="de-DE"/>
        </w:rPr>
        <w:t xml:space="preserve">GmbH mit Sitz in </w:t>
      </w:r>
      <w:r>
        <w:rPr>
          <w:rFonts w:ascii="Arial" w:hAnsi="Arial" w:cs="Calibri"/>
          <w:sz w:val="16"/>
          <w:szCs w:val="26"/>
          <w:lang w:eastAsia="de-DE"/>
        </w:rPr>
        <w:t xml:space="preserve">Berlin entstand Ende 2018 aus der Fusion der </w:t>
      </w:r>
      <w:proofErr w:type="spellStart"/>
      <w:r w:rsidRPr="007F3F43">
        <w:rPr>
          <w:rFonts w:ascii="Arial" w:hAnsi="Arial" w:cs="Calibri"/>
          <w:sz w:val="16"/>
          <w:szCs w:val="26"/>
          <w:lang w:eastAsia="de-DE"/>
        </w:rPr>
        <w:t>tkt</w:t>
      </w:r>
      <w:proofErr w:type="spellEnd"/>
      <w:r w:rsidRPr="007F3F43">
        <w:rPr>
          <w:rFonts w:ascii="Arial" w:hAnsi="Arial" w:cs="Calibri"/>
          <w:sz w:val="16"/>
          <w:szCs w:val="26"/>
          <w:lang w:eastAsia="de-DE"/>
        </w:rPr>
        <w:t xml:space="preserve"> </w:t>
      </w:r>
      <w:proofErr w:type="spellStart"/>
      <w:r w:rsidRPr="007F3F43">
        <w:rPr>
          <w:rFonts w:ascii="Arial" w:hAnsi="Arial" w:cs="Calibri"/>
          <w:sz w:val="16"/>
          <w:szCs w:val="26"/>
          <w:lang w:eastAsia="de-DE"/>
        </w:rPr>
        <w:t>teleconsult</w:t>
      </w:r>
      <w:proofErr w:type="spellEnd"/>
      <w:r w:rsidRPr="007F3F43">
        <w:rPr>
          <w:rFonts w:ascii="Arial" w:hAnsi="Arial" w:cs="Calibri"/>
          <w:sz w:val="16"/>
          <w:szCs w:val="26"/>
          <w:lang w:eastAsia="de-DE"/>
        </w:rPr>
        <w:t xml:space="preserve"> Kommunikationstechnik GmbH</w:t>
      </w:r>
      <w:r>
        <w:rPr>
          <w:rFonts w:ascii="Arial" w:hAnsi="Arial" w:cs="Calibri"/>
          <w:sz w:val="16"/>
          <w:szCs w:val="26"/>
          <w:lang w:eastAsia="de-DE"/>
        </w:rPr>
        <w:t xml:space="preserve">, Backnang, und der </w:t>
      </w:r>
      <w:proofErr w:type="spellStart"/>
      <w:r>
        <w:rPr>
          <w:rFonts w:ascii="Arial" w:hAnsi="Arial" w:cs="Calibri"/>
          <w:sz w:val="16"/>
          <w:szCs w:val="26"/>
          <w:lang w:eastAsia="de-DE"/>
        </w:rPr>
        <w:t>Vivax</w:t>
      </w:r>
      <w:proofErr w:type="spellEnd"/>
      <w:r>
        <w:rPr>
          <w:rFonts w:ascii="Arial" w:hAnsi="Arial" w:cs="Calibri"/>
          <w:sz w:val="16"/>
          <w:szCs w:val="26"/>
          <w:lang w:eastAsia="de-DE"/>
        </w:rPr>
        <w:t xml:space="preserve"> GmbH, Berlin. Damit führten </w:t>
      </w:r>
      <w:proofErr w:type="spellStart"/>
      <w:r>
        <w:rPr>
          <w:rFonts w:ascii="Arial" w:hAnsi="Arial" w:cs="Calibri"/>
          <w:sz w:val="16"/>
          <w:szCs w:val="26"/>
          <w:lang w:eastAsia="de-DE"/>
        </w:rPr>
        <w:t>tkt</w:t>
      </w:r>
      <w:proofErr w:type="spellEnd"/>
      <w:r>
        <w:rPr>
          <w:rFonts w:ascii="Arial" w:hAnsi="Arial" w:cs="Calibri"/>
          <w:sz w:val="16"/>
          <w:szCs w:val="26"/>
          <w:lang w:eastAsia="de-DE"/>
        </w:rPr>
        <w:t xml:space="preserve"> (1995 gegründet) und </w:t>
      </w:r>
      <w:proofErr w:type="spellStart"/>
      <w:r>
        <w:rPr>
          <w:rFonts w:ascii="Arial" w:hAnsi="Arial" w:cs="Calibri"/>
          <w:sz w:val="16"/>
          <w:szCs w:val="26"/>
          <w:lang w:eastAsia="de-DE"/>
        </w:rPr>
        <w:t>Vivax</w:t>
      </w:r>
      <w:proofErr w:type="spellEnd"/>
      <w:r>
        <w:rPr>
          <w:rFonts w:ascii="Arial" w:hAnsi="Arial" w:cs="Calibri"/>
          <w:sz w:val="16"/>
          <w:szCs w:val="26"/>
          <w:lang w:eastAsia="de-DE"/>
        </w:rPr>
        <w:t xml:space="preserve"> (2009 gegründet) ihre Kompetenzen im </w:t>
      </w:r>
      <w:r w:rsidRPr="007749DD">
        <w:rPr>
          <w:rFonts w:ascii="Arial" w:hAnsi="Arial" w:cs="Calibri"/>
          <w:sz w:val="16"/>
          <w:szCs w:val="26"/>
          <w:lang w:eastAsia="de-DE"/>
        </w:rPr>
        <w:t xml:space="preserve">Bereich zukunftsorientierter Telekommunikationstechnologien </w:t>
      </w:r>
      <w:r>
        <w:rPr>
          <w:rFonts w:ascii="Arial" w:hAnsi="Arial" w:cs="Calibri"/>
          <w:sz w:val="16"/>
          <w:szCs w:val="26"/>
          <w:lang w:eastAsia="de-DE"/>
        </w:rPr>
        <w:t>mit dem Know-how</w:t>
      </w:r>
      <w:r w:rsidRPr="007749DD">
        <w:rPr>
          <w:rFonts w:ascii="Arial" w:hAnsi="Arial" w:cs="Calibri"/>
          <w:sz w:val="16"/>
          <w:szCs w:val="26"/>
          <w:lang w:eastAsia="de-DE"/>
        </w:rPr>
        <w:t xml:space="preserve"> für Organisations-, Prozess- und Digi</w:t>
      </w:r>
      <w:r>
        <w:rPr>
          <w:rFonts w:ascii="Arial" w:hAnsi="Arial" w:cs="Calibri"/>
          <w:sz w:val="16"/>
          <w:szCs w:val="26"/>
          <w:lang w:eastAsia="de-DE"/>
        </w:rPr>
        <w:t>t</w:t>
      </w:r>
      <w:r w:rsidRPr="007749DD">
        <w:rPr>
          <w:rFonts w:ascii="Arial" w:hAnsi="Arial" w:cs="Calibri"/>
          <w:sz w:val="16"/>
          <w:szCs w:val="26"/>
          <w:lang w:eastAsia="de-DE"/>
        </w:rPr>
        <w:t>alisierungsberatung in der kommunalen Versorgungswirtschaft</w:t>
      </w:r>
      <w:r>
        <w:rPr>
          <w:rFonts w:ascii="Arial" w:hAnsi="Arial" w:cs="Calibri"/>
          <w:sz w:val="16"/>
          <w:szCs w:val="26"/>
          <w:lang w:eastAsia="de-DE"/>
        </w:rPr>
        <w:t xml:space="preserve"> zusammen</w:t>
      </w:r>
      <w:r w:rsidRPr="007749DD">
        <w:rPr>
          <w:rFonts w:ascii="Arial" w:hAnsi="Arial" w:cs="Calibri"/>
          <w:sz w:val="16"/>
          <w:szCs w:val="26"/>
          <w:lang w:eastAsia="de-DE"/>
        </w:rPr>
        <w:t>.</w:t>
      </w:r>
      <w:r>
        <w:rPr>
          <w:rFonts w:ascii="Arial" w:hAnsi="Arial" w:cs="Calibri"/>
          <w:sz w:val="16"/>
          <w:szCs w:val="26"/>
          <w:lang w:eastAsia="de-DE"/>
        </w:rPr>
        <w:t xml:space="preserve"> Mit rund 50 Mitarbeitern deckt das Beratungsunternehmen ein breites Spektrum von der Analyse, </w:t>
      </w:r>
      <w:r w:rsidRPr="00AD4250">
        <w:rPr>
          <w:rFonts w:ascii="Arial" w:hAnsi="Arial" w:cs="Calibri"/>
          <w:sz w:val="16"/>
          <w:szCs w:val="26"/>
          <w:lang w:eastAsia="de-DE"/>
        </w:rPr>
        <w:t>Strategiefindung und Fördermittelberatung über die Neu- und Umgestaltung von Prozessen und Organisationen</w:t>
      </w:r>
      <w:r>
        <w:rPr>
          <w:rFonts w:ascii="Arial" w:hAnsi="Arial" w:cs="Calibri"/>
          <w:sz w:val="16"/>
          <w:szCs w:val="26"/>
          <w:lang w:eastAsia="de-DE"/>
        </w:rPr>
        <w:t xml:space="preserve"> in allen Bereichen der Versorgungswirtschaft</w:t>
      </w:r>
      <w:r w:rsidRPr="00AD4250">
        <w:rPr>
          <w:rFonts w:ascii="Arial" w:hAnsi="Arial" w:cs="Calibri"/>
          <w:sz w:val="16"/>
          <w:szCs w:val="26"/>
          <w:lang w:eastAsia="de-DE"/>
        </w:rPr>
        <w:t xml:space="preserve"> bis hin zur Planungs- und Umsetzungsbegleitung</w:t>
      </w:r>
      <w:r>
        <w:rPr>
          <w:rFonts w:ascii="Arial" w:hAnsi="Arial" w:cs="Calibri"/>
          <w:sz w:val="16"/>
          <w:szCs w:val="26"/>
          <w:lang w:eastAsia="de-DE"/>
        </w:rPr>
        <w:t xml:space="preserve"> von Glasfaser- und 5G-Infrastrukturen an. Zielgruppe sind sowohl Stadtwerke als auch Kommunalverwaltungen.</w:t>
      </w:r>
    </w:p>
    <w:sectPr w:rsidR="007749DD" w:rsidRPr="005D3D1E" w:rsidSect="000655B7">
      <w:headerReference w:type="default" r:id="rId9"/>
      <w:pgSz w:w="12240" w:h="15840"/>
      <w:pgMar w:top="1701" w:right="3735"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51D83D" w14:textId="77777777" w:rsidR="009E6B35" w:rsidRDefault="009E6B35" w:rsidP="00BF70FE">
      <w:pPr>
        <w:spacing w:after="0" w:line="240" w:lineRule="auto"/>
      </w:pPr>
      <w:r>
        <w:separator/>
      </w:r>
    </w:p>
  </w:endnote>
  <w:endnote w:type="continuationSeparator" w:id="0">
    <w:p w14:paraId="495CF606" w14:textId="77777777" w:rsidR="009E6B35" w:rsidRDefault="009E6B35"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altName w:val="Calibr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7429FC" w14:textId="77777777" w:rsidR="009E6B35" w:rsidRDefault="009E6B35" w:rsidP="00BF70FE">
      <w:pPr>
        <w:spacing w:after="0" w:line="240" w:lineRule="auto"/>
      </w:pPr>
      <w:r>
        <w:separator/>
      </w:r>
    </w:p>
  </w:footnote>
  <w:footnote w:type="continuationSeparator" w:id="0">
    <w:p w14:paraId="2EDE664B" w14:textId="77777777" w:rsidR="009E6B35" w:rsidRDefault="009E6B35"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049685" w14:textId="318F9223" w:rsidR="00B96701" w:rsidRDefault="00E478B7" w:rsidP="002757A3">
    <w:pPr>
      <w:pStyle w:val="Kopfzeile"/>
      <w:ind w:right="-2268"/>
      <w:jc w:val="right"/>
    </w:pPr>
    <w:r>
      <w:rPr>
        <w:noProof/>
        <w:lang w:eastAsia="de-DE"/>
      </w:rPr>
      <w:drawing>
        <wp:inline distT="0" distB="0" distL="0" distR="0" wp14:anchorId="4445E150" wp14:editId="47E183F1">
          <wp:extent cx="1758237" cy="433606"/>
          <wp:effectExtent l="0" t="0" r="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ktvivax logo 80%k.jpg"/>
                  <pic:cNvPicPr/>
                </pic:nvPicPr>
                <pic:blipFill>
                  <a:blip r:embed="rId1"/>
                  <a:stretch>
                    <a:fillRect/>
                  </a:stretch>
                </pic:blipFill>
                <pic:spPr>
                  <a:xfrm>
                    <a:off x="0" y="0"/>
                    <a:ext cx="1882966" cy="464366"/>
                  </a:xfrm>
                  <a:prstGeom prst="rect">
                    <a:avLst/>
                  </a:prstGeom>
                </pic:spPr>
              </pic:pic>
            </a:graphicData>
          </a:graphic>
        </wp:inline>
      </w:drawing>
    </w:r>
    <w:r w:rsidR="00B96701">
      <w:rPr>
        <w:noProof/>
        <w:lang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5"/>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26CFD"/>
    <w:rsid w:val="00037B8A"/>
    <w:rsid w:val="0006200B"/>
    <w:rsid w:val="00065270"/>
    <w:rsid w:val="000655B7"/>
    <w:rsid w:val="000823CF"/>
    <w:rsid w:val="000A4C5E"/>
    <w:rsid w:val="000A4C93"/>
    <w:rsid w:val="000C4746"/>
    <w:rsid w:val="000D4DE3"/>
    <w:rsid w:val="000E087D"/>
    <w:rsid w:val="000E7CE7"/>
    <w:rsid w:val="000F2111"/>
    <w:rsid w:val="000F4F9D"/>
    <w:rsid w:val="0010198B"/>
    <w:rsid w:val="00104674"/>
    <w:rsid w:val="00106821"/>
    <w:rsid w:val="00131142"/>
    <w:rsid w:val="0013234F"/>
    <w:rsid w:val="00135237"/>
    <w:rsid w:val="00157861"/>
    <w:rsid w:val="00181FBB"/>
    <w:rsid w:val="00187FC7"/>
    <w:rsid w:val="001C51EC"/>
    <w:rsid w:val="001D2FB7"/>
    <w:rsid w:val="001E6755"/>
    <w:rsid w:val="00205941"/>
    <w:rsid w:val="00207A9F"/>
    <w:rsid w:val="00213AF7"/>
    <w:rsid w:val="00221777"/>
    <w:rsid w:val="00237217"/>
    <w:rsid w:val="00262A08"/>
    <w:rsid w:val="00265589"/>
    <w:rsid w:val="002745F8"/>
    <w:rsid w:val="002757A3"/>
    <w:rsid w:val="0028558F"/>
    <w:rsid w:val="002A7E29"/>
    <w:rsid w:val="002B3E9E"/>
    <w:rsid w:val="002D5B66"/>
    <w:rsid w:val="002E0481"/>
    <w:rsid w:val="002F1BFF"/>
    <w:rsid w:val="0030091A"/>
    <w:rsid w:val="00304113"/>
    <w:rsid w:val="00314048"/>
    <w:rsid w:val="003274D8"/>
    <w:rsid w:val="00341A34"/>
    <w:rsid w:val="0035256E"/>
    <w:rsid w:val="00362AE7"/>
    <w:rsid w:val="00394D5C"/>
    <w:rsid w:val="003953CA"/>
    <w:rsid w:val="003A3B30"/>
    <w:rsid w:val="003A6602"/>
    <w:rsid w:val="003B6004"/>
    <w:rsid w:val="003C0B6F"/>
    <w:rsid w:val="003C475B"/>
    <w:rsid w:val="003D63AC"/>
    <w:rsid w:val="00406C69"/>
    <w:rsid w:val="004137FD"/>
    <w:rsid w:val="00427AD2"/>
    <w:rsid w:val="004422BD"/>
    <w:rsid w:val="004467C0"/>
    <w:rsid w:val="004540FC"/>
    <w:rsid w:val="00454989"/>
    <w:rsid w:val="00463FE6"/>
    <w:rsid w:val="00465CBB"/>
    <w:rsid w:val="004713E0"/>
    <w:rsid w:val="004810F6"/>
    <w:rsid w:val="00497AEF"/>
    <w:rsid w:val="004B0D7E"/>
    <w:rsid w:val="004F5892"/>
    <w:rsid w:val="00521E6A"/>
    <w:rsid w:val="00556FEE"/>
    <w:rsid w:val="00557F58"/>
    <w:rsid w:val="00576A90"/>
    <w:rsid w:val="00576E59"/>
    <w:rsid w:val="005926D7"/>
    <w:rsid w:val="005958C2"/>
    <w:rsid w:val="00596BC4"/>
    <w:rsid w:val="005D3D1E"/>
    <w:rsid w:val="005F63B7"/>
    <w:rsid w:val="006563BE"/>
    <w:rsid w:val="00664FF9"/>
    <w:rsid w:val="006663C8"/>
    <w:rsid w:val="00682686"/>
    <w:rsid w:val="00682E83"/>
    <w:rsid w:val="006D38DD"/>
    <w:rsid w:val="006F2189"/>
    <w:rsid w:val="00705635"/>
    <w:rsid w:val="00712F91"/>
    <w:rsid w:val="00714AB5"/>
    <w:rsid w:val="007162A5"/>
    <w:rsid w:val="007169F8"/>
    <w:rsid w:val="00726D0D"/>
    <w:rsid w:val="00732F57"/>
    <w:rsid w:val="00742C79"/>
    <w:rsid w:val="00751621"/>
    <w:rsid w:val="00752985"/>
    <w:rsid w:val="00753CE4"/>
    <w:rsid w:val="00764363"/>
    <w:rsid w:val="00766B7A"/>
    <w:rsid w:val="007749DD"/>
    <w:rsid w:val="007768B7"/>
    <w:rsid w:val="00780026"/>
    <w:rsid w:val="00785A83"/>
    <w:rsid w:val="00785BC8"/>
    <w:rsid w:val="007F3F43"/>
    <w:rsid w:val="00803966"/>
    <w:rsid w:val="00822F51"/>
    <w:rsid w:val="008457BE"/>
    <w:rsid w:val="00860C87"/>
    <w:rsid w:val="00872E24"/>
    <w:rsid w:val="00937B5E"/>
    <w:rsid w:val="0094694E"/>
    <w:rsid w:val="00953399"/>
    <w:rsid w:val="0095460E"/>
    <w:rsid w:val="0098474D"/>
    <w:rsid w:val="00993991"/>
    <w:rsid w:val="009A5414"/>
    <w:rsid w:val="009B04A2"/>
    <w:rsid w:val="009C0CE4"/>
    <w:rsid w:val="009E6B35"/>
    <w:rsid w:val="009F0C3D"/>
    <w:rsid w:val="00A22923"/>
    <w:rsid w:val="00A257D2"/>
    <w:rsid w:val="00A32BA5"/>
    <w:rsid w:val="00A339B3"/>
    <w:rsid w:val="00A461EC"/>
    <w:rsid w:val="00A462DC"/>
    <w:rsid w:val="00A551F1"/>
    <w:rsid w:val="00A55C3C"/>
    <w:rsid w:val="00A56E5A"/>
    <w:rsid w:val="00A86E2E"/>
    <w:rsid w:val="00AC6091"/>
    <w:rsid w:val="00AD08BE"/>
    <w:rsid w:val="00AD4250"/>
    <w:rsid w:val="00B11CFE"/>
    <w:rsid w:val="00B27B9D"/>
    <w:rsid w:val="00B43DB2"/>
    <w:rsid w:val="00B46CF9"/>
    <w:rsid w:val="00B47F46"/>
    <w:rsid w:val="00B71C92"/>
    <w:rsid w:val="00B753D5"/>
    <w:rsid w:val="00B819A5"/>
    <w:rsid w:val="00B96701"/>
    <w:rsid w:val="00BA51BE"/>
    <w:rsid w:val="00BC1CCE"/>
    <w:rsid w:val="00BC3A66"/>
    <w:rsid w:val="00BE3C7C"/>
    <w:rsid w:val="00BF3BB4"/>
    <w:rsid w:val="00BF70FE"/>
    <w:rsid w:val="00C27553"/>
    <w:rsid w:val="00C32033"/>
    <w:rsid w:val="00C424EF"/>
    <w:rsid w:val="00C6235A"/>
    <w:rsid w:val="00C84CCA"/>
    <w:rsid w:val="00C91823"/>
    <w:rsid w:val="00CB2102"/>
    <w:rsid w:val="00CB3800"/>
    <w:rsid w:val="00CC44E9"/>
    <w:rsid w:val="00CD3EF6"/>
    <w:rsid w:val="00CD490F"/>
    <w:rsid w:val="00CD5183"/>
    <w:rsid w:val="00D02991"/>
    <w:rsid w:val="00D1662C"/>
    <w:rsid w:val="00D16EBD"/>
    <w:rsid w:val="00D20803"/>
    <w:rsid w:val="00D429BE"/>
    <w:rsid w:val="00D52A64"/>
    <w:rsid w:val="00D572B9"/>
    <w:rsid w:val="00D63982"/>
    <w:rsid w:val="00D9728A"/>
    <w:rsid w:val="00DC1341"/>
    <w:rsid w:val="00DF3864"/>
    <w:rsid w:val="00DF581E"/>
    <w:rsid w:val="00E14982"/>
    <w:rsid w:val="00E20A29"/>
    <w:rsid w:val="00E26B5E"/>
    <w:rsid w:val="00E3135E"/>
    <w:rsid w:val="00E37F9E"/>
    <w:rsid w:val="00E478B7"/>
    <w:rsid w:val="00E570C4"/>
    <w:rsid w:val="00E60782"/>
    <w:rsid w:val="00E60990"/>
    <w:rsid w:val="00E6120F"/>
    <w:rsid w:val="00E64CFD"/>
    <w:rsid w:val="00E704E3"/>
    <w:rsid w:val="00E73FD3"/>
    <w:rsid w:val="00E833E9"/>
    <w:rsid w:val="00E92706"/>
    <w:rsid w:val="00E96682"/>
    <w:rsid w:val="00EB6A45"/>
    <w:rsid w:val="00ED3254"/>
    <w:rsid w:val="00ED48B5"/>
    <w:rsid w:val="00EF4362"/>
    <w:rsid w:val="00F02294"/>
    <w:rsid w:val="00F60AEE"/>
    <w:rsid w:val="00F66C89"/>
    <w:rsid w:val="00F66CAF"/>
    <w:rsid w:val="00F80BB7"/>
    <w:rsid w:val="00F875B4"/>
    <w:rsid w:val="00F91B9F"/>
    <w:rsid w:val="00F94262"/>
    <w:rsid w:val="00F94264"/>
    <w:rsid w:val="00F965C4"/>
    <w:rsid w:val="00FB447B"/>
    <w:rsid w:val="00FB68F7"/>
    <w:rsid w:val="00FE2E90"/>
    <w:rsid w:val="00FE30BE"/>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620</Words>
  <Characters>3910</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10</cp:revision>
  <cp:lastPrinted>2019-01-24T08:44:00Z</cp:lastPrinted>
  <dcterms:created xsi:type="dcterms:W3CDTF">2019-01-22T15:45:00Z</dcterms:created>
  <dcterms:modified xsi:type="dcterms:W3CDTF">2019-01-24T08:59:00Z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306931540</vt:i4>
  </property>
  <property fmtid="{D5CDD505-2E9C-101B-9397-08002B2CF9AE}" pid="3" name="_NewReviewCycle">
    <vt:lpwstr/>
  </property>
  <property fmtid="{D5CDD505-2E9C-101B-9397-08002B2CF9AE}" pid="4" name="_EmailSubject">
    <vt:lpwstr>Presseinfo STI Energiewirtschaft</vt:lpwstr>
  </property>
  <property fmtid="{D5CDD505-2E9C-101B-9397-08002B2CF9AE}" pid="5" name="_AuthorEmail">
    <vt:lpwstr>d.fieml@vivax-gmbh.net</vt:lpwstr>
  </property>
  <property fmtid="{D5CDD505-2E9C-101B-9397-08002B2CF9AE}" pid="6" name="_AuthorEmailDisplayName">
    <vt:lpwstr>Dirk Fieml</vt:lpwstr>
  </property>
</Properties>
</file>