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A4D0BA" w14:textId="77777777" w:rsidR="006D6479" w:rsidRPr="000655B7" w:rsidRDefault="006D6479" w:rsidP="006D6479">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27E83242" w14:textId="77777777" w:rsidR="006D6479" w:rsidRDefault="006D6479" w:rsidP="006D6479">
      <w:pPr>
        <w:autoSpaceDE w:val="0"/>
        <w:autoSpaceDN w:val="0"/>
        <w:adjustRightInd w:val="0"/>
        <w:spacing w:after="0" w:line="240" w:lineRule="auto"/>
        <w:rPr>
          <w:rFonts w:ascii="Arial" w:hAnsi="Arial" w:cs="Arial"/>
          <w:color w:val="000000"/>
        </w:rPr>
      </w:pPr>
    </w:p>
    <w:p w14:paraId="11DCDAC8" w14:textId="3FE85240" w:rsidR="006D6479" w:rsidRPr="00C74157" w:rsidRDefault="006D6479" w:rsidP="006D6479">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24077D">
        <w:rPr>
          <w:rFonts w:ascii="Arial" w:hAnsi="Arial" w:cs="Arial"/>
          <w:color w:val="000000"/>
        </w:rPr>
        <w:t>17</w:t>
      </w:r>
      <w:r w:rsidRPr="000655B7">
        <w:rPr>
          <w:rFonts w:ascii="Arial" w:hAnsi="Arial" w:cs="Arial"/>
          <w:color w:val="000000"/>
        </w:rPr>
        <w:t xml:space="preserve">. </w:t>
      </w:r>
      <w:r w:rsidR="00E3504A">
        <w:rPr>
          <w:rFonts w:ascii="Arial" w:hAnsi="Arial" w:cs="Arial"/>
          <w:color w:val="000000"/>
        </w:rPr>
        <w:t>Jun</w:t>
      </w:r>
      <w:r w:rsidR="00BA3625">
        <w:rPr>
          <w:rFonts w:ascii="Arial" w:hAnsi="Arial" w:cs="Arial"/>
          <w:color w:val="000000"/>
        </w:rPr>
        <w:t>i</w:t>
      </w:r>
      <w:r w:rsidRPr="00C74157">
        <w:rPr>
          <w:rFonts w:ascii="Arial" w:hAnsi="Arial" w:cs="Arial"/>
          <w:color w:val="000000"/>
        </w:rPr>
        <w:t xml:space="preserve"> 20</w:t>
      </w:r>
      <w:r>
        <w:rPr>
          <w:rFonts w:ascii="Arial" w:hAnsi="Arial" w:cs="Arial"/>
          <w:color w:val="000000"/>
        </w:rPr>
        <w:t>21</w:t>
      </w:r>
    </w:p>
    <w:p w14:paraId="60C1E519" w14:textId="77777777" w:rsidR="006D6479" w:rsidRPr="00C74157" w:rsidRDefault="006D6479" w:rsidP="006D6479">
      <w:pPr>
        <w:autoSpaceDE w:val="0"/>
        <w:autoSpaceDN w:val="0"/>
        <w:adjustRightInd w:val="0"/>
        <w:spacing w:after="0" w:line="240" w:lineRule="auto"/>
        <w:rPr>
          <w:rFonts w:ascii="Arial" w:hAnsi="Arial" w:cs="Arial"/>
          <w:color w:val="000000"/>
          <w:sz w:val="24"/>
          <w:szCs w:val="24"/>
        </w:rPr>
      </w:pPr>
    </w:p>
    <w:p w14:paraId="097EE400" w14:textId="77777777" w:rsidR="006D6479" w:rsidRPr="00C74157" w:rsidRDefault="006D6479" w:rsidP="006D6479">
      <w:pPr>
        <w:autoSpaceDE w:val="0"/>
        <w:autoSpaceDN w:val="0"/>
        <w:adjustRightInd w:val="0"/>
        <w:spacing w:after="0" w:line="360" w:lineRule="auto"/>
        <w:rPr>
          <w:rFonts w:ascii="Arial" w:hAnsi="Arial" w:cs="Arial"/>
          <w:color w:val="000000"/>
          <w:sz w:val="20"/>
          <w:szCs w:val="20"/>
        </w:rPr>
      </w:pPr>
    </w:p>
    <w:p w14:paraId="76F31D2B" w14:textId="77777777" w:rsidR="00EF6468" w:rsidRDefault="00EF6468" w:rsidP="0066068D">
      <w:pPr>
        <w:spacing w:line="360" w:lineRule="auto"/>
        <w:ind w:right="-1814"/>
        <w:rPr>
          <w:rFonts w:ascii="Arial" w:hAnsi="Arial" w:cs="Arial"/>
          <w:b/>
          <w:color w:val="000000"/>
          <w:sz w:val="20"/>
          <w:szCs w:val="20"/>
        </w:rPr>
      </w:pPr>
      <w:bookmarkStart w:id="0" w:name="OLE_LINK4"/>
      <w:bookmarkStart w:id="1" w:name="OLE_LINK5"/>
      <w:r w:rsidRPr="0099032D">
        <w:rPr>
          <w:rFonts w:ascii="Arial" w:hAnsi="Arial" w:cs="Arial"/>
          <w:b/>
          <w:color w:val="000000"/>
          <w:spacing w:val="2"/>
          <w:sz w:val="28"/>
          <w:szCs w:val="28"/>
        </w:rPr>
        <w:t>Breitband-Cockpit: Alle Details des Ausbaus aktuell im Blick</w:t>
      </w:r>
      <w:r>
        <w:rPr>
          <w:rFonts w:ascii="Arial" w:hAnsi="Arial" w:cs="Arial"/>
          <w:b/>
          <w:color w:val="000000"/>
          <w:sz w:val="28"/>
          <w:szCs w:val="28"/>
        </w:rPr>
        <w:br/>
      </w:r>
      <w:r w:rsidRPr="0099032D">
        <w:rPr>
          <w:rFonts w:ascii="Arial" w:hAnsi="Arial" w:cs="Arial"/>
          <w:b/>
          <w:color w:val="000000"/>
          <w:spacing w:val="1"/>
          <w:sz w:val="20"/>
          <w:szCs w:val="20"/>
        </w:rPr>
        <w:t>Vivax Solution mit neuem Werkzeug zur Visualisierung von Glasfaser-Netzbauprojekten</w:t>
      </w:r>
      <w:r>
        <w:rPr>
          <w:rFonts w:ascii="Arial" w:hAnsi="Arial" w:cs="Arial"/>
          <w:b/>
          <w:color w:val="000000"/>
          <w:sz w:val="20"/>
          <w:szCs w:val="20"/>
        </w:rPr>
        <w:t xml:space="preserve"> </w:t>
      </w:r>
    </w:p>
    <w:p w14:paraId="67B2DFD9" w14:textId="6BB96AF4" w:rsidR="00EF6468" w:rsidRPr="00E3504A" w:rsidRDefault="00EF6468" w:rsidP="00EF6468">
      <w:pPr>
        <w:spacing w:line="360" w:lineRule="auto"/>
        <w:rPr>
          <w:rFonts w:ascii="Arial" w:hAnsi="Arial" w:cs="Arial"/>
          <w:b/>
          <w:color w:val="000000"/>
          <w:sz w:val="20"/>
          <w:szCs w:val="20"/>
        </w:rPr>
      </w:pPr>
      <w:r>
        <w:rPr>
          <w:rFonts w:ascii="Arial" w:hAnsi="Arial" w:cs="Arial"/>
          <w:b/>
          <w:bCs/>
          <w:color w:val="000000"/>
          <w:sz w:val="20"/>
          <w:szCs w:val="20"/>
        </w:rPr>
        <w:t xml:space="preserve">Mit dem neuen Breitband-Cockpit von Vivax Solution ist der aktuelle Status eines Breitband-Projektes jederzeit online abrufbar. Die tktVivax-Tochter bietet damit eine Lösung, die das Monitoring der Ausbaumaßnahmen auch in komplexen Projekten quasi in Echtzeit möglich macht. Die dazu notwendigen Daten können aus den Systemen der Tiefbau- und Montageunternehmen oder anderen Kooperationspartnern übernommen werden. Das browserbasierte System zeigt dann den aktuellen Status in einer interaktiven Kartenansicht an. Über differenzierte Suchmöglichkeiten und farbige Darstellungen unterschiedlicher Status können Problem- und Potentialzonen schnell erkannt und entsprechende Maßnahmen eingeleitet werden. Zum Einsatz kommt das Vivax Breitband-Cockpit unter anderem im Gigabitkompetenzzentrum Heilbronn-Franken, dem derzeit größten eigenwirtschaftlich finanzierten Glasfaserprojekt in </w:t>
      </w:r>
      <w:r w:rsidR="0067177D">
        <w:rPr>
          <w:rFonts w:ascii="Arial" w:hAnsi="Arial" w:cs="Arial"/>
          <w:b/>
          <w:bCs/>
          <w:color w:val="000000"/>
          <w:sz w:val="20"/>
          <w:szCs w:val="20"/>
        </w:rPr>
        <w:t>Deutschland</w:t>
      </w:r>
      <w:r>
        <w:rPr>
          <w:rFonts w:ascii="Arial" w:hAnsi="Arial" w:cs="Arial"/>
          <w:b/>
          <w:bCs/>
          <w:color w:val="000000"/>
          <w:sz w:val="20"/>
          <w:szCs w:val="20"/>
        </w:rPr>
        <w:t xml:space="preserve">. Hier erhalten alle </w:t>
      </w:r>
      <w:r w:rsidR="0024077D">
        <w:rPr>
          <w:rFonts w:ascii="Arial" w:hAnsi="Arial" w:cs="Arial"/>
          <w:b/>
          <w:bCs/>
          <w:color w:val="000000"/>
          <w:sz w:val="20"/>
          <w:szCs w:val="20"/>
        </w:rPr>
        <w:t xml:space="preserve">der rund 90 </w:t>
      </w:r>
      <w:r>
        <w:rPr>
          <w:rFonts w:ascii="Arial" w:hAnsi="Arial" w:cs="Arial"/>
          <w:b/>
          <w:bCs/>
          <w:color w:val="000000"/>
          <w:sz w:val="20"/>
          <w:szCs w:val="20"/>
        </w:rPr>
        <w:t>beteiligten Gemeinden dieser Region Zugriff und können so die Fortschritte des Ausbaus immer aktuell im Auge behalten.</w:t>
      </w:r>
    </w:p>
    <w:p w14:paraId="544270F5" w14:textId="0362AE60" w:rsidR="00EF6468" w:rsidRPr="0099032D" w:rsidRDefault="00EF6468" w:rsidP="00EF6468">
      <w:pPr>
        <w:spacing w:line="360" w:lineRule="auto"/>
        <w:rPr>
          <w:rFonts w:ascii="Arial" w:hAnsi="Arial" w:cs="Tahoma"/>
          <w:bCs/>
          <w:spacing w:val="-1"/>
          <w:sz w:val="20"/>
          <w:szCs w:val="20"/>
        </w:rPr>
      </w:pPr>
      <w:r w:rsidRPr="0099032D">
        <w:rPr>
          <w:rFonts w:ascii="Arial" w:hAnsi="Arial" w:cs="Tahoma"/>
          <w:bCs/>
          <w:spacing w:val="-1"/>
          <w:sz w:val="20"/>
          <w:szCs w:val="20"/>
        </w:rPr>
        <w:t>In der interaktiven Kartenansicht werden sämtliche vorhandenen Adressen mit dem jeweiligen Status dargestellt. Die Adresspunkte in der Karte lassen sich anhand verschiedener Kriterien filtern. Zur besseren Visualisierung werden unterschiedliche Status durch verschiedene Farben hervorgehoben. Das Breitband-Cockpit verfügt über eine zusätzliche Heatmap-Kartendarstellung. Damit können Hotspots von Adressen, die denselben Status haben, visualisiert werden. Für die Suche stehen ausgefeilte Techniken für kartenbasierte Suchstrategien zur Verfügung. Dazu gehören Polygon- Umkreis- und Routensuchen, mit denen Adress- und Leistungsdaten gezielt abgerufen und dargestellt werden können.</w:t>
      </w:r>
    </w:p>
    <w:p w14:paraId="1B7F9A9E" w14:textId="0D0AB1DD" w:rsidR="00EF6468" w:rsidRDefault="00EF6468" w:rsidP="00EF6468">
      <w:pPr>
        <w:spacing w:line="360" w:lineRule="auto"/>
        <w:rPr>
          <w:rFonts w:ascii="Arial" w:hAnsi="Arial" w:cs="Tahoma"/>
          <w:bCs/>
          <w:sz w:val="20"/>
          <w:szCs w:val="20"/>
        </w:rPr>
      </w:pPr>
      <w:r w:rsidRPr="00AE47CE">
        <w:rPr>
          <w:rFonts w:ascii="Arial" w:hAnsi="Arial" w:cs="Tahoma"/>
          <w:bCs/>
          <w:sz w:val="20"/>
          <w:szCs w:val="20"/>
        </w:rPr>
        <w:t xml:space="preserve">Die KPIs (Key Performance Indicators) zu Angebotsstatus und Baustatus </w:t>
      </w:r>
      <w:r w:rsidRPr="0066068D">
        <w:rPr>
          <w:rFonts w:ascii="Arial" w:hAnsi="Arial" w:cs="Tahoma"/>
          <w:bCs/>
          <w:spacing w:val="-1"/>
          <w:sz w:val="20"/>
          <w:szCs w:val="20"/>
        </w:rPr>
        <w:t xml:space="preserve">werden in einem eigenen Dashboard angezeigt. Damit haben alle Projektbeteiligten einen schnellen Überblick und können im Bedarfsfall zeitnah einschreiten. Jeder Anwender wird dabei bestimmten Berechtigungsgruppen </w:t>
      </w:r>
      <w:r w:rsidRPr="0066068D">
        <w:rPr>
          <w:rFonts w:ascii="Arial" w:hAnsi="Arial" w:cs="Tahoma"/>
          <w:bCs/>
          <w:spacing w:val="-1"/>
          <w:sz w:val="20"/>
          <w:szCs w:val="20"/>
        </w:rPr>
        <w:lastRenderedPageBreak/>
        <w:t>zugeteilt, so dass die Zugänge zum System individuell gesteuert werden können. Für die Integration von Drittsystemen stehen Schnittstellen bereit, über die Daten automatisiert</w:t>
      </w:r>
      <w:r w:rsidR="00006279" w:rsidRPr="0066068D">
        <w:rPr>
          <w:rFonts w:ascii="Arial" w:hAnsi="Arial" w:cs="Tahoma"/>
          <w:bCs/>
          <w:spacing w:val="-1"/>
          <w:sz w:val="20"/>
          <w:szCs w:val="20"/>
        </w:rPr>
        <w:t xml:space="preserve"> </w:t>
      </w:r>
      <w:r w:rsidRPr="0066068D">
        <w:rPr>
          <w:rFonts w:ascii="Arial" w:hAnsi="Arial" w:cs="Tahoma"/>
          <w:bCs/>
          <w:spacing w:val="-1"/>
          <w:sz w:val="20"/>
          <w:szCs w:val="20"/>
        </w:rPr>
        <w:t xml:space="preserve">in das Breitband-Cockpit übernommen werden. </w:t>
      </w:r>
    </w:p>
    <w:p w14:paraId="25F9AFA4" w14:textId="14355C3C" w:rsidR="00B13A5F" w:rsidRPr="00DC05BF" w:rsidRDefault="00DC05BF" w:rsidP="00CF5F82">
      <w:pPr>
        <w:spacing w:before="360" w:line="360" w:lineRule="auto"/>
        <w:rPr>
          <w:rFonts w:ascii="Arial" w:hAnsi="Arial" w:cs="Tahoma"/>
          <w:bCs/>
          <w:i/>
          <w:iCs/>
          <w:sz w:val="18"/>
          <w:szCs w:val="18"/>
        </w:rPr>
      </w:pPr>
      <w:r w:rsidRPr="00DC05BF">
        <w:rPr>
          <w:rFonts w:ascii="Arial" w:hAnsi="Arial" w:cs="Tahoma"/>
          <w:bCs/>
          <w:i/>
          <w:iCs/>
          <w:sz w:val="18"/>
          <w:szCs w:val="18"/>
        </w:rPr>
        <w:t>Abbildungen</w:t>
      </w:r>
    </w:p>
    <w:p w14:paraId="5E201388" w14:textId="5969B2C9" w:rsidR="00DC05BF" w:rsidRPr="001F6B44" w:rsidRDefault="00DC05BF" w:rsidP="00CF5F82">
      <w:pPr>
        <w:spacing w:line="300" w:lineRule="auto"/>
        <w:rPr>
          <w:rFonts w:ascii="Arial" w:hAnsi="Arial" w:cs="Tahoma"/>
          <w:bCs/>
          <w:sz w:val="16"/>
          <w:szCs w:val="16"/>
        </w:rPr>
      </w:pPr>
      <w:r w:rsidRPr="001F6B44">
        <w:rPr>
          <w:rFonts w:ascii="Arial" w:hAnsi="Arial" w:cs="Tahoma"/>
          <w:bCs/>
          <w:sz w:val="16"/>
          <w:szCs w:val="16"/>
        </w:rPr>
        <w:t>VIV_Cockpit-Dashboard</w:t>
      </w:r>
      <w:r w:rsidRPr="001F6B44">
        <w:rPr>
          <w:rFonts w:ascii="Arial" w:hAnsi="Arial" w:cs="Tahoma"/>
          <w:bCs/>
          <w:sz w:val="16"/>
          <w:szCs w:val="16"/>
        </w:rPr>
        <w:t>.jpg</w:t>
      </w:r>
      <w:r w:rsidR="0070141B" w:rsidRPr="001F6B44">
        <w:rPr>
          <w:rFonts w:ascii="Arial" w:hAnsi="Arial" w:cs="Tahoma"/>
          <w:bCs/>
          <w:sz w:val="16"/>
          <w:szCs w:val="16"/>
        </w:rPr>
        <w:t xml:space="preserve">, </w:t>
      </w:r>
      <w:r w:rsidR="0070141B" w:rsidRPr="001F6B44">
        <w:rPr>
          <w:rFonts w:ascii="Arial" w:hAnsi="Arial" w:cs="Tahoma"/>
          <w:bCs/>
          <w:sz w:val="16"/>
          <w:szCs w:val="16"/>
        </w:rPr>
        <w:t>VIV_Uebersicht_Wohneinheiten.jpg</w:t>
      </w:r>
    </w:p>
    <w:p w14:paraId="2DC2388C" w14:textId="67CF731D" w:rsidR="00DC05BF" w:rsidRPr="00DC05BF" w:rsidRDefault="00DC05BF" w:rsidP="0070141B">
      <w:pPr>
        <w:spacing w:line="300" w:lineRule="auto"/>
        <w:ind w:right="-2325"/>
        <w:rPr>
          <w:rFonts w:ascii="Arial" w:hAnsi="Arial" w:cs="Tahoma"/>
          <w:bCs/>
          <w:sz w:val="18"/>
          <w:szCs w:val="18"/>
        </w:rPr>
      </w:pPr>
      <w:r>
        <w:rPr>
          <w:rFonts w:ascii="Arial" w:hAnsi="Arial" w:cs="Tahoma"/>
          <w:bCs/>
          <w:noProof/>
          <w:sz w:val="18"/>
          <w:szCs w:val="18"/>
        </w:rPr>
        <w:drawing>
          <wp:anchor distT="0" distB="0" distL="114300" distR="114300" simplePos="0" relativeHeight="251658240" behindDoc="0" locked="0" layoutInCell="1" allowOverlap="1" wp14:anchorId="0B9DF976" wp14:editId="5370147E">
            <wp:simplePos x="0" y="0"/>
            <wp:positionH relativeFrom="column">
              <wp:posOffset>0</wp:posOffset>
            </wp:positionH>
            <wp:positionV relativeFrom="paragraph">
              <wp:posOffset>48878</wp:posOffset>
            </wp:positionV>
            <wp:extent cx="2062800" cy="1490400"/>
            <wp:effectExtent l="0" t="0" r="0" b="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a:stretch>
                      <a:fillRect/>
                    </a:stretch>
                  </pic:blipFill>
                  <pic:spPr>
                    <a:xfrm>
                      <a:off x="0" y="0"/>
                      <a:ext cx="2062800" cy="1490400"/>
                    </a:xfrm>
                    <a:prstGeom prst="rect">
                      <a:avLst/>
                    </a:prstGeom>
                  </pic:spPr>
                </pic:pic>
              </a:graphicData>
            </a:graphic>
            <wp14:sizeRelH relativeFrom="margin">
              <wp14:pctWidth>0</wp14:pctWidth>
            </wp14:sizeRelH>
            <wp14:sizeRelV relativeFrom="margin">
              <wp14:pctHeight>0</wp14:pctHeight>
            </wp14:sizeRelV>
          </wp:anchor>
        </w:drawing>
      </w:r>
      <w:r w:rsidR="0070141B">
        <w:rPr>
          <w:rFonts w:ascii="Arial" w:hAnsi="Arial" w:cs="Tahoma"/>
          <w:bCs/>
          <w:noProof/>
          <w:sz w:val="18"/>
          <w:szCs w:val="18"/>
        </w:rPr>
        <w:drawing>
          <wp:inline distT="0" distB="0" distL="0" distR="0" wp14:anchorId="1C801925" wp14:editId="795172B6">
            <wp:extent cx="3426941" cy="1624571"/>
            <wp:effectExtent l="0" t="0" r="2540" b="127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a:stretch>
                      <a:fillRect/>
                    </a:stretch>
                  </pic:blipFill>
                  <pic:spPr>
                    <a:xfrm>
                      <a:off x="0" y="0"/>
                      <a:ext cx="3453636" cy="1637226"/>
                    </a:xfrm>
                    <a:prstGeom prst="rect">
                      <a:avLst/>
                    </a:prstGeom>
                  </pic:spPr>
                </pic:pic>
              </a:graphicData>
            </a:graphic>
          </wp:inline>
        </w:drawing>
      </w:r>
    </w:p>
    <w:p w14:paraId="2E1F43C5" w14:textId="4C81D499" w:rsidR="0070141B" w:rsidRDefault="009F20E7" w:rsidP="0070141B">
      <w:pPr>
        <w:spacing w:line="300" w:lineRule="auto"/>
        <w:ind w:right="-2325"/>
        <w:rPr>
          <w:rFonts w:ascii="Arial" w:hAnsi="Arial" w:cs="Tahoma"/>
          <w:bCs/>
          <w:sz w:val="18"/>
          <w:szCs w:val="18"/>
        </w:rPr>
      </w:pPr>
      <w:r>
        <w:rPr>
          <w:rFonts w:ascii="Arial" w:hAnsi="Arial" w:cs="Tahoma"/>
          <w:bCs/>
          <w:sz w:val="18"/>
          <w:szCs w:val="18"/>
        </w:rPr>
        <w:t xml:space="preserve">Transparente und aktuelle Übersicht über den </w:t>
      </w:r>
      <w:r w:rsidR="0070141B">
        <w:rPr>
          <w:rFonts w:ascii="Arial" w:hAnsi="Arial" w:cs="Tahoma"/>
          <w:bCs/>
          <w:sz w:val="18"/>
          <w:szCs w:val="18"/>
        </w:rPr>
        <w:t>aktuelle</w:t>
      </w:r>
      <w:r>
        <w:rPr>
          <w:rFonts w:ascii="Arial" w:hAnsi="Arial" w:cs="Tahoma"/>
          <w:bCs/>
          <w:sz w:val="18"/>
          <w:szCs w:val="18"/>
        </w:rPr>
        <w:t>n</w:t>
      </w:r>
      <w:r w:rsidR="0070141B">
        <w:rPr>
          <w:rFonts w:ascii="Arial" w:hAnsi="Arial" w:cs="Tahoma"/>
          <w:bCs/>
          <w:sz w:val="18"/>
          <w:szCs w:val="18"/>
        </w:rPr>
        <w:t xml:space="preserve"> Status eines Breitband-Projektes: Dashboard (li.) und </w:t>
      </w:r>
      <w:r>
        <w:rPr>
          <w:rFonts w:ascii="Arial" w:hAnsi="Arial" w:cs="Tahoma"/>
          <w:bCs/>
          <w:sz w:val="18"/>
          <w:szCs w:val="18"/>
        </w:rPr>
        <w:t>Wohneinheiten-Übersicht (re.). [Grafiken: tktVivax GmbH]</w:t>
      </w:r>
    </w:p>
    <w:p w14:paraId="4406536C" w14:textId="77777777" w:rsidR="0066068D" w:rsidRPr="004E3948" w:rsidRDefault="0066068D" w:rsidP="00B13A5F">
      <w:pPr>
        <w:spacing w:line="360" w:lineRule="auto"/>
        <w:rPr>
          <w:rFonts w:ascii="Arial" w:hAnsi="Arial" w:cs="Tahoma"/>
          <w:bCs/>
          <w:sz w:val="20"/>
          <w:szCs w:val="20"/>
        </w:rPr>
      </w:pPr>
    </w:p>
    <w:tbl>
      <w:tblPr>
        <w:tblW w:w="9781" w:type="dxa"/>
        <w:tblLook w:val="04A0" w:firstRow="1" w:lastRow="0" w:firstColumn="1" w:lastColumn="0" w:noHBand="0" w:noVBand="1"/>
      </w:tblPr>
      <w:tblGrid>
        <w:gridCol w:w="4962"/>
        <w:gridCol w:w="4819"/>
      </w:tblGrid>
      <w:tr w:rsidR="006D6479" w:rsidRPr="000655B7" w14:paraId="067550E0" w14:textId="77777777" w:rsidTr="006D6479">
        <w:tc>
          <w:tcPr>
            <w:tcW w:w="4962" w:type="dxa"/>
            <w:shd w:val="clear" w:color="auto" w:fill="auto"/>
          </w:tcPr>
          <w:p w14:paraId="3E22349B" w14:textId="65BCEFAD" w:rsidR="006D6479" w:rsidRDefault="006D6479" w:rsidP="0095777B">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0655B7">
              <w:rPr>
                <w:rFonts w:ascii="Arial" w:hAnsi="Arial" w:cs="Calibri"/>
                <w:b/>
                <w:sz w:val="16"/>
                <w:szCs w:val="26"/>
                <w:lang w:eastAsia="de-DE"/>
              </w:rPr>
              <w:t>Kontaktdaten:</w:t>
            </w:r>
            <w:r>
              <w:rPr>
                <w:rFonts w:ascii="Arial" w:hAnsi="Arial" w:cs="Calibri"/>
                <w:b/>
                <w:sz w:val="16"/>
                <w:szCs w:val="26"/>
                <w:lang w:eastAsia="de-DE"/>
              </w:rPr>
              <w:br/>
            </w:r>
            <w:r>
              <w:rPr>
                <w:rFonts w:ascii="Arial" w:hAnsi="Arial" w:cs="Calibri"/>
                <w:sz w:val="16"/>
                <w:szCs w:val="26"/>
                <w:lang w:eastAsia="de-DE"/>
              </w:rPr>
              <w:t>tkt</w:t>
            </w:r>
            <w:r w:rsidRPr="000655B7">
              <w:rPr>
                <w:rFonts w:ascii="Arial" w:hAnsi="Arial" w:cs="Calibri"/>
                <w:sz w:val="16"/>
                <w:szCs w:val="26"/>
                <w:lang w:eastAsia="de-DE"/>
              </w:rPr>
              <w:t>Vivax GmbH – Dirk Fieml</w:t>
            </w:r>
            <w:r w:rsidRPr="000655B7">
              <w:rPr>
                <w:rFonts w:ascii="Arial" w:hAnsi="Arial" w:cs="Calibri"/>
                <w:sz w:val="16"/>
                <w:szCs w:val="26"/>
                <w:lang w:eastAsia="de-DE"/>
              </w:rPr>
              <w:br/>
            </w:r>
            <w:r w:rsidRPr="007B0E5E">
              <w:rPr>
                <w:rFonts w:ascii="Arial" w:hAnsi="Arial" w:cs="Calibri"/>
                <w:sz w:val="16"/>
                <w:szCs w:val="26"/>
                <w:lang w:eastAsia="de-DE"/>
              </w:rPr>
              <w:t>Drakestraße 24 </w:t>
            </w:r>
            <w:r>
              <w:rPr>
                <w:rFonts w:ascii="Arial" w:hAnsi="Arial" w:cs="Calibri"/>
                <w:sz w:val="16"/>
                <w:szCs w:val="26"/>
                <w:lang w:eastAsia="de-DE"/>
              </w:rPr>
              <w:t>–</w:t>
            </w:r>
            <w:r w:rsidRPr="007B0E5E">
              <w:rPr>
                <w:rFonts w:ascii="Arial" w:hAnsi="Arial" w:cs="Calibri"/>
                <w:sz w:val="16"/>
                <w:szCs w:val="26"/>
                <w:lang w:eastAsia="de-DE"/>
              </w:rPr>
              <w:t> 12205 Berlin</w:t>
            </w:r>
            <w:r>
              <w:rPr>
                <w:rFonts w:ascii="Arial" w:hAnsi="Arial" w:cs="Calibri"/>
                <w:sz w:val="16"/>
                <w:szCs w:val="26"/>
                <w:lang w:eastAsia="de-DE"/>
              </w:rPr>
              <w:br/>
            </w:r>
            <w:r w:rsidRPr="008457BE">
              <w:rPr>
                <w:rFonts w:ascii="Arial" w:hAnsi="Arial" w:cs="Calibri"/>
                <w:sz w:val="16"/>
                <w:szCs w:val="26"/>
                <w:lang w:eastAsia="de-DE"/>
              </w:rPr>
              <w:t xml:space="preserve">Tel: </w:t>
            </w:r>
            <w:r>
              <w:rPr>
                <w:rFonts w:ascii="Arial" w:hAnsi="Arial" w:cs="Calibri"/>
                <w:sz w:val="16"/>
                <w:szCs w:val="26"/>
                <w:lang w:eastAsia="de-DE"/>
              </w:rPr>
              <w:t>+</w:t>
            </w:r>
            <w:r w:rsidRPr="008457BE">
              <w:rPr>
                <w:rFonts w:ascii="Arial" w:hAnsi="Arial" w:cs="Calibri"/>
                <w:sz w:val="16"/>
                <w:szCs w:val="26"/>
                <w:lang w:eastAsia="de-DE"/>
              </w:rPr>
              <w:t xml:space="preserve">49 30 </w:t>
            </w:r>
            <w:r w:rsidR="0024077D">
              <w:rPr>
                <w:rFonts w:ascii="Arial" w:hAnsi="Arial" w:cs="Calibri"/>
                <w:sz w:val="16"/>
                <w:szCs w:val="26"/>
                <w:lang w:eastAsia="de-DE"/>
              </w:rPr>
              <w:t>235 919 200</w:t>
            </w:r>
            <w:r>
              <w:rPr>
                <w:rFonts w:ascii="Arial" w:hAnsi="Arial" w:cs="Calibri"/>
                <w:sz w:val="16"/>
                <w:szCs w:val="26"/>
                <w:lang w:eastAsia="de-DE"/>
              </w:rPr>
              <w:br/>
            </w:r>
            <w:hyperlink r:id="rId9"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10" w:history="1">
              <w:r w:rsidRPr="006233F9">
                <w:rPr>
                  <w:rStyle w:val="Hyperlink"/>
                  <w:rFonts w:ascii="Arial" w:hAnsi="Arial" w:cs="Calibri"/>
                  <w:sz w:val="16"/>
                  <w:szCs w:val="26"/>
                  <w:lang w:eastAsia="de-DE"/>
                </w:rPr>
                <w:t>www.tkt-vivax.de</w:t>
              </w:r>
            </w:hyperlink>
          </w:p>
          <w:p w14:paraId="01D9025B" w14:textId="624C10FE" w:rsidR="006D6479" w:rsidRPr="004E3948" w:rsidRDefault="006D6479" w:rsidP="0095777B">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r w:rsidRPr="006D6479">
              <w:rPr>
                <w:rFonts w:ascii="Arial" w:hAnsi="Arial" w:cs="Calibri"/>
                <w:sz w:val="16"/>
                <w:szCs w:val="26"/>
                <w:lang w:eastAsia="de-DE"/>
              </w:rPr>
              <w:br/>
            </w:r>
          </w:p>
        </w:tc>
        <w:tc>
          <w:tcPr>
            <w:tcW w:w="4819" w:type="dxa"/>
            <w:shd w:val="clear" w:color="auto" w:fill="auto"/>
          </w:tcPr>
          <w:p w14:paraId="7D3C1EC4" w14:textId="7B1E1D64" w:rsidR="006D6479" w:rsidRPr="000655B7" w:rsidRDefault="006D6479" w:rsidP="0004004A">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11"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r>
            <w:r w:rsidR="0024077D">
              <w:rPr>
                <w:rFonts w:ascii="Arial" w:hAnsi="Arial" w:cs="Calibri"/>
                <w:sz w:val="16"/>
                <w:szCs w:val="26"/>
                <w:lang w:eastAsia="de-DE"/>
              </w:rPr>
              <w:t>https://</w:t>
            </w:r>
            <w:r w:rsidRPr="000655B7">
              <w:rPr>
                <w:rFonts w:ascii="Arial" w:hAnsi="Arial" w:cs="Calibri"/>
                <w:sz w:val="16"/>
                <w:szCs w:val="26"/>
                <w:lang w:eastAsia="de-DE"/>
              </w:rPr>
              <w:t>press-n-relations.com</w:t>
            </w:r>
          </w:p>
        </w:tc>
      </w:tr>
    </w:tbl>
    <w:p w14:paraId="0939BF6A" w14:textId="5E0102F9" w:rsidR="006D6479" w:rsidRPr="0066068D" w:rsidRDefault="006D6479" w:rsidP="0066068D">
      <w:pPr>
        <w:widowControl w:val="0"/>
        <w:autoSpaceDE w:val="0"/>
        <w:autoSpaceDN w:val="0"/>
        <w:adjustRightInd w:val="0"/>
        <w:spacing w:line="240" w:lineRule="auto"/>
        <w:ind w:left="34" w:right="-2268"/>
        <w:rPr>
          <w:rFonts w:ascii="Arial" w:hAnsi="Arial" w:cs="Calibri"/>
          <w:spacing w:val="-1"/>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tktVivax </w:t>
      </w:r>
      <w:r w:rsidRPr="000655B7">
        <w:rPr>
          <w:rFonts w:ascii="Arial" w:hAnsi="Arial" w:cs="Calibri"/>
          <w:sz w:val="16"/>
          <w:szCs w:val="26"/>
          <w:lang w:eastAsia="de-DE"/>
        </w:rPr>
        <w:t xml:space="preserve">GmbH mit Sitz in </w:t>
      </w:r>
      <w:r>
        <w:rPr>
          <w:rFonts w:ascii="Arial" w:hAnsi="Arial" w:cs="Calibri"/>
          <w:sz w:val="16"/>
          <w:szCs w:val="26"/>
          <w:lang w:eastAsia="de-DE"/>
        </w:rPr>
        <w:t>Berlin und Niederlassungen in Stuttgart (Backnang)</w:t>
      </w:r>
      <w:r w:rsidR="007234F3">
        <w:rPr>
          <w:rFonts w:ascii="Arial" w:hAnsi="Arial" w:cs="Calibri"/>
          <w:sz w:val="16"/>
          <w:szCs w:val="26"/>
          <w:lang w:eastAsia="de-DE"/>
        </w:rPr>
        <w:t>,</w:t>
      </w:r>
      <w:r>
        <w:rPr>
          <w:rFonts w:ascii="Arial" w:hAnsi="Arial" w:cs="Calibri"/>
          <w:sz w:val="16"/>
          <w:szCs w:val="26"/>
          <w:lang w:eastAsia="de-DE"/>
        </w:rPr>
        <w:t xml:space="preserve"> Köln</w:t>
      </w:r>
      <w:r w:rsidR="007234F3">
        <w:rPr>
          <w:rFonts w:ascii="Arial" w:hAnsi="Arial" w:cs="Calibri"/>
          <w:sz w:val="16"/>
          <w:szCs w:val="26"/>
          <w:lang w:eastAsia="de-DE"/>
        </w:rPr>
        <w:t xml:space="preserve"> und Hamburg</w:t>
      </w:r>
      <w:r>
        <w:rPr>
          <w:rFonts w:ascii="Arial" w:hAnsi="Arial" w:cs="Calibri"/>
          <w:sz w:val="16"/>
          <w:szCs w:val="26"/>
          <w:lang w:eastAsia="de-DE"/>
        </w:rPr>
        <w:t xml:space="preserve"> unterstützt ihre Kunden </w:t>
      </w:r>
      <w:r w:rsidRPr="0066068D">
        <w:rPr>
          <w:rFonts w:ascii="Arial" w:hAnsi="Arial" w:cs="Calibri"/>
          <w:spacing w:val="-2"/>
          <w:sz w:val="16"/>
          <w:szCs w:val="26"/>
          <w:lang w:eastAsia="de-DE"/>
        </w:rPr>
        <w:t>im Bereich zukunftsorientierter Telekommunikationstechnologien sowie mit Organisations-, Prozess- und Digitalisierungsberatung in der kommunalen Versorgungswirtschaft. Mit rund 50 Mitarbeitern deckt das Beratungsunternehmen ein breites Spektrum</w:t>
      </w:r>
      <w:r>
        <w:rPr>
          <w:rFonts w:ascii="Arial" w:hAnsi="Arial" w:cs="Calibri"/>
          <w:sz w:val="16"/>
          <w:szCs w:val="26"/>
          <w:lang w:eastAsia="de-DE"/>
        </w:rPr>
        <w:t xml:space="preserve">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w:t>
      </w:r>
      <w:r w:rsidR="0024077D">
        <w:rPr>
          <w:rFonts w:ascii="Arial" w:hAnsi="Arial" w:cs="Calibri"/>
          <w:sz w:val="16"/>
          <w:szCs w:val="26"/>
          <w:lang w:eastAsia="de-DE"/>
        </w:rPr>
        <w:t xml:space="preserve">Dazu kommt die Entwicklung und der Betrieb von Softwarelösungen, etwa für das Breitbandkunden- </w:t>
      </w:r>
      <w:r w:rsidR="0024077D" w:rsidRPr="0066068D">
        <w:rPr>
          <w:rFonts w:ascii="Arial" w:hAnsi="Arial" w:cs="Calibri"/>
          <w:spacing w:val="-1"/>
          <w:sz w:val="16"/>
          <w:szCs w:val="26"/>
          <w:lang w:eastAsia="de-DE"/>
        </w:rPr>
        <w:t xml:space="preserve">und -netzmanagement oder das Prozesskostencontrolling. </w:t>
      </w:r>
      <w:r w:rsidRPr="0066068D">
        <w:rPr>
          <w:rFonts w:ascii="Arial" w:hAnsi="Arial" w:cs="Calibri"/>
          <w:spacing w:val="-1"/>
          <w:sz w:val="16"/>
          <w:szCs w:val="26"/>
          <w:lang w:eastAsia="de-DE"/>
        </w:rPr>
        <w:t>Zielgruppe sind sowohl Stadtwerke als auch Kommunalverwaltungen.</w:t>
      </w:r>
    </w:p>
    <w:bookmarkEnd w:id="0"/>
    <w:bookmarkEnd w:id="1"/>
    <w:p w14:paraId="2E55E5C6" w14:textId="7E857728" w:rsidR="007749DD" w:rsidRPr="006D6479" w:rsidRDefault="007749DD" w:rsidP="006D6479"/>
    <w:sectPr w:rsidR="007749DD" w:rsidRPr="006D6479" w:rsidSect="0066068D">
      <w:headerReference w:type="default" r:id="rId12"/>
      <w:pgSz w:w="11901" w:h="16840"/>
      <w:pgMar w:top="2552" w:right="3737" w:bottom="1236"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3B46C8" w14:textId="77777777" w:rsidR="00555FCB" w:rsidRDefault="00555FCB" w:rsidP="00BF70FE">
      <w:pPr>
        <w:spacing w:after="0" w:line="240" w:lineRule="auto"/>
      </w:pPr>
      <w:r>
        <w:separator/>
      </w:r>
    </w:p>
  </w:endnote>
  <w:endnote w:type="continuationSeparator" w:id="0">
    <w:p w14:paraId="53849D92" w14:textId="77777777" w:rsidR="00555FCB" w:rsidRDefault="00555FCB"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EC510A" w14:textId="77777777" w:rsidR="00555FCB" w:rsidRDefault="00555FCB" w:rsidP="00BF70FE">
      <w:pPr>
        <w:spacing w:after="0" w:line="240" w:lineRule="auto"/>
      </w:pPr>
      <w:r>
        <w:separator/>
      </w:r>
    </w:p>
  </w:footnote>
  <w:footnote w:type="continuationSeparator" w:id="0">
    <w:p w14:paraId="4B290A09" w14:textId="77777777" w:rsidR="00555FCB" w:rsidRDefault="00555FCB"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049685" w14:textId="740B276D" w:rsidR="00B96701" w:rsidRDefault="00AE0EC0" w:rsidP="00AE0EC0">
    <w:pPr>
      <w:pStyle w:val="Kopfzeile"/>
      <w:ind w:right="-2268"/>
    </w:pPr>
    <w:r>
      <w:rPr>
        <w:noProof/>
        <w:lang w:eastAsia="de-DE"/>
      </w:rPr>
      <w:tab/>
    </w:r>
    <w:r>
      <w:rPr>
        <w:noProof/>
        <w:lang w:eastAsia="de-DE"/>
      </w:rPr>
      <w:tab/>
    </w:r>
    <w:r w:rsidR="00E478B7">
      <w:rPr>
        <w:noProof/>
        <w:lang w:eastAsia="de-DE"/>
      </w:rPr>
      <w:drawing>
        <wp:inline distT="0" distB="0" distL="0" distR="0" wp14:anchorId="4445E150" wp14:editId="47E183F1">
          <wp:extent cx="1758237" cy="433606"/>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54"/>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279"/>
    <w:rsid w:val="00006AC0"/>
    <w:rsid w:val="0001276C"/>
    <w:rsid w:val="00026CFD"/>
    <w:rsid w:val="00037481"/>
    <w:rsid w:val="00037B8A"/>
    <w:rsid w:val="00041A6A"/>
    <w:rsid w:val="000541F5"/>
    <w:rsid w:val="00054244"/>
    <w:rsid w:val="0006200B"/>
    <w:rsid w:val="00065270"/>
    <w:rsid w:val="000655B7"/>
    <w:rsid w:val="00065961"/>
    <w:rsid w:val="000678EA"/>
    <w:rsid w:val="0006791F"/>
    <w:rsid w:val="0007688A"/>
    <w:rsid w:val="00076CE4"/>
    <w:rsid w:val="000823CF"/>
    <w:rsid w:val="00091E09"/>
    <w:rsid w:val="0009573A"/>
    <w:rsid w:val="000A1C71"/>
    <w:rsid w:val="000A1E6B"/>
    <w:rsid w:val="000A4C5E"/>
    <w:rsid w:val="000A4C93"/>
    <w:rsid w:val="000C2AF9"/>
    <w:rsid w:val="000C46B3"/>
    <w:rsid w:val="000C4746"/>
    <w:rsid w:val="000D4DE3"/>
    <w:rsid w:val="000E087D"/>
    <w:rsid w:val="000E11A2"/>
    <w:rsid w:val="000E7CE7"/>
    <w:rsid w:val="000F2111"/>
    <w:rsid w:val="000F4F9D"/>
    <w:rsid w:val="0010198B"/>
    <w:rsid w:val="00104674"/>
    <w:rsid w:val="00104719"/>
    <w:rsid w:val="00106821"/>
    <w:rsid w:val="00131142"/>
    <w:rsid w:val="0013234F"/>
    <w:rsid w:val="00132DC4"/>
    <w:rsid w:val="00133158"/>
    <w:rsid w:val="00135237"/>
    <w:rsid w:val="00157861"/>
    <w:rsid w:val="001700C4"/>
    <w:rsid w:val="00181FBB"/>
    <w:rsid w:val="00187FC7"/>
    <w:rsid w:val="001A14A1"/>
    <w:rsid w:val="001A220F"/>
    <w:rsid w:val="001B01DF"/>
    <w:rsid w:val="001C51EC"/>
    <w:rsid w:val="001C7838"/>
    <w:rsid w:val="001D2FB7"/>
    <w:rsid w:val="001E3CB7"/>
    <w:rsid w:val="001E6755"/>
    <w:rsid w:val="001E6F47"/>
    <w:rsid w:val="001F293E"/>
    <w:rsid w:val="001F6B44"/>
    <w:rsid w:val="0020049A"/>
    <w:rsid w:val="00205941"/>
    <w:rsid w:val="00207A9F"/>
    <w:rsid w:val="00211928"/>
    <w:rsid w:val="00213AF7"/>
    <w:rsid w:val="00221777"/>
    <w:rsid w:val="00233C8C"/>
    <w:rsid w:val="00235F66"/>
    <w:rsid w:val="00236787"/>
    <w:rsid w:val="00237217"/>
    <w:rsid w:val="0024077D"/>
    <w:rsid w:val="00244E90"/>
    <w:rsid w:val="00255BB8"/>
    <w:rsid w:val="00262A08"/>
    <w:rsid w:val="00265589"/>
    <w:rsid w:val="002745F8"/>
    <w:rsid w:val="002757A3"/>
    <w:rsid w:val="0028558F"/>
    <w:rsid w:val="002A7D5D"/>
    <w:rsid w:val="002A7E29"/>
    <w:rsid w:val="002B36BE"/>
    <w:rsid w:val="002B3E9E"/>
    <w:rsid w:val="002D5B66"/>
    <w:rsid w:val="002D6045"/>
    <w:rsid w:val="002E0481"/>
    <w:rsid w:val="002E1504"/>
    <w:rsid w:val="002E33BB"/>
    <w:rsid w:val="002E6EA0"/>
    <w:rsid w:val="002F1BFF"/>
    <w:rsid w:val="0030091A"/>
    <w:rsid w:val="00304113"/>
    <w:rsid w:val="00314048"/>
    <w:rsid w:val="00315669"/>
    <w:rsid w:val="003228B7"/>
    <w:rsid w:val="003274D8"/>
    <w:rsid w:val="00341A34"/>
    <w:rsid w:val="0035048A"/>
    <w:rsid w:val="0035256E"/>
    <w:rsid w:val="00362AE7"/>
    <w:rsid w:val="00394D5C"/>
    <w:rsid w:val="003953CA"/>
    <w:rsid w:val="003A3B30"/>
    <w:rsid w:val="003A43CA"/>
    <w:rsid w:val="003A6602"/>
    <w:rsid w:val="003B1A9C"/>
    <w:rsid w:val="003B4407"/>
    <w:rsid w:val="003B6004"/>
    <w:rsid w:val="003B69BD"/>
    <w:rsid w:val="003C0B6F"/>
    <w:rsid w:val="003C475B"/>
    <w:rsid w:val="003D63AC"/>
    <w:rsid w:val="003D642E"/>
    <w:rsid w:val="003D7AC5"/>
    <w:rsid w:val="003E1E07"/>
    <w:rsid w:val="003F5618"/>
    <w:rsid w:val="00402F7C"/>
    <w:rsid w:val="00406C69"/>
    <w:rsid w:val="00406EFB"/>
    <w:rsid w:val="004112BE"/>
    <w:rsid w:val="004137FD"/>
    <w:rsid w:val="00415B45"/>
    <w:rsid w:val="00427AD2"/>
    <w:rsid w:val="004306B3"/>
    <w:rsid w:val="004422BD"/>
    <w:rsid w:val="004467C0"/>
    <w:rsid w:val="004540FC"/>
    <w:rsid w:val="00454989"/>
    <w:rsid w:val="004638B5"/>
    <w:rsid w:val="00463FE6"/>
    <w:rsid w:val="00465527"/>
    <w:rsid w:val="00465CBB"/>
    <w:rsid w:val="004713E0"/>
    <w:rsid w:val="004731DE"/>
    <w:rsid w:val="004810F6"/>
    <w:rsid w:val="00490D32"/>
    <w:rsid w:val="0049799F"/>
    <w:rsid w:val="00497AEF"/>
    <w:rsid w:val="004A425F"/>
    <w:rsid w:val="004B0D7E"/>
    <w:rsid w:val="004E2673"/>
    <w:rsid w:val="004E3948"/>
    <w:rsid w:val="004E3F39"/>
    <w:rsid w:val="004E5B2F"/>
    <w:rsid w:val="004F09E6"/>
    <w:rsid w:val="004F25A7"/>
    <w:rsid w:val="004F5892"/>
    <w:rsid w:val="005048EC"/>
    <w:rsid w:val="005071AD"/>
    <w:rsid w:val="00521E6A"/>
    <w:rsid w:val="005322F6"/>
    <w:rsid w:val="00532602"/>
    <w:rsid w:val="00532783"/>
    <w:rsid w:val="0053379A"/>
    <w:rsid w:val="00542224"/>
    <w:rsid w:val="00555FCB"/>
    <w:rsid w:val="00556FEE"/>
    <w:rsid w:val="005577A0"/>
    <w:rsid w:val="00557F58"/>
    <w:rsid w:val="00565D15"/>
    <w:rsid w:val="00576A90"/>
    <w:rsid w:val="00576E59"/>
    <w:rsid w:val="00582ECD"/>
    <w:rsid w:val="005926D7"/>
    <w:rsid w:val="005958C2"/>
    <w:rsid w:val="00596BC4"/>
    <w:rsid w:val="005B2C0D"/>
    <w:rsid w:val="005D3D1E"/>
    <w:rsid w:val="005E204F"/>
    <w:rsid w:val="005F2DF5"/>
    <w:rsid w:val="005F5177"/>
    <w:rsid w:val="005F63B7"/>
    <w:rsid w:val="00613B84"/>
    <w:rsid w:val="00630497"/>
    <w:rsid w:val="00632072"/>
    <w:rsid w:val="00633111"/>
    <w:rsid w:val="00640EED"/>
    <w:rsid w:val="00650109"/>
    <w:rsid w:val="00650F5E"/>
    <w:rsid w:val="006563BE"/>
    <w:rsid w:val="0066068D"/>
    <w:rsid w:val="00664FF9"/>
    <w:rsid w:val="006663C8"/>
    <w:rsid w:val="0067177D"/>
    <w:rsid w:val="0067331D"/>
    <w:rsid w:val="00674BD0"/>
    <w:rsid w:val="00681349"/>
    <w:rsid w:val="006824CB"/>
    <w:rsid w:val="00682686"/>
    <w:rsid w:val="00682E83"/>
    <w:rsid w:val="006847AC"/>
    <w:rsid w:val="006862AC"/>
    <w:rsid w:val="006A652B"/>
    <w:rsid w:val="006B4FEB"/>
    <w:rsid w:val="006D38DD"/>
    <w:rsid w:val="006D6479"/>
    <w:rsid w:val="006F2189"/>
    <w:rsid w:val="0070141B"/>
    <w:rsid w:val="00703D47"/>
    <w:rsid w:val="00705635"/>
    <w:rsid w:val="00712F91"/>
    <w:rsid w:val="00714AB5"/>
    <w:rsid w:val="00715711"/>
    <w:rsid w:val="007162A5"/>
    <w:rsid w:val="007169F8"/>
    <w:rsid w:val="007234F3"/>
    <w:rsid w:val="00726D0D"/>
    <w:rsid w:val="00732AF9"/>
    <w:rsid w:val="00732F57"/>
    <w:rsid w:val="007408FB"/>
    <w:rsid w:val="00742C79"/>
    <w:rsid w:val="007448A8"/>
    <w:rsid w:val="00751621"/>
    <w:rsid w:val="00752985"/>
    <w:rsid w:val="00753CE4"/>
    <w:rsid w:val="007543B9"/>
    <w:rsid w:val="00764363"/>
    <w:rsid w:val="00766B7A"/>
    <w:rsid w:val="007749DD"/>
    <w:rsid w:val="007768B7"/>
    <w:rsid w:val="00777197"/>
    <w:rsid w:val="00780026"/>
    <w:rsid w:val="00785A83"/>
    <w:rsid w:val="00785BC8"/>
    <w:rsid w:val="007B0E5E"/>
    <w:rsid w:val="007B40BC"/>
    <w:rsid w:val="007E401A"/>
    <w:rsid w:val="007E4D6B"/>
    <w:rsid w:val="007F32B3"/>
    <w:rsid w:val="007F3F43"/>
    <w:rsid w:val="007F4A3D"/>
    <w:rsid w:val="00803966"/>
    <w:rsid w:val="00822F51"/>
    <w:rsid w:val="00825564"/>
    <w:rsid w:val="00825E47"/>
    <w:rsid w:val="00841C40"/>
    <w:rsid w:val="008457BE"/>
    <w:rsid w:val="00860C87"/>
    <w:rsid w:val="008627A4"/>
    <w:rsid w:val="00872E24"/>
    <w:rsid w:val="0088232C"/>
    <w:rsid w:val="00883CE3"/>
    <w:rsid w:val="0089252B"/>
    <w:rsid w:val="008956CD"/>
    <w:rsid w:val="008A484E"/>
    <w:rsid w:val="008A52B6"/>
    <w:rsid w:val="008A6550"/>
    <w:rsid w:val="008B2353"/>
    <w:rsid w:val="008B464E"/>
    <w:rsid w:val="008C3262"/>
    <w:rsid w:val="008E3944"/>
    <w:rsid w:val="00915DD5"/>
    <w:rsid w:val="00937B5E"/>
    <w:rsid w:val="0094694E"/>
    <w:rsid w:val="00953399"/>
    <w:rsid w:val="0095460E"/>
    <w:rsid w:val="0095777B"/>
    <w:rsid w:val="00960CC5"/>
    <w:rsid w:val="00967913"/>
    <w:rsid w:val="00970576"/>
    <w:rsid w:val="00970F02"/>
    <w:rsid w:val="00972598"/>
    <w:rsid w:val="0098474D"/>
    <w:rsid w:val="0099032D"/>
    <w:rsid w:val="00993991"/>
    <w:rsid w:val="009A2BF1"/>
    <w:rsid w:val="009A5414"/>
    <w:rsid w:val="009B04A2"/>
    <w:rsid w:val="009B6FBC"/>
    <w:rsid w:val="009B7074"/>
    <w:rsid w:val="009C0CE4"/>
    <w:rsid w:val="009D4DFD"/>
    <w:rsid w:val="009E32E3"/>
    <w:rsid w:val="009E6B35"/>
    <w:rsid w:val="009F0C3D"/>
    <w:rsid w:val="009F20E7"/>
    <w:rsid w:val="00A12FF7"/>
    <w:rsid w:val="00A22923"/>
    <w:rsid w:val="00A25183"/>
    <w:rsid w:val="00A257D2"/>
    <w:rsid w:val="00A32BA5"/>
    <w:rsid w:val="00A339B3"/>
    <w:rsid w:val="00A409A1"/>
    <w:rsid w:val="00A40D7D"/>
    <w:rsid w:val="00A43049"/>
    <w:rsid w:val="00A461EC"/>
    <w:rsid w:val="00A462DC"/>
    <w:rsid w:val="00A50D16"/>
    <w:rsid w:val="00A549CB"/>
    <w:rsid w:val="00A551F1"/>
    <w:rsid w:val="00A55C3C"/>
    <w:rsid w:val="00A56E5A"/>
    <w:rsid w:val="00A71BF1"/>
    <w:rsid w:val="00A72FA1"/>
    <w:rsid w:val="00A8365C"/>
    <w:rsid w:val="00A86E2E"/>
    <w:rsid w:val="00A909F7"/>
    <w:rsid w:val="00AA41E7"/>
    <w:rsid w:val="00AB23C8"/>
    <w:rsid w:val="00AC053B"/>
    <w:rsid w:val="00AC6091"/>
    <w:rsid w:val="00AD08BE"/>
    <w:rsid w:val="00AD4250"/>
    <w:rsid w:val="00AE0E89"/>
    <w:rsid w:val="00AE0EC0"/>
    <w:rsid w:val="00AE47CE"/>
    <w:rsid w:val="00B11CFE"/>
    <w:rsid w:val="00B13A5F"/>
    <w:rsid w:val="00B25C51"/>
    <w:rsid w:val="00B27B9D"/>
    <w:rsid w:val="00B37700"/>
    <w:rsid w:val="00B43DB2"/>
    <w:rsid w:val="00B44741"/>
    <w:rsid w:val="00B46CF9"/>
    <w:rsid w:val="00B47F46"/>
    <w:rsid w:val="00B57768"/>
    <w:rsid w:val="00B71C92"/>
    <w:rsid w:val="00B753D5"/>
    <w:rsid w:val="00B776D3"/>
    <w:rsid w:val="00B819A5"/>
    <w:rsid w:val="00B857E2"/>
    <w:rsid w:val="00B96701"/>
    <w:rsid w:val="00BA0FAD"/>
    <w:rsid w:val="00BA3625"/>
    <w:rsid w:val="00BA51BE"/>
    <w:rsid w:val="00BB3C47"/>
    <w:rsid w:val="00BC1CCE"/>
    <w:rsid w:val="00BC3A66"/>
    <w:rsid w:val="00BE3481"/>
    <w:rsid w:val="00BE3C7C"/>
    <w:rsid w:val="00BF3BB4"/>
    <w:rsid w:val="00BF3DDF"/>
    <w:rsid w:val="00BF70BC"/>
    <w:rsid w:val="00BF70FE"/>
    <w:rsid w:val="00C0266F"/>
    <w:rsid w:val="00C048D9"/>
    <w:rsid w:val="00C27553"/>
    <w:rsid w:val="00C32033"/>
    <w:rsid w:val="00C3376B"/>
    <w:rsid w:val="00C424EF"/>
    <w:rsid w:val="00C52268"/>
    <w:rsid w:val="00C61B5D"/>
    <w:rsid w:val="00C6235A"/>
    <w:rsid w:val="00C74157"/>
    <w:rsid w:val="00C77677"/>
    <w:rsid w:val="00C82FEA"/>
    <w:rsid w:val="00C84CCA"/>
    <w:rsid w:val="00C90B7B"/>
    <w:rsid w:val="00C91823"/>
    <w:rsid w:val="00CB2102"/>
    <w:rsid w:val="00CB3800"/>
    <w:rsid w:val="00CB4314"/>
    <w:rsid w:val="00CC44E9"/>
    <w:rsid w:val="00CC4D60"/>
    <w:rsid w:val="00CD3EF6"/>
    <w:rsid w:val="00CD417B"/>
    <w:rsid w:val="00CD490F"/>
    <w:rsid w:val="00CD5183"/>
    <w:rsid w:val="00CF04AC"/>
    <w:rsid w:val="00CF3ACA"/>
    <w:rsid w:val="00CF456D"/>
    <w:rsid w:val="00CF5F82"/>
    <w:rsid w:val="00D02991"/>
    <w:rsid w:val="00D06258"/>
    <w:rsid w:val="00D1662C"/>
    <w:rsid w:val="00D16EBD"/>
    <w:rsid w:val="00D20803"/>
    <w:rsid w:val="00D24F02"/>
    <w:rsid w:val="00D2582F"/>
    <w:rsid w:val="00D27A64"/>
    <w:rsid w:val="00D429BE"/>
    <w:rsid w:val="00D45085"/>
    <w:rsid w:val="00D52A64"/>
    <w:rsid w:val="00D572B9"/>
    <w:rsid w:val="00D63982"/>
    <w:rsid w:val="00D64707"/>
    <w:rsid w:val="00D7666E"/>
    <w:rsid w:val="00D83DBA"/>
    <w:rsid w:val="00D8580C"/>
    <w:rsid w:val="00D85B12"/>
    <w:rsid w:val="00D923E2"/>
    <w:rsid w:val="00D970E0"/>
    <w:rsid w:val="00D9728A"/>
    <w:rsid w:val="00DA183D"/>
    <w:rsid w:val="00DB7E36"/>
    <w:rsid w:val="00DC05BF"/>
    <w:rsid w:val="00DC1341"/>
    <w:rsid w:val="00DC2EE2"/>
    <w:rsid w:val="00DC3629"/>
    <w:rsid w:val="00DC7658"/>
    <w:rsid w:val="00DD0093"/>
    <w:rsid w:val="00DE2B22"/>
    <w:rsid w:val="00DE4605"/>
    <w:rsid w:val="00DF3864"/>
    <w:rsid w:val="00DF581E"/>
    <w:rsid w:val="00E14982"/>
    <w:rsid w:val="00E20A29"/>
    <w:rsid w:val="00E26B5E"/>
    <w:rsid w:val="00E3135E"/>
    <w:rsid w:val="00E3504A"/>
    <w:rsid w:val="00E37F9E"/>
    <w:rsid w:val="00E40C42"/>
    <w:rsid w:val="00E40FB7"/>
    <w:rsid w:val="00E478B7"/>
    <w:rsid w:val="00E56401"/>
    <w:rsid w:val="00E56500"/>
    <w:rsid w:val="00E570C4"/>
    <w:rsid w:val="00E60782"/>
    <w:rsid w:val="00E60990"/>
    <w:rsid w:val="00E6120F"/>
    <w:rsid w:val="00E62D7E"/>
    <w:rsid w:val="00E64CFD"/>
    <w:rsid w:val="00E66715"/>
    <w:rsid w:val="00E704E3"/>
    <w:rsid w:val="00E73FD3"/>
    <w:rsid w:val="00E833E9"/>
    <w:rsid w:val="00E835B3"/>
    <w:rsid w:val="00E92706"/>
    <w:rsid w:val="00E95A39"/>
    <w:rsid w:val="00E960D2"/>
    <w:rsid w:val="00E96682"/>
    <w:rsid w:val="00EA337B"/>
    <w:rsid w:val="00EA4E41"/>
    <w:rsid w:val="00EB5442"/>
    <w:rsid w:val="00EB6A45"/>
    <w:rsid w:val="00EC0FE2"/>
    <w:rsid w:val="00EC1333"/>
    <w:rsid w:val="00EC65A1"/>
    <w:rsid w:val="00ED3254"/>
    <w:rsid w:val="00ED48B5"/>
    <w:rsid w:val="00EE0D3C"/>
    <w:rsid w:val="00EF4362"/>
    <w:rsid w:val="00EF500E"/>
    <w:rsid w:val="00EF6468"/>
    <w:rsid w:val="00F02294"/>
    <w:rsid w:val="00F25E8D"/>
    <w:rsid w:val="00F36DE3"/>
    <w:rsid w:val="00F4188B"/>
    <w:rsid w:val="00F45322"/>
    <w:rsid w:val="00F469CA"/>
    <w:rsid w:val="00F60AEE"/>
    <w:rsid w:val="00F61423"/>
    <w:rsid w:val="00F62891"/>
    <w:rsid w:val="00F6520C"/>
    <w:rsid w:val="00F66C89"/>
    <w:rsid w:val="00F66CAF"/>
    <w:rsid w:val="00F80BB7"/>
    <w:rsid w:val="00F875B4"/>
    <w:rsid w:val="00F91B9F"/>
    <w:rsid w:val="00F93B14"/>
    <w:rsid w:val="00F94262"/>
    <w:rsid w:val="00F94264"/>
    <w:rsid w:val="00F965C4"/>
    <w:rsid w:val="00FA18A4"/>
    <w:rsid w:val="00FA2217"/>
    <w:rsid w:val="00FA5332"/>
    <w:rsid w:val="00FB447B"/>
    <w:rsid w:val="00FB53D9"/>
    <w:rsid w:val="00FB68F7"/>
    <w:rsid w:val="00FD6613"/>
    <w:rsid w:val="00FE1AA1"/>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335940">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3827673">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pa@press-n-relations.de" TargetMode="External"/><Relationship Id="rId5" Type="http://schemas.openxmlformats.org/officeDocument/2006/relationships/footnotes" Target="footnotes.xml"/><Relationship Id="rId10" Type="http://schemas.openxmlformats.org/officeDocument/2006/relationships/hyperlink" Target="http://www.tkt-vivax.de" TargetMode="External"/><Relationship Id="rId4" Type="http://schemas.openxmlformats.org/officeDocument/2006/relationships/webSettings" Target="webSettings.xml"/><Relationship Id="rId9" Type="http://schemas.openxmlformats.org/officeDocument/2006/relationships/hyperlink" Target="mailto:d.fieml@tkt-vivax.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541</Words>
  <Characters>3410</Characters>
  <Application>Microsoft Office Word</Application>
  <DocSecurity>0</DocSecurity>
  <Lines>28</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Breitband-Cockpit: Alle Details des Ausbaus aktuell im Blick</vt:lpstr>
      <vt:lpstr/>
    </vt:vector>
  </TitlesOfParts>
  <Manager/>
  <Company>Press'n'Relations</Company>
  <LinksUpToDate>false</LinksUpToDate>
  <CharactersWithSpaces>3944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Breitband-Cockpit: Alle Details des Ausbaus aktuell im Blick</dc:title>
  <dc:subject>Vivax Solution mit neuem Werkzeug zur Visualisierung von Glasfaser-Netzbauprojekten </dc:subject>
  <dc:creator>upa</dc:creator>
  <cp:keywords/>
  <dc:description>final</dc:description>
  <cp:lastModifiedBy>Uwe Taeger</cp:lastModifiedBy>
  <cp:revision>3</cp:revision>
  <cp:lastPrinted>2021-06-16T13:42:00Z</cp:lastPrinted>
  <dcterms:created xsi:type="dcterms:W3CDTF">2021-06-16T13:42:00Z</dcterms:created>
  <dcterms:modified xsi:type="dcterms:W3CDTF">2021-06-16T13:42:00Z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