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4A967" w14:textId="77777777" w:rsidR="00126EDD" w:rsidRDefault="00126EDD" w:rsidP="00126EDD">
      <w:pPr>
        <w:autoSpaceDE w:val="0"/>
        <w:autoSpaceDN w:val="0"/>
        <w:adjustRightInd w:val="0"/>
        <w:spacing w:after="0" w:line="240" w:lineRule="auto"/>
        <w:rPr>
          <w:rFonts w:ascii="Arial" w:hAnsi="Arial" w:cs="Arial"/>
          <w:b/>
          <w:color w:val="000000"/>
          <w:sz w:val="24"/>
          <w:szCs w:val="24"/>
        </w:rPr>
      </w:pPr>
    </w:p>
    <w:p w14:paraId="6E83A8A3" w14:textId="77777777" w:rsidR="00126EDD" w:rsidRPr="000655B7" w:rsidRDefault="00126EDD" w:rsidP="00126EDD">
      <w:pPr>
        <w:autoSpaceDE w:val="0"/>
        <w:autoSpaceDN w:val="0"/>
        <w:adjustRightInd w:val="0"/>
        <w:spacing w:after="0" w:line="240" w:lineRule="auto"/>
        <w:rPr>
          <w:rFonts w:ascii="Arial" w:hAnsi="Arial" w:cs="Arial"/>
          <w:b/>
          <w:color w:val="000000"/>
          <w:sz w:val="24"/>
          <w:szCs w:val="24"/>
        </w:rPr>
      </w:pPr>
    </w:p>
    <w:p w14:paraId="4BE95559" w14:textId="77777777" w:rsidR="00126EDD" w:rsidRPr="000655B7" w:rsidRDefault="00126EDD" w:rsidP="00126EDD">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17C12F8" w14:textId="77777777" w:rsidR="00126EDD" w:rsidRDefault="00126EDD" w:rsidP="00126EDD">
      <w:pPr>
        <w:autoSpaceDE w:val="0"/>
        <w:autoSpaceDN w:val="0"/>
        <w:adjustRightInd w:val="0"/>
        <w:spacing w:after="0" w:line="240" w:lineRule="auto"/>
        <w:rPr>
          <w:rFonts w:ascii="Arial" w:hAnsi="Arial" w:cs="Arial"/>
          <w:color w:val="000000"/>
        </w:rPr>
      </w:pPr>
    </w:p>
    <w:p w14:paraId="1FF0938E" w14:textId="1EA27050" w:rsidR="00126EDD" w:rsidRDefault="00126EDD" w:rsidP="00126EDD">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E14F96">
        <w:rPr>
          <w:rFonts w:ascii="Arial" w:hAnsi="Arial" w:cs="Arial"/>
        </w:rPr>
        <w:t>7</w:t>
      </w:r>
      <w:r w:rsidRPr="003A2746">
        <w:rPr>
          <w:rFonts w:ascii="Arial" w:hAnsi="Arial" w:cs="Arial"/>
        </w:rPr>
        <w:t xml:space="preserve">. </w:t>
      </w:r>
      <w:r w:rsidR="00E14F96">
        <w:rPr>
          <w:rFonts w:ascii="Arial" w:hAnsi="Arial" w:cs="Arial"/>
        </w:rPr>
        <w:t>Juni</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2</w:t>
      </w:r>
    </w:p>
    <w:p w14:paraId="58BB6196" w14:textId="279B9DFF" w:rsidR="004F0E10" w:rsidRDefault="004F0E10" w:rsidP="00126EDD">
      <w:pPr>
        <w:autoSpaceDE w:val="0"/>
        <w:autoSpaceDN w:val="0"/>
        <w:adjustRightInd w:val="0"/>
        <w:spacing w:after="0" w:line="240" w:lineRule="auto"/>
        <w:rPr>
          <w:rFonts w:ascii="Arial" w:hAnsi="Arial" w:cs="Arial"/>
          <w:color w:val="000000"/>
        </w:rPr>
      </w:pPr>
    </w:p>
    <w:p w14:paraId="180905B3" w14:textId="3369E2C7" w:rsidR="004F0E10" w:rsidRPr="004F0E10" w:rsidRDefault="004F0E10" w:rsidP="004F0E10">
      <w:pPr>
        <w:autoSpaceDE w:val="0"/>
        <w:autoSpaceDN w:val="0"/>
        <w:adjustRightInd w:val="0"/>
        <w:spacing w:after="0" w:line="240" w:lineRule="auto"/>
        <w:ind w:right="-850"/>
        <w:rPr>
          <w:rFonts w:ascii="Arial" w:hAnsi="Arial" w:cs="Arial"/>
          <w:b/>
          <w:bCs/>
          <w:i/>
          <w:iCs/>
          <w:color w:val="000000"/>
        </w:rPr>
      </w:pPr>
      <w:proofErr w:type="spellStart"/>
      <w:r w:rsidRPr="004F0E10">
        <w:rPr>
          <w:rFonts w:ascii="Arial" w:hAnsi="Arial" w:cs="Arial"/>
          <w:b/>
          <w:bCs/>
          <w:i/>
          <w:iCs/>
          <w:color w:val="000000"/>
        </w:rPr>
        <w:t>Fiberdays</w:t>
      </w:r>
      <w:proofErr w:type="spellEnd"/>
      <w:r w:rsidRPr="004F0E10">
        <w:rPr>
          <w:rFonts w:ascii="Arial" w:hAnsi="Arial" w:cs="Arial"/>
          <w:b/>
          <w:bCs/>
          <w:i/>
          <w:iCs/>
          <w:color w:val="000000"/>
        </w:rPr>
        <w:t xml:space="preserve"> 2022 – 14. und 15. Juni 2022 Wiesbaden – Halle Süd, Stand 45</w:t>
      </w:r>
    </w:p>
    <w:p w14:paraId="76F1CCEE" w14:textId="512EC3F5" w:rsidR="004F0E10" w:rsidRPr="004F0E10" w:rsidRDefault="004F0E10" w:rsidP="00126EDD">
      <w:pPr>
        <w:autoSpaceDE w:val="0"/>
        <w:autoSpaceDN w:val="0"/>
        <w:adjustRightInd w:val="0"/>
        <w:spacing w:after="0" w:line="240" w:lineRule="auto"/>
        <w:rPr>
          <w:rFonts w:ascii="Arial" w:hAnsi="Arial" w:cs="Arial"/>
          <w:b/>
          <w:bCs/>
          <w:i/>
          <w:iCs/>
          <w:color w:val="000000"/>
        </w:rPr>
      </w:pPr>
      <w:r w:rsidRPr="004F0E10">
        <w:rPr>
          <w:rFonts w:ascii="Arial" w:hAnsi="Arial" w:cs="Arial"/>
          <w:b/>
          <w:bCs/>
          <w:i/>
          <w:iCs/>
          <w:color w:val="000000"/>
        </w:rPr>
        <w:t xml:space="preserve">E-world 2022 – 21. bis 23. Juni 2022 Essen – </w:t>
      </w:r>
      <w:r w:rsidRPr="004F0E10">
        <w:rPr>
          <w:rFonts w:ascii="Arial" w:hAnsi="Arial" w:cs="Arial"/>
          <w:b/>
          <w:bCs/>
          <w:i/>
          <w:iCs/>
          <w:color w:val="000000"/>
        </w:rPr>
        <w:t>Halle 2, Stand 322</w:t>
      </w:r>
      <w:r w:rsidRPr="004F0E10">
        <w:rPr>
          <w:rFonts w:ascii="Arial" w:hAnsi="Arial" w:cs="Arial"/>
          <w:b/>
          <w:bCs/>
          <w:i/>
          <w:iCs/>
          <w:color w:val="000000"/>
        </w:rPr>
        <w:t xml:space="preserve"> </w:t>
      </w:r>
    </w:p>
    <w:p w14:paraId="6B5971CB" w14:textId="77777777" w:rsidR="00126EDD" w:rsidRPr="000B5BA3" w:rsidRDefault="00126EDD" w:rsidP="00126EDD">
      <w:pPr>
        <w:autoSpaceDE w:val="0"/>
        <w:autoSpaceDN w:val="0"/>
        <w:adjustRightInd w:val="0"/>
        <w:spacing w:after="0" w:line="360" w:lineRule="auto"/>
        <w:ind w:right="-2410"/>
        <w:rPr>
          <w:rFonts w:ascii="Arial" w:hAnsi="Arial" w:cs="Arial"/>
          <w:b/>
          <w:bCs/>
          <w:color w:val="000000"/>
        </w:rPr>
      </w:pPr>
    </w:p>
    <w:p w14:paraId="616F7653" w14:textId="02280D27" w:rsidR="00126EDD" w:rsidRPr="000A5BF7" w:rsidRDefault="004F0E10" w:rsidP="00126EDD">
      <w:pPr>
        <w:autoSpaceDE w:val="0"/>
        <w:autoSpaceDN w:val="0"/>
        <w:adjustRightInd w:val="0"/>
        <w:spacing w:after="0" w:line="360" w:lineRule="auto"/>
        <w:ind w:right="-1984"/>
        <w:rPr>
          <w:rFonts w:ascii="Arial" w:hAnsi="Arial" w:cs="Arial"/>
          <w:b/>
          <w:bCs/>
          <w:color w:val="000000"/>
          <w:sz w:val="28"/>
          <w:szCs w:val="28"/>
        </w:rPr>
      </w:pPr>
      <w:proofErr w:type="spellStart"/>
      <w:r>
        <w:rPr>
          <w:rFonts w:ascii="Arial" w:hAnsi="Arial" w:cs="Arial"/>
          <w:b/>
          <w:bCs/>
          <w:color w:val="000000"/>
          <w:sz w:val="28"/>
          <w:szCs w:val="28"/>
        </w:rPr>
        <w:t>tktVivax</w:t>
      </w:r>
      <w:proofErr w:type="spellEnd"/>
      <w:r w:rsidR="009B2F63">
        <w:rPr>
          <w:rFonts w:ascii="Arial" w:hAnsi="Arial" w:cs="Arial"/>
          <w:b/>
          <w:bCs/>
          <w:color w:val="000000"/>
          <w:sz w:val="28"/>
          <w:szCs w:val="28"/>
        </w:rPr>
        <w:t xml:space="preserve">: Bedarfsorientiert fördern statt Potenziale analysieren </w:t>
      </w:r>
    </w:p>
    <w:p w14:paraId="0C1B387B" w14:textId="61758858" w:rsidR="00126EDD" w:rsidRPr="008A663A" w:rsidRDefault="009B2F63" w:rsidP="00126EDD">
      <w:pPr>
        <w:spacing w:line="360" w:lineRule="auto"/>
        <w:ind w:right="-1701"/>
        <w:rPr>
          <w:rFonts w:ascii="Arial" w:hAnsi="Arial" w:cs="Tahoma"/>
          <w:b/>
          <w:sz w:val="20"/>
          <w:szCs w:val="20"/>
        </w:rPr>
      </w:pPr>
      <w:r>
        <w:rPr>
          <w:rFonts w:ascii="Arial" w:hAnsi="Arial" w:cs="Tahoma"/>
          <w:b/>
          <w:sz w:val="20"/>
          <w:szCs w:val="20"/>
        </w:rPr>
        <w:t xml:space="preserve">Vorschlag zur </w:t>
      </w:r>
      <w:r w:rsidR="00E14F96">
        <w:rPr>
          <w:rFonts w:ascii="Arial" w:hAnsi="Arial" w:cs="Tahoma"/>
          <w:b/>
          <w:sz w:val="20"/>
          <w:szCs w:val="20"/>
        </w:rPr>
        <w:t xml:space="preserve">bedarfsgerechten </w:t>
      </w:r>
      <w:r>
        <w:rPr>
          <w:rFonts w:ascii="Arial" w:hAnsi="Arial" w:cs="Tahoma"/>
          <w:b/>
          <w:sz w:val="20"/>
          <w:szCs w:val="20"/>
        </w:rPr>
        <w:t>Beschleunigung des Glasfaserausbaus</w:t>
      </w:r>
    </w:p>
    <w:p w14:paraId="0B52707F" w14:textId="6CFAA11E" w:rsidR="00126EDD" w:rsidRDefault="009B2F63" w:rsidP="00126EDD">
      <w:pPr>
        <w:spacing w:line="360" w:lineRule="auto"/>
        <w:rPr>
          <w:rFonts w:ascii="Arial" w:hAnsi="Arial" w:cs="Arial"/>
          <w:b/>
          <w:bCs/>
          <w:color w:val="000000"/>
          <w:sz w:val="20"/>
          <w:szCs w:val="20"/>
        </w:rPr>
      </w:pPr>
      <w:r>
        <w:rPr>
          <w:rFonts w:ascii="Arial" w:hAnsi="Arial" w:cs="Arial"/>
          <w:b/>
          <w:bCs/>
          <w:color w:val="000000"/>
          <w:sz w:val="20"/>
          <w:szCs w:val="20"/>
        </w:rPr>
        <w:t>Statt der im Koalitionsvertrag der Ampelkoalition vorgesehenen Potenzial</w:t>
      </w:r>
      <w:r w:rsidR="0028717A">
        <w:rPr>
          <w:rFonts w:ascii="Arial" w:hAnsi="Arial" w:cs="Arial"/>
          <w:b/>
          <w:bCs/>
          <w:color w:val="000000"/>
          <w:sz w:val="20"/>
          <w:szCs w:val="20"/>
        </w:rPr>
        <w:t xml:space="preserve">analysen, die zur Beurteilung der Förderfähigkeit </w:t>
      </w:r>
      <w:r w:rsidR="00162140">
        <w:rPr>
          <w:rFonts w:ascii="Arial" w:hAnsi="Arial" w:cs="Arial"/>
          <w:b/>
          <w:bCs/>
          <w:color w:val="000000"/>
          <w:sz w:val="20"/>
          <w:szCs w:val="20"/>
        </w:rPr>
        <w:t xml:space="preserve">ganzer Regionen </w:t>
      </w:r>
      <w:r w:rsidR="0028717A">
        <w:rPr>
          <w:rFonts w:ascii="Arial" w:hAnsi="Arial" w:cs="Arial"/>
          <w:b/>
          <w:bCs/>
          <w:color w:val="000000"/>
          <w:sz w:val="20"/>
          <w:szCs w:val="20"/>
        </w:rPr>
        <w:t xml:space="preserve">herangezogen werden sollen, sollte die bedarfsorientierte Förderung in den Fokus der Gigabit-Strategie der Bundesregierung rücken. Dazu hat </w:t>
      </w:r>
      <w:r w:rsidR="004F0E10">
        <w:rPr>
          <w:rFonts w:ascii="Arial" w:hAnsi="Arial" w:cs="Arial"/>
          <w:b/>
          <w:bCs/>
          <w:color w:val="000000"/>
          <w:sz w:val="20"/>
          <w:szCs w:val="20"/>
        </w:rPr>
        <w:t xml:space="preserve">die </w:t>
      </w:r>
      <w:proofErr w:type="spellStart"/>
      <w:r w:rsidR="004F0E10">
        <w:rPr>
          <w:rFonts w:ascii="Arial" w:hAnsi="Arial" w:cs="Arial"/>
          <w:b/>
          <w:bCs/>
          <w:color w:val="000000"/>
          <w:sz w:val="20"/>
          <w:szCs w:val="20"/>
        </w:rPr>
        <w:t>tktVivax</w:t>
      </w:r>
      <w:proofErr w:type="spellEnd"/>
      <w:r w:rsidR="004F0E10">
        <w:rPr>
          <w:rFonts w:ascii="Arial" w:hAnsi="Arial" w:cs="Arial"/>
          <w:b/>
          <w:bCs/>
          <w:color w:val="000000"/>
          <w:sz w:val="20"/>
          <w:szCs w:val="20"/>
        </w:rPr>
        <w:t xml:space="preserve"> Group</w:t>
      </w:r>
      <w:r w:rsidR="0028717A">
        <w:rPr>
          <w:rFonts w:ascii="Arial" w:hAnsi="Arial" w:cs="Arial"/>
          <w:b/>
          <w:bCs/>
          <w:color w:val="000000"/>
          <w:sz w:val="20"/>
          <w:szCs w:val="20"/>
        </w:rPr>
        <w:t xml:space="preserve"> jetzt ein Konzept erstellt, wie man das Verfahren durch die parallele Einbeziehung des eigenwirtschaftlichen Ausbaus deutlich beschleunigen und gleichzeitig Fördermittel einsparen könnte. </w:t>
      </w:r>
      <w:r w:rsidR="00162140">
        <w:rPr>
          <w:rFonts w:ascii="Arial" w:hAnsi="Arial" w:cs="Arial"/>
          <w:b/>
          <w:bCs/>
          <w:color w:val="000000"/>
          <w:sz w:val="20"/>
          <w:szCs w:val="20"/>
        </w:rPr>
        <w:t xml:space="preserve">„Wird der Fokus auf den Ausbau von Flächen gelegt, besteht die Gefahr, das ganze Regionen abgehängt werden, weil ihnen die Förderfähigkeit abgesprochen wird, sich der eigenwirtschaftliche Ausbau aber nur in Teilbereichen lohnt“, erläutert Dirk </w:t>
      </w:r>
      <w:proofErr w:type="spellStart"/>
      <w:r w:rsidR="00162140">
        <w:rPr>
          <w:rFonts w:ascii="Arial" w:hAnsi="Arial" w:cs="Arial"/>
          <w:b/>
          <w:bCs/>
          <w:color w:val="000000"/>
          <w:sz w:val="20"/>
          <w:szCs w:val="20"/>
        </w:rPr>
        <w:t>Fieml</w:t>
      </w:r>
      <w:proofErr w:type="spellEnd"/>
      <w:r w:rsidR="00162140">
        <w:rPr>
          <w:rFonts w:ascii="Arial" w:hAnsi="Arial" w:cs="Arial"/>
          <w:b/>
          <w:bCs/>
          <w:color w:val="000000"/>
          <w:sz w:val="20"/>
          <w:szCs w:val="20"/>
        </w:rPr>
        <w:t xml:space="preserve">, </w:t>
      </w:r>
      <w:r w:rsidR="004F0E10">
        <w:rPr>
          <w:rFonts w:ascii="Arial" w:hAnsi="Arial" w:cs="Arial"/>
          <w:b/>
          <w:bCs/>
          <w:color w:val="000000"/>
          <w:sz w:val="20"/>
          <w:szCs w:val="20"/>
        </w:rPr>
        <w:t xml:space="preserve">CEO der </w:t>
      </w:r>
      <w:proofErr w:type="spellStart"/>
      <w:r w:rsidR="004F0E10">
        <w:rPr>
          <w:rFonts w:ascii="Arial" w:hAnsi="Arial" w:cs="Arial"/>
          <w:b/>
          <w:bCs/>
          <w:color w:val="000000"/>
          <w:sz w:val="20"/>
          <w:szCs w:val="20"/>
        </w:rPr>
        <w:t>tktVivax</w:t>
      </w:r>
      <w:proofErr w:type="spellEnd"/>
      <w:r w:rsidR="004F0E10">
        <w:rPr>
          <w:rFonts w:ascii="Arial" w:hAnsi="Arial" w:cs="Arial"/>
          <w:b/>
          <w:bCs/>
          <w:color w:val="000000"/>
          <w:sz w:val="20"/>
          <w:szCs w:val="20"/>
        </w:rPr>
        <w:t xml:space="preserve"> Group</w:t>
      </w:r>
      <w:r w:rsidR="004F0E10">
        <w:rPr>
          <w:rFonts w:ascii="Arial" w:hAnsi="Arial" w:cs="Arial"/>
          <w:b/>
          <w:bCs/>
          <w:color w:val="000000"/>
          <w:sz w:val="20"/>
          <w:szCs w:val="20"/>
        </w:rPr>
        <w:t xml:space="preserve"> und </w:t>
      </w:r>
      <w:r w:rsidR="00162140">
        <w:rPr>
          <w:rFonts w:ascii="Arial" w:hAnsi="Arial" w:cs="Arial"/>
          <w:b/>
          <w:bCs/>
          <w:color w:val="000000"/>
          <w:sz w:val="20"/>
          <w:szCs w:val="20"/>
        </w:rPr>
        <w:t xml:space="preserve">Vorsitzender des </w:t>
      </w:r>
      <w:r w:rsidR="004F0E10">
        <w:rPr>
          <w:rFonts w:ascii="Arial" w:hAnsi="Arial" w:cs="Arial"/>
          <w:b/>
          <w:bCs/>
          <w:color w:val="000000"/>
          <w:sz w:val="20"/>
          <w:szCs w:val="20"/>
        </w:rPr>
        <w:t xml:space="preserve">Arbeitskreis </w:t>
      </w:r>
      <w:proofErr w:type="spellStart"/>
      <w:r w:rsidR="004F0E10">
        <w:rPr>
          <w:rFonts w:ascii="Arial" w:hAnsi="Arial" w:cs="Arial"/>
          <w:b/>
          <w:bCs/>
          <w:color w:val="000000"/>
          <w:sz w:val="20"/>
          <w:szCs w:val="20"/>
        </w:rPr>
        <w:t>Glöasfaser</w:t>
      </w:r>
      <w:proofErr w:type="spellEnd"/>
      <w:r w:rsidR="004F0E10">
        <w:rPr>
          <w:rFonts w:ascii="Arial" w:hAnsi="Arial" w:cs="Arial"/>
          <w:b/>
          <w:bCs/>
          <w:color w:val="000000"/>
          <w:sz w:val="20"/>
          <w:szCs w:val="20"/>
        </w:rPr>
        <w:t xml:space="preserve"> Deutschland </w:t>
      </w:r>
      <w:r w:rsidR="00162140">
        <w:rPr>
          <w:rFonts w:ascii="Arial" w:hAnsi="Arial" w:cs="Arial"/>
          <w:b/>
          <w:bCs/>
          <w:color w:val="000000"/>
          <w:sz w:val="20"/>
          <w:szCs w:val="20"/>
        </w:rPr>
        <w:t xml:space="preserve">AK GAD. </w:t>
      </w:r>
      <w:r w:rsidR="004F0E10">
        <w:rPr>
          <w:rFonts w:ascii="Arial" w:hAnsi="Arial" w:cs="Arial"/>
          <w:b/>
          <w:bCs/>
          <w:color w:val="000000"/>
          <w:sz w:val="20"/>
          <w:szCs w:val="20"/>
        </w:rPr>
        <w:t>Er</w:t>
      </w:r>
      <w:r w:rsidR="0028717A">
        <w:rPr>
          <w:rFonts w:ascii="Arial" w:hAnsi="Arial" w:cs="Arial"/>
          <w:b/>
          <w:bCs/>
          <w:color w:val="000000"/>
          <w:sz w:val="20"/>
          <w:szCs w:val="20"/>
        </w:rPr>
        <w:t xml:space="preserve"> empfiehlt gleichzeitig, die Digitalisierung des Förderverfahren schnell voranzutreiben und dabei auf die Standardisierung der Verfahren von Bund und Ländern zu achten. Das Digitale Grundbuch ist aus Sicht </w:t>
      </w:r>
      <w:r w:rsidR="004F0E10">
        <w:rPr>
          <w:rFonts w:ascii="Arial" w:hAnsi="Arial" w:cs="Arial"/>
          <w:b/>
          <w:bCs/>
          <w:color w:val="000000"/>
          <w:sz w:val="20"/>
          <w:szCs w:val="20"/>
        </w:rPr>
        <w:t xml:space="preserve">von </w:t>
      </w:r>
      <w:proofErr w:type="spellStart"/>
      <w:r w:rsidR="004F0E10">
        <w:rPr>
          <w:rFonts w:ascii="Arial" w:hAnsi="Arial" w:cs="Arial"/>
          <w:b/>
          <w:bCs/>
          <w:color w:val="000000"/>
          <w:sz w:val="20"/>
          <w:szCs w:val="20"/>
        </w:rPr>
        <w:t>tktVivax</w:t>
      </w:r>
      <w:proofErr w:type="spellEnd"/>
      <w:r w:rsidR="0028717A">
        <w:rPr>
          <w:rFonts w:ascii="Arial" w:hAnsi="Arial" w:cs="Arial"/>
          <w:b/>
          <w:bCs/>
          <w:color w:val="000000"/>
          <w:sz w:val="20"/>
          <w:szCs w:val="20"/>
        </w:rPr>
        <w:t xml:space="preserve"> jedoch ungeeignet, den Breitban</w:t>
      </w:r>
      <w:r w:rsidR="00E14F96">
        <w:rPr>
          <w:rFonts w:ascii="Arial" w:hAnsi="Arial" w:cs="Arial"/>
          <w:b/>
          <w:bCs/>
          <w:color w:val="000000"/>
          <w:sz w:val="20"/>
          <w:szCs w:val="20"/>
        </w:rPr>
        <w:t>d</w:t>
      </w:r>
      <w:r w:rsidR="0028717A">
        <w:rPr>
          <w:rFonts w:ascii="Arial" w:hAnsi="Arial" w:cs="Arial"/>
          <w:b/>
          <w:bCs/>
          <w:color w:val="000000"/>
          <w:sz w:val="20"/>
          <w:szCs w:val="20"/>
        </w:rPr>
        <w:t xml:space="preserve">ausbau zu beschleunigen. „Bis dieses </w:t>
      </w:r>
      <w:r w:rsidR="00162140">
        <w:rPr>
          <w:rFonts w:ascii="Arial" w:hAnsi="Arial" w:cs="Arial"/>
          <w:b/>
          <w:bCs/>
          <w:color w:val="000000"/>
          <w:sz w:val="20"/>
          <w:szCs w:val="20"/>
        </w:rPr>
        <w:t xml:space="preserve">zentrale </w:t>
      </w:r>
      <w:r w:rsidR="0028717A">
        <w:rPr>
          <w:rFonts w:ascii="Arial" w:hAnsi="Arial" w:cs="Arial"/>
          <w:b/>
          <w:bCs/>
          <w:color w:val="000000"/>
          <w:sz w:val="20"/>
          <w:szCs w:val="20"/>
        </w:rPr>
        <w:t>Digitale Grundbuch funktioniert</w:t>
      </w:r>
      <w:r w:rsidR="00162140">
        <w:rPr>
          <w:rFonts w:ascii="Arial" w:hAnsi="Arial" w:cs="Arial"/>
          <w:b/>
          <w:bCs/>
          <w:color w:val="000000"/>
          <w:sz w:val="20"/>
          <w:szCs w:val="20"/>
        </w:rPr>
        <w:t xml:space="preserve">, vergehen Jahre. Denn bislang fehlt es an der notwendigen Datenbasis und den Standards, um automatisiert die jeweils aktuellen Daten aus den Kommunen und Ländern zusammenzuführen“, begründet Dirk </w:t>
      </w:r>
      <w:proofErr w:type="spellStart"/>
      <w:r w:rsidR="00162140">
        <w:rPr>
          <w:rFonts w:ascii="Arial" w:hAnsi="Arial" w:cs="Arial"/>
          <w:b/>
          <w:bCs/>
          <w:color w:val="000000"/>
          <w:sz w:val="20"/>
          <w:szCs w:val="20"/>
        </w:rPr>
        <w:t>Fieml</w:t>
      </w:r>
      <w:proofErr w:type="spellEnd"/>
      <w:r w:rsidR="00162140">
        <w:rPr>
          <w:rFonts w:ascii="Arial" w:hAnsi="Arial" w:cs="Arial"/>
          <w:b/>
          <w:bCs/>
          <w:color w:val="000000"/>
          <w:sz w:val="20"/>
          <w:szCs w:val="20"/>
        </w:rPr>
        <w:t xml:space="preserve"> den Vorstoß.</w:t>
      </w:r>
    </w:p>
    <w:p w14:paraId="6A20A127" w14:textId="66469358" w:rsidR="00162140" w:rsidRPr="00162140" w:rsidRDefault="00162140" w:rsidP="00162140">
      <w:pPr>
        <w:spacing w:line="360" w:lineRule="auto"/>
        <w:rPr>
          <w:rFonts w:ascii="Arial" w:hAnsi="Arial" w:cs="Arial"/>
          <w:color w:val="000000"/>
          <w:sz w:val="20"/>
          <w:szCs w:val="20"/>
        </w:rPr>
      </w:pPr>
      <w:r>
        <w:rPr>
          <w:rFonts w:ascii="Arial" w:hAnsi="Arial" w:cs="Arial"/>
          <w:color w:val="000000"/>
          <w:sz w:val="20"/>
          <w:szCs w:val="20"/>
        </w:rPr>
        <w:t xml:space="preserve">Im Rahmen der </w:t>
      </w:r>
      <w:r w:rsidR="00E14F96">
        <w:rPr>
          <w:rFonts w:ascii="Arial" w:hAnsi="Arial" w:cs="Arial"/>
          <w:color w:val="000000"/>
          <w:sz w:val="20"/>
          <w:szCs w:val="20"/>
        </w:rPr>
        <w:t>bedarfsorientierten Förderung</w:t>
      </w:r>
      <w:r w:rsidRPr="00162140">
        <w:rPr>
          <w:rFonts w:ascii="Arial" w:hAnsi="Arial" w:cs="Arial"/>
          <w:color w:val="000000"/>
          <w:sz w:val="20"/>
          <w:szCs w:val="20"/>
        </w:rPr>
        <w:t xml:space="preserve"> sollte </w:t>
      </w:r>
      <w:r w:rsidR="00E14F96">
        <w:rPr>
          <w:rFonts w:ascii="Arial" w:hAnsi="Arial" w:cs="Arial"/>
          <w:color w:val="000000"/>
          <w:sz w:val="20"/>
          <w:szCs w:val="20"/>
        </w:rPr>
        <w:t xml:space="preserve">es </w:t>
      </w:r>
      <w:r w:rsidRPr="00162140">
        <w:rPr>
          <w:rFonts w:ascii="Arial" w:hAnsi="Arial" w:cs="Arial"/>
          <w:color w:val="000000"/>
          <w:sz w:val="20"/>
          <w:szCs w:val="20"/>
        </w:rPr>
        <w:t xml:space="preserve">die verpflichtende Einführung eines Interessenbekundungsverfahrens geben, z. B. über ein „Bürgerportal“. Dieses Bürgerportal wird online geschaltet, sobald die Kommune, der Landkreis oder das Stadtwerk einen 3.3-Förderantrag angeschoben hat, um die Fördermittel für die Beratung zu erhalten, und die Markterkundung durchgeführt wird. Schon zu diesem Zeitpunkt wird das Portal offensiv beworben, damit Bürger ihr Interesse bekunden können, dass sie einen schnellen </w:t>
      </w:r>
      <w:r w:rsidRPr="00162140">
        <w:rPr>
          <w:rFonts w:ascii="Arial" w:hAnsi="Arial" w:cs="Arial"/>
          <w:color w:val="000000"/>
          <w:sz w:val="20"/>
          <w:szCs w:val="20"/>
        </w:rPr>
        <w:lastRenderedPageBreak/>
        <w:t>Glasfaseranschluss benötigen, ohne dass dies bereits verpflichtend wäre. Auf diesem Wege ist es möglich, den tatsächlichen Bedarf bereits sehr früh im Verfahren zu ermitteln. Daneben werden weitere relevante Informationen abgefragt, die später benötigt werden, etwa zur bestehenden und benötigten Bandbreite. Parallel dazu startet die Kommune ein Interessensbekundungsverfahren für den eigenwirtschaftlichen Ausbau. Findet sich ein privatwirtschaftliches Unternehmen, das hier aktiv werden möchte, verpflichtet es sich in diesem Zusammenhang, kurzfristig in die Vorvermarktung zu gehen. Die Erfolge aus der Interessenbekundung im Bürgerportal</w:t>
      </w:r>
      <w:r w:rsidR="00321DE9">
        <w:rPr>
          <w:rFonts w:ascii="Arial" w:hAnsi="Arial" w:cs="Arial"/>
          <w:color w:val="000000"/>
          <w:sz w:val="20"/>
          <w:szCs w:val="20"/>
        </w:rPr>
        <w:t xml:space="preserve"> sowie</w:t>
      </w:r>
      <w:r w:rsidRPr="00162140">
        <w:rPr>
          <w:rFonts w:ascii="Arial" w:hAnsi="Arial" w:cs="Arial"/>
          <w:color w:val="000000"/>
          <w:sz w:val="20"/>
          <w:szCs w:val="20"/>
        </w:rPr>
        <w:t xml:space="preserve"> die Ergebnisse der Markterkundung und der Vorvermarktung werden miteinander verschnitten. Das Ergebnis ist </w:t>
      </w:r>
      <w:proofErr w:type="gramStart"/>
      <w:r w:rsidRPr="00162140">
        <w:rPr>
          <w:rFonts w:ascii="Arial" w:hAnsi="Arial" w:cs="Arial"/>
          <w:color w:val="000000"/>
          <w:sz w:val="20"/>
          <w:szCs w:val="20"/>
        </w:rPr>
        <w:t>ein relativ</w:t>
      </w:r>
      <w:proofErr w:type="gramEnd"/>
      <w:r w:rsidRPr="00162140">
        <w:rPr>
          <w:rFonts w:ascii="Arial" w:hAnsi="Arial" w:cs="Arial"/>
          <w:color w:val="000000"/>
          <w:sz w:val="20"/>
          <w:szCs w:val="20"/>
        </w:rPr>
        <w:t xml:space="preserve"> genaues Bild, wo sich ein eigenwirtschaftlicher Ausbau lohnt und wo Förderung nötig ist. Und vor allem – wo auch ein Bedarf ist! </w:t>
      </w:r>
    </w:p>
    <w:p w14:paraId="4A07CEE8" w14:textId="4F0BE9F5" w:rsidR="002F66DA" w:rsidRPr="00473FBA" w:rsidRDefault="00162140" w:rsidP="00126EDD">
      <w:pPr>
        <w:spacing w:line="360" w:lineRule="auto"/>
        <w:rPr>
          <w:rFonts w:ascii="Arial" w:hAnsi="Arial" w:cs="Arial"/>
          <w:color w:val="000000"/>
          <w:sz w:val="20"/>
          <w:szCs w:val="20"/>
        </w:rPr>
      </w:pPr>
      <w:r w:rsidRPr="00162140">
        <w:rPr>
          <w:rFonts w:ascii="Arial" w:hAnsi="Arial" w:cs="Arial"/>
          <w:color w:val="000000"/>
          <w:sz w:val="20"/>
          <w:szCs w:val="20"/>
        </w:rPr>
        <w:t>Die Kommune, der Landkreis oder das Stadtwerk kann nun ganz gezielt die Förderung für alle unterversorgten und unwirtschaftlichen Adressen beantragen, bei denen der Bedarf ebenfalls bereits über die Meldung im Portal oder durch einen Vorvertrag mit dem Partner nachgewiesen ist. Auf dieser Basis kann die Kommune auch in die Ausschreibung des geförderten Ausbaus gehen, wobei der Kooperationspartner, der die Vorvermarktung durchgeführt hat, zur Teilnahme am geförderten Vergabeverfahren verpflichtet wird.  Grundsätzlich ist es möglich, sofort mit dem eigenwirtschaftlichen Ausbau loszulegen, ohne dass die Förderung schon genehmigt sein muss. Die Erschließung der geförderten Anschlüsse folgt, sobald die Mittel genehmigt wurden.</w:t>
      </w:r>
    </w:p>
    <w:tbl>
      <w:tblPr>
        <w:tblW w:w="9781" w:type="dxa"/>
        <w:tblLook w:val="04A0" w:firstRow="1" w:lastRow="0" w:firstColumn="1" w:lastColumn="0" w:noHBand="0" w:noVBand="1"/>
      </w:tblPr>
      <w:tblGrid>
        <w:gridCol w:w="4962"/>
        <w:gridCol w:w="4819"/>
      </w:tblGrid>
      <w:tr w:rsidR="00126EDD" w:rsidRPr="000655B7" w14:paraId="5643BC16" w14:textId="77777777" w:rsidTr="00A05662">
        <w:tc>
          <w:tcPr>
            <w:tcW w:w="4962" w:type="dxa"/>
            <w:shd w:val="clear" w:color="auto" w:fill="auto"/>
          </w:tcPr>
          <w:p w14:paraId="39ED843B" w14:textId="77777777" w:rsidR="00E14F96" w:rsidRDefault="00126EDD" w:rsidP="00BA0B62">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70903C3E" w14:textId="3F22833B" w:rsidR="00126EDD" w:rsidRDefault="00126EDD" w:rsidP="00BA0B62">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00BA0B62" w:rsidRPr="00BA0B62">
              <w:rPr>
                <w:rFonts w:ascii="Arial" w:hAnsi="Arial" w:cs="Calibri"/>
                <w:sz w:val="16"/>
                <w:szCs w:val="26"/>
                <w:lang w:eastAsia="de-DE"/>
              </w:rPr>
              <w:t>Fasanenstr. 3</w:t>
            </w:r>
            <w:r w:rsidR="00BA0B62">
              <w:rPr>
                <w:rFonts w:ascii="Arial" w:hAnsi="Arial" w:cs="Calibri"/>
                <w:sz w:val="16"/>
                <w:szCs w:val="26"/>
                <w:lang w:eastAsia="de-DE"/>
              </w:rPr>
              <w:t xml:space="preserve">3 </w:t>
            </w:r>
            <w:r>
              <w:rPr>
                <w:rFonts w:ascii="Arial" w:hAnsi="Arial" w:cs="Calibri"/>
                <w:sz w:val="16"/>
                <w:szCs w:val="26"/>
                <w:lang w:eastAsia="de-DE"/>
              </w:rPr>
              <w:t>–</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686402A5" w14:textId="77777777" w:rsidR="00126EDD" w:rsidRPr="004E3948" w:rsidRDefault="00126EDD" w:rsidP="00A05662">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5FC651FA" w14:textId="77777777" w:rsidR="00126EDD" w:rsidRPr="000655B7" w:rsidRDefault="00126EDD" w:rsidP="00A05662">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1EDEC866" w14:textId="2A114B0C" w:rsidR="00E14F96" w:rsidRDefault="00E14F96" w:rsidP="00E14F96">
      <w:pPr>
        <w:widowControl w:val="0"/>
        <w:autoSpaceDE w:val="0"/>
        <w:autoSpaceDN w:val="0"/>
        <w:adjustRightInd w:val="0"/>
        <w:spacing w:line="240" w:lineRule="auto"/>
        <w:ind w:left="34" w:right="-141"/>
        <w:rPr>
          <w:rFonts w:ascii="Arial" w:hAnsi="Arial" w:cs="Calibri"/>
          <w:sz w:val="16"/>
          <w:szCs w:val="26"/>
          <w:lang w:eastAsia="de-DE"/>
        </w:rPr>
      </w:pPr>
      <w:r w:rsidRPr="00E14F96">
        <w:rPr>
          <w:rFonts w:ascii="Arial" w:hAnsi="Arial" w:cs="Calibri"/>
          <w:sz w:val="16"/>
          <w:szCs w:val="26"/>
          <w:lang w:eastAsia="de-DE"/>
        </w:rPr>
        <w:t xml:space="preserve">Mit dem Arbeitskreis Glasfaserausbau Deutschland (AK GAD) hat die </w:t>
      </w:r>
      <w:proofErr w:type="spellStart"/>
      <w:r w:rsidRPr="00E14F96">
        <w:rPr>
          <w:rFonts w:ascii="Arial" w:hAnsi="Arial" w:cs="Calibri"/>
          <w:sz w:val="16"/>
          <w:szCs w:val="26"/>
          <w:lang w:eastAsia="de-DE"/>
        </w:rPr>
        <w:t>tktVivax</w:t>
      </w:r>
      <w:proofErr w:type="spellEnd"/>
      <w:r w:rsidRPr="00E14F96">
        <w:rPr>
          <w:rFonts w:ascii="Arial" w:hAnsi="Arial" w:cs="Calibri"/>
          <w:sz w:val="16"/>
          <w:szCs w:val="26"/>
          <w:lang w:eastAsia="de-DE"/>
        </w:rPr>
        <w:t xml:space="preserve"> Group eine Initiative ins Leben gerufen, die helfen soll, den flächendeckenden Ausbau von Breitbandnetzen zu erleichtern. Im Fokus der Arbeit stehen operative Fragen rund um den Ausbau, den Betrieb und die Vermarktung von Glasfasernetzen sowie der vor- und nachgelagerten Infrastruktur. Der AK GAD agiert dabei vornehmlich als Plattform für den Informationsaustausch und den Know-how-Transfer. </w:t>
      </w:r>
    </w:p>
    <w:p w14:paraId="7F9370C7" w14:textId="49D22B95" w:rsidR="00126EDD" w:rsidRPr="009F0F94" w:rsidRDefault="00126EDD" w:rsidP="00126EDD">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und Hamburg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sidR="002B5436">
        <w:rPr>
          <w:rFonts w:ascii="Arial" w:hAnsi="Arial" w:cs="Calibri"/>
          <w:sz w:val="16"/>
          <w:szCs w:val="26"/>
          <w:lang w:eastAsia="de-DE"/>
        </w:rPr>
        <w:t>die</w:t>
      </w:r>
      <w:r w:rsidRPr="004574AD">
        <w:rPr>
          <w:rFonts w:ascii="Arial" w:hAnsi="Arial" w:cs="Calibri"/>
          <w:sz w:val="16"/>
          <w:szCs w:val="26"/>
          <w:lang w:eastAsia="de-DE"/>
        </w:rPr>
        <w:t xml:space="preserve"> </w:t>
      </w:r>
      <w:r w:rsidR="002B5436">
        <w:rPr>
          <w:rFonts w:ascii="Arial" w:hAnsi="Arial" w:cs="Calibri"/>
          <w:sz w:val="16"/>
          <w:szCs w:val="26"/>
          <w:lang w:eastAsia="de-DE"/>
        </w:rPr>
        <w:t>LBG B</w:t>
      </w:r>
      <w:r w:rsidRPr="004574AD">
        <w:rPr>
          <w:rFonts w:ascii="Arial" w:hAnsi="Arial" w:cs="Calibri"/>
          <w:sz w:val="16"/>
          <w:szCs w:val="26"/>
          <w:lang w:eastAsia="de-DE"/>
        </w:rPr>
        <w:t>reitbandgesellschaft angesiedelt. Zielgruppe für Produkte und Dienstleistungen sind sowohl Stadtwerke, Netzbetreiber als auch Kommunalverwaltungen und Landkreise.</w:t>
      </w:r>
    </w:p>
    <w:p w14:paraId="2E55E5C6" w14:textId="014AD25D" w:rsidR="007749DD" w:rsidRPr="00126EDD" w:rsidRDefault="007749DD" w:rsidP="00126EDD"/>
    <w:sectPr w:rsidR="007749DD" w:rsidRPr="00126EDD"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2D145" w14:textId="77777777" w:rsidR="00121300" w:rsidRDefault="00121300" w:rsidP="00BF70FE">
      <w:pPr>
        <w:spacing w:after="0" w:line="240" w:lineRule="auto"/>
      </w:pPr>
      <w:r>
        <w:separator/>
      </w:r>
    </w:p>
  </w:endnote>
  <w:endnote w:type="continuationSeparator" w:id="0">
    <w:p w14:paraId="4904E919" w14:textId="77777777" w:rsidR="00121300" w:rsidRDefault="00121300"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4FDE7" w14:textId="77777777" w:rsidR="00121300" w:rsidRDefault="00121300" w:rsidP="00BF70FE">
      <w:pPr>
        <w:spacing w:after="0" w:line="240" w:lineRule="auto"/>
      </w:pPr>
      <w:r>
        <w:separator/>
      </w:r>
    </w:p>
  </w:footnote>
  <w:footnote w:type="continuationSeparator" w:id="0">
    <w:p w14:paraId="02A9D498" w14:textId="77777777" w:rsidR="00121300" w:rsidRDefault="00121300"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408027FF" w:rsidR="00B96701" w:rsidRDefault="00AE0EC0" w:rsidP="00E14F96">
    <w:pPr>
      <w:pStyle w:val="Kopfzeile"/>
      <w:tabs>
        <w:tab w:val="clear" w:pos="9072"/>
      </w:tabs>
      <w:ind w:right="-2551"/>
      <w:jc w:val="right"/>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A5BF7"/>
    <w:rsid w:val="000B5BA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21300"/>
    <w:rsid w:val="00126EDD"/>
    <w:rsid w:val="00131142"/>
    <w:rsid w:val="0013234F"/>
    <w:rsid w:val="00132DC4"/>
    <w:rsid w:val="00135237"/>
    <w:rsid w:val="00143BC5"/>
    <w:rsid w:val="0014450F"/>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74204"/>
    <w:rsid w:val="002745F8"/>
    <w:rsid w:val="002757A3"/>
    <w:rsid w:val="0028558F"/>
    <w:rsid w:val="0028717A"/>
    <w:rsid w:val="002A7D5D"/>
    <w:rsid w:val="002A7E29"/>
    <w:rsid w:val="002B1340"/>
    <w:rsid w:val="002B245C"/>
    <w:rsid w:val="002B36BE"/>
    <w:rsid w:val="002B3E9E"/>
    <w:rsid w:val="002B5436"/>
    <w:rsid w:val="002C01AF"/>
    <w:rsid w:val="002D5B66"/>
    <w:rsid w:val="002D6045"/>
    <w:rsid w:val="002E0481"/>
    <w:rsid w:val="002E1504"/>
    <w:rsid w:val="002E33BB"/>
    <w:rsid w:val="002E6EA0"/>
    <w:rsid w:val="002F1BFF"/>
    <w:rsid w:val="002F66DA"/>
    <w:rsid w:val="002F6E7A"/>
    <w:rsid w:val="0030091A"/>
    <w:rsid w:val="00304113"/>
    <w:rsid w:val="00304144"/>
    <w:rsid w:val="00314048"/>
    <w:rsid w:val="00315669"/>
    <w:rsid w:val="00321DE9"/>
    <w:rsid w:val="003228B7"/>
    <w:rsid w:val="003274D8"/>
    <w:rsid w:val="00341A34"/>
    <w:rsid w:val="0035048A"/>
    <w:rsid w:val="00350A47"/>
    <w:rsid w:val="0035256E"/>
    <w:rsid w:val="00362AE7"/>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63AC"/>
    <w:rsid w:val="003D642E"/>
    <w:rsid w:val="003D7AC5"/>
    <w:rsid w:val="003E1E07"/>
    <w:rsid w:val="003F5618"/>
    <w:rsid w:val="003F5E46"/>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38B5"/>
    <w:rsid w:val="00463FE6"/>
    <w:rsid w:val="00465527"/>
    <w:rsid w:val="00465CBB"/>
    <w:rsid w:val="004713E0"/>
    <w:rsid w:val="004731DE"/>
    <w:rsid w:val="00473FBA"/>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6FEE"/>
    <w:rsid w:val="005577A0"/>
    <w:rsid w:val="00557F58"/>
    <w:rsid w:val="00563754"/>
    <w:rsid w:val="00564676"/>
    <w:rsid w:val="00565D15"/>
    <w:rsid w:val="005739E1"/>
    <w:rsid w:val="00576A90"/>
    <w:rsid w:val="00576E59"/>
    <w:rsid w:val="00580F7D"/>
    <w:rsid w:val="00582ECD"/>
    <w:rsid w:val="00591D88"/>
    <w:rsid w:val="005926D7"/>
    <w:rsid w:val="005958C2"/>
    <w:rsid w:val="00596BC4"/>
    <w:rsid w:val="005B2C0D"/>
    <w:rsid w:val="005B3C72"/>
    <w:rsid w:val="005B50F1"/>
    <w:rsid w:val="005D3D1E"/>
    <w:rsid w:val="005D61BC"/>
    <w:rsid w:val="005E1591"/>
    <w:rsid w:val="005E204F"/>
    <w:rsid w:val="005F2DF5"/>
    <w:rsid w:val="005F5177"/>
    <w:rsid w:val="005F63B7"/>
    <w:rsid w:val="0060472D"/>
    <w:rsid w:val="00605163"/>
    <w:rsid w:val="00613B84"/>
    <w:rsid w:val="00630497"/>
    <w:rsid w:val="00632072"/>
    <w:rsid w:val="00633111"/>
    <w:rsid w:val="00640EED"/>
    <w:rsid w:val="00650109"/>
    <w:rsid w:val="00650F5E"/>
    <w:rsid w:val="006514AF"/>
    <w:rsid w:val="006563BE"/>
    <w:rsid w:val="00664FF9"/>
    <w:rsid w:val="006663C8"/>
    <w:rsid w:val="00666C16"/>
    <w:rsid w:val="0067331D"/>
    <w:rsid w:val="00674BD0"/>
    <w:rsid w:val="00681349"/>
    <w:rsid w:val="006824CB"/>
    <w:rsid w:val="00682686"/>
    <w:rsid w:val="00682E83"/>
    <w:rsid w:val="006847AC"/>
    <w:rsid w:val="006862AC"/>
    <w:rsid w:val="006966C5"/>
    <w:rsid w:val="006A1AAA"/>
    <w:rsid w:val="006A652B"/>
    <w:rsid w:val="006B4FEB"/>
    <w:rsid w:val="006D38DD"/>
    <w:rsid w:val="006D6479"/>
    <w:rsid w:val="006E3A41"/>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0DBF"/>
    <w:rsid w:val="007749DD"/>
    <w:rsid w:val="007768B7"/>
    <w:rsid w:val="00777197"/>
    <w:rsid w:val="00780026"/>
    <w:rsid w:val="00785A83"/>
    <w:rsid w:val="00785BC8"/>
    <w:rsid w:val="007A253C"/>
    <w:rsid w:val="007B0E5E"/>
    <w:rsid w:val="007B40BC"/>
    <w:rsid w:val="007C0C1B"/>
    <w:rsid w:val="007D3F81"/>
    <w:rsid w:val="007E401A"/>
    <w:rsid w:val="007E4D6B"/>
    <w:rsid w:val="007F0DE9"/>
    <w:rsid w:val="007F32B3"/>
    <w:rsid w:val="007F3F43"/>
    <w:rsid w:val="007F45CF"/>
    <w:rsid w:val="007F4A3D"/>
    <w:rsid w:val="007F5FBA"/>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944"/>
    <w:rsid w:val="008F64E2"/>
    <w:rsid w:val="00912C77"/>
    <w:rsid w:val="00915DD5"/>
    <w:rsid w:val="009225CB"/>
    <w:rsid w:val="009234F0"/>
    <w:rsid w:val="009309DD"/>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23C8"/>
    <w:rsid w:val="00AC053B"/>
    <w:rsid w:val="00AC2478"/>
    <w:rsid w:val="00AC2BFD"/>
    <w:rsid w:val="00AC3868"/>
    <w:rsid w:val="00AC5D02"/>
    <w:rsid w:val="00AC6091"/>
    <w:rsid w:val="00AD08BE"/>
    <w:rsid w:val="00AD256F"/>
    <w:rsid w:val="00AD4250"/>
    <w:rsid w:val="00AE0DBD"/>
    <w:rsid w:val="00AE0E89"/>
    <w:rsid w:val="00AE0EC0"/>
    <w:rsid w:val="00AE22CD"/>
    <w:rsid w:val="00B001E6"/>
    <w:rsid w:val="00B11CFE"/>
    <w:rsid w:val="00B13A5F"/>
    <w:rsid w:val="00B153D5"/>
    <w:rsid w:val="00B16919"/>
    <w:rsid w:val="00B23CF9"/>
    <w:rsid w:val="00B25C51"/>
    <w:rsid w:val="00B27B9D"/>
    <w:rsid w:val="00B3624E"/>
    <w:rsid w:val="00B37700"/>
    <w:rsid w:val="00B43DB2"/>
    <w:rsid w:val="00B44741"/>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51BE"/>
    <w:rsid w:val="00BA7304"/>
    <w:rsid w:val="00BB3C47"/>
    <w:rsid w:val="00BC042E"/>
    <w:rsid w:val="00BC1CCE"/>
    <w:rsid w:val="00BC3A66"/>
    <w:rsid w:val="00BD177C"/>
    <w:rsid w:val="00BD464F"/>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641A4"/>
    <w:rsid w:val="00C727E4"/>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B7E36"/>
    <w:rsid w:val="00DC1341"/>
    <w:rsid w:val="00DC1532"/>
    <w:rsid w:val="00DC2EE2"/>
    <w:rsid w:val="00DC3629"/>
    <w:rsid w:val="00DC7658"/>
    <w:rsid w:val="00DD0093"/>
    <w:rsid w:val="00DD349E"/>
    <w:rsid w:val="00DE0A90"/>
    <w:rsid w:val="00DE2B22"/>
    <w:rsid w:val="00DE4605"/>
    <w:rsid w:val="00DE6377"/>
    <w:rsid w:val="00DF3864"/>
    <w:rsid w:val="00DF581E"/>
    <w:rsid w:val="00E029F9"/>
    <w:rsid w:val="00E14982"/>
    <w:rsid w:val="00E14F96"/>
    <w:rsid w:val="00E20A29"/>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B3069"/>
    <w:rsid w:val="00EB5442"/>
    <w:rsid w:val="00EB6A45"/>
    <w:rsid w:val="00EC0FE2"/>
    <w:rsid w:val="00EC4040"/>
    <w:rsid w:val="00EC65A1"/>
    <w:rsid w:val="00EC7E20"/>
    <w:rsid w:val="00ED24D7"/>
    <w:rsid w:val="00ED3254"/>
    <w:rsid w:val="00ED48B5"/>
    <w:rsid w:val="00EE0D3C"/>
    <w:rsid w:val="00EE7E7C"/>
    <w:rsid w:val="00EF4362"/>
    <w:rsid w:val="00EF500E"/>
    <w:rsid w:val="00EF7E0B"/>
    <w:rsid w:val="00F0224E"/>
    <w:rsid w:val="00F02294"/>
    <w:rsid w:val="00F05E79"/>
    <w:rsid w:val="00F139FA"/>
    <w:rsid w:val="00F152A7"/>
    <w:rsid w:val="00F17F2A"/>
    <w:rsid w:val="00F25235"/>
    <w:rsid w:val="00F25E8D"/>
    <w:rsid w:val="00F36DE3"/>
    <w:rsid w:val="00F40E0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783</Words>
  <Characters>4940</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2022-06-07T06:52:00Z</dcterms:created>
  <dcterms:modified xsi:type="dcterms:W3CDTF">2022-06-07T06:55:00Z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