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DF0E9" w14:textId="77777777" w:rsidR="006D6479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1250038C" w14:textId="77777777" w:rsidR="006D6479" w:rsidRPr="000655B7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22A4D0BA" w14:textId="77777777" w:rsidR="006D6479" w:rsidRPr="000655B7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27E83242" w14:textId="77777777" w:rsidR="006D6479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1DCDAC8" w14:textId="77CC4801" w:rsidR="006D6479" w:rsidRPr="00C74157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Heilbronn/Berlin</w:t>
      </w:r>
      <w:r w:rsidR="00A50D16">
        <w:rPr>
          <w:rFonts w:ascii="Arial" w:hAnsi="Arial" w:cs="Arial"/>
          <w:color w:val="000000"/>
        </w:rPr>
        <w:t>/Stuttgart</w:t>
      </w:r>
      <w:r w:rsidRPr="000655B7"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"/>
          <w:color w:val="000000"/>
        </w:rPr>
        <w:t>8</w:t>
      </w:r>
      <w:r w:rsidRPr="000655B7">
        <w:rPr>
          <w:rFonts w:ascii="Arial" w:hAnsi="Arial" w:cs="Arial"/>
          <w:color w:val="000000"/>
        </w:rPr>
        <w:t xml:space="preserve">. </w:t>
      </w:r>
      <w:r>
        <w:rPr>
          <w:rFonts w:ascii="Arial" w:hAnsi="Arial" w:cs="Arial"/>
          <w:color w:val="000000"/>
        </w:rPr>
        <w:t>März</w:t>
      </w:r>
      <w:r w:rsidRPr="00C74157">
        <w:rPr>
          <w:rFonts w:ascii="Arial" w:hAnsi="Arial" w:cs="Arial"/>
          <w:color w:val="000000"/>
        </w:rPr>
        <w:t xml:space="preserve"> 20</w:t>
      </w:r>
      <w:r>
        <w:rPr>
          <w:rFonts w:ascii="Arial" w:hAnsi="Arial" w:cs="Arial"/>
          <w:color w:val="000000"/>
        </w:rPr>
        <w:t>21</w:t>
      </w:r>
    </w:p>
    <w:p w14:paraId="60C1E519" w14:textId="77777777" w:rsidR="006D6479" w:rsidRPr="00C74157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97EE400" w14:textId="77777777" w:rsidR="006D6479" w:rsidRPr="00C74157" w:rsidRDefault="006D6479" w:rsidP="006D647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63FD8766" w14:textId="07E48E38" w:rsidR="006D6479" w:rsidRPr="00A549CB" w:rsidRDefault="006D6479" w:rsidP="006D6479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>
        <w:rPr>
          <w:rFonts w:ascii="Arial" w:hAnsi="Arial" w:cs="Arial"/>
          <w:b/>
          <w:color w:val="000000"/>
          <w:sz w:val="28"/>
          <w:szCs w:val="28"/>
        </w:rPr>
        <w:t>Gigabit-Kompetenzzentrum Heilbronn-Franken in den Startlöchern</w:t>
      </w:r>
    </w:p>
    <w:bookmarkEnd w:id="0"/>
    <w:bookmarkEnd w:id="1"/>
    <w:bookmarkEnd w:id="2"/>
    <w:p w14:paraId="10404520" w14:textId="77777777" w:rsidR="006D6479" w:rsidRDefault="006D6479" w:rsidP="006D6479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>Zentrale Koordination und Steuerung des flächendeckenden Glasfaserausbaus in der Region</w:t>
      </w:r>
    </w:p>
    <w:p w14:paraId="0CA893C7" w14:textId="77777777" w:rsidR="006D6479" w:rsidRDefault="006D6479" w:rsidP="006D6479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</w:p>
    <w:p w14:paraId="3CAB3A4E" w14:textId="416E1666" w:rsidR="005048EC" w:rsidRDefault="005048EC" w:rsidP="004154B9">
      <w:pPr>
        <w:spacing w:line="360" w:lineRule="auto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Der flächendeckende Ausbau des Glasfasernetzes in der Wirtschaftsregion Heilbronn-Franken soll künftig zentral über ein eigenes Gigabit-Kompetenzzentrum koordiniert und gesteuert werden. Ein entsprechendes Konzept hat die Wirtschaftsregion </w:t>
      </w:r>
      <w:r w:rsidRPr="00674BD0">
        <w:rPr>
          <w:rFonts w:ascii="Arial" w:hAnsi="Arial" w:cs="Arial"/>
          <w:b/>
          <w:bCs/>
          <w:color w:val="000000"/>
          <w:sz w:val="20"/>
          <w:szCs w:val="20"/>
        </w:rPr>
        <w:t>Heilbronn-Franken GmbH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(WHF) mit Unterstützung des Breitbandspezialisten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GmbH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und </w:t>
      </w:r>
      <w:r w:rsidRPr="00C82FEA">
        <w:rPr>
          <w:rFonts w:ascii="Arial" w:hAnsi="Arial" w:cs="Arial"/>
          <w:b/>
          <w:bCs/>
          <w:color w:val="000000"/>
          <w:sz w:val="20"/>
          <w:szCs w:val="20"/>
        </w:rPr>
        <w:t>PricewaterhouseCoopers Legal AG Rechtsanwaltsgesellschaft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PwC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Legal) erarbeitet</w:t>
      </w:r>
      <w:r>
        <w:rPr>
          <w:rFonts w:ascii="Arial" w:hAnsi="Arial" w:cs="Tahoma"/>
          <w:b/>
          <w:sz w:val="20"/>
          <w:szCs w:val="20"/>
        </w:rPr>
        <w:t xml:space="preserve">. Das Konzept wurde nun einstimmig von den Gesellschaftern der WHF beschlossen. Im nächsten Schritt müssen nun formal der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Heilbronner Gemeinderat und die Kreistage </w:t>
      </w:r>
      <w:r w:rsidRPr="00632072">
        <w:rPr>
          <w:rFonts w:ascii="Arial" w:hAnsi="Arial" w:cs="Arial"/>
          <w:b/>
          <w:bCs/>
          <w:color w:val="000000"/>
          <w:sz w:val="20"/>
          <w:szCs w:val="20"/>
        </w:rPr>
        <w:t>de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Pr="00632072">
        <w:rPr>
          <w:rFonts w:ascii="Arial" w:hAnsi="Arial" w:cs="Arial"/>
          <w:b/>
          <w:bCs/>
          <w:color w:val="000000"/>
          <w:sz w:val="20"/>
          <w:szCs w:val="20"/>
        </w:rPr>
        <w:t xml:space="preserve"> Landkreis</w:t>
      </w:r>
      <w:r>
        <w:rPr>
          <w:rFonts w:ascii="Arial" w:hAnsi="Arial" w:cs="Arial"/>
          <w:b/>
          <w:bCs/>
          <w:color w:val="000000"/>
          <w:sz w:val="20"/>
          <w:szCs w:val="20"/>
        </w:rPr>
        <w:t>es</w:t>
      </w:r>
      <w:r w:rsidRPr="00632072">
        <w:rPr>
          <w:rFonts w:ascii="Arial" w:hAnsi="Arial" w:cs="Arial"/>
          <w:b/>
          <w:bCs/>
          <w:color w:val="000000"/>
          <w:sz w:val="20"/>
          <w:szCs w:val="20"/>
        </w:rPr>
        <w:t xml:space="preserve"> Heilbronn, de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Pr="00632072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632072">
        <w:rPr>
          <w:rFonts w:ascii="Arial" w:hAnsi="Arial" w:cs="Arial"/>
          <w:b/>
          <w:bCs/>
          <w:color w:val="000000"/>
          <w:sz w:val="20"/>
          <w:szCs w:val="20"/>
        </w:rPr>
        <w:t>Hohenlohekreis</w:t>
      </w:r>
      <w:r>
        <w:rPr>
          <w:rFonts w:ascii="Arial" w:hAnsi="Arial" w:cs="Arial"/>
          <w:b/>
          <w:bCs/>
          <w:color w:val="000000"/>
          <w:sz w:val="20"/>
          <w:szCs w:val="20"/>
        </w:rPr>
        <w:t>es</w:t>
      </w:r>
      <w:proofErr w:type="spellEnd"/>
      <w:r w:rsidRPr="00632072">
        <w:rPr>
          <w:rFonts w:ascii="Arial" w:hAnsi="Arial" w:cs="Arial"/>
          <w:b/>
          <w:bCs/>
          <w:color w:val="000000"/>
          <w:sz w:val="20"/>
          <w:szCs w:val="20"/>
        </w:rPr>
        <w:t>, de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Pr="00632072">
        <w:rPr>
          <w:rFonts w:ascii="Arial" w:hAnsi="Arial" w:cs="Arial"/>
          <w:b/>
          <w:bCs/>
          <w:color w:val="000000"/>
          <w:sz w:val="20"/>
          <w:szCs w:val="20"/>
        </w:rPr>
        <w:t xml:space="preserve"> Main-Tauber-Kreis</w:t>
      </w:r>
      <w:r>
        <w:rPr>
          <w:rFonts w:ascii="Arial" w:hAnsi="Arial" w:cs="Arial"/>
          <w:b/>
          <w:bCs/>
          <w:color w:val="000000"/>
          <w:sz w:val="20"/>
          <w:szCs w:val="20"/>
        </w:rPr>
        <w:t>es und</w:t>
      </w:r>
      <w:r w:rsidRPr="00632072">
        <w:rPr>
          <w:rFonts w:ascii="Arial" w:hAnsi="Arial" w:cs="Arial"/>
          <w:b/>
          <w:bCs/>
          <w:color w:val="000000"/>
          <w:sz w:val="20"/>
          <w:szCs w:val="20"/>
        </w:rPr>
        <w:t xml:space="preserve"> de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Pr="00632072">
        <w:rPr>
          <w:rFonts w:ascii="Arial" w:hAnsi="Arial" w:cs="Arial"/>
          <w:b/>
          <w:bCs/>
          <w:color w:val="000000"/>
          <w:sz w:val="20"/>
          <w:szCs w:val="20"/>
        </w:rPr>
        <w:t xml:space="preserve"> Landkreis</w:t>
      </w:r>
      <w:r>
        <w:rPr>
          <w:rFonts w:ascii="Arial" w:hAnsi="Arial" w:cs="Arial"/>
          <w:b/>
          <w:bCs/>
          <w:color w:val="000000"/>
          <w:sz w:val="20"/>
          <w:szCs w:val="20"/>
        </w:rPr>
        <w:t>es</w:t>
      </w:r>
      <w:r w:rsidRPr="00632072">
        <w:rPr>
          <w:rFonts w:ascii="Arial" w:hAnsi="Arial" w:cs="Arial"/>
          <w:b/>
          <w:bCs/>
          <w:color w:val="000000"/>
          <w:sz w:val="20"/>
          <w:szCs w:val="20"/>
        </w:rPr>
        <w:t xml:space="preserve"> Schwäbisch Hall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sowie die Verbandsversammlung des Regionalverbands Heilbronn-Franken entscheiden.</w:t>
      </w:r>
    </w:p>
    <w:p w14:paraId="0FE8A2EC" w14:textId="77777777" w:rsidR="005048EC" w:rsidRPr="00A33572" w:rsidRDefault="005048EC" w:rsidP="004154B9">
      <w:pPr>
        <w:spacing w:line="360" w:lineRule="auto"/>
        <w:rPr>
          <w:rFonts w:ascii="Arial" w:hAnsi="Arial" w:cs="Tahoma"/>
          <w:bCs/>
          <w:sz w:val="20"/>
          <w:szCs w:val="20"/>
        </w:rPr>
      </w:pPr>
      <w:r w:rsidRPr="00A33572">
        <w:rPr>
          <w:rFonts w:ascii="Arial" w:hAnsi="Arial" w:cs="Tahoma"/>
          <w:bCs/>
          <w:sz w:val="20"/>
          <w:szCs w:val="20"/>
        </w:rPr>
        <w:t>„Mithilfe des Kompetenzzentrums lässt sich der Breitbandausbau in der Region Heilbronn-Franken deutlich beschleunigen, so dass wir das Glasfasernetz schon in sechs bis acht Jahren flächendeckend zur Verfügung stellen können“, betont Harry Mergel, Heilbronner Oberbürgermeister und Vorsitzender der Wirtschaftsregion Heilbronn-Franken</w:t>
      </w:r>
      <w:r>
        <w:rPr>
          <w:rFonts w:ascii="Arial" w:hAnsi="Arial" w:cs="Tahoma"/>
          <w:bCs/>
          <w:sz w:val="20"/>
          <w:szCs w:val="20"/>
        </w:rPr>
        <w:t xml:space="preserve"> GmbH</w:t>
      </w:r>
      <w:r w:rsidRPr="00A33572">
        <w:rPr>
          <w:rFonts w:ascii="Arial" w:hAnsi="Arial" w:cs="Tahoma"/>
          <w:bCs/>
          <w:sz w:val="20"/>
          <w:szCs w:val="20"/>
        </w:rPr>
        <w:t xml:space="preserve">. </w:t>
      </w:r>
      <w:r>
        <w:rPr>
          <w:rFonts w:ascii="Arial" w:hAnsi="Arial" w:cs="Tahoma"/>
          <w:bCs/>
          <w:sz w:val="20"/>
          <w:szCs w:val="20"/>
        </w:rPr>
        <w:t xml:space="preserve">Der Geschäftsführer der Wirtschaftsregion Heilbronn-Franken GmbH, Dr. Andreas </w:t>
      </w:r>
      <w:proofErr w:type="spellStart"/>
      <w:r>
        <w:rPr>
          <w:rFonts w:ascii="Arial" w:hAnsi="Arial" w:cs="Tahoma"/>
          <w:bCs/>
          <w:sz w:val="20"/>
          <w:szCs w:val="20"/>
        </w:rPr>
        <w:t>Schumm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sieht weitere Vorteile: „</w:t>
      </w:r>
      <w:r w:rsidRPr="00A33572">
        <w:rPr>
          <w:rFonts w:ascii="Arial" w:hAnsi="Arial" w:cs="Tahoma"/>
          <w:bCs/>
          <w:sz w:val="20"/>
          <w:szCs w:val="20"/>
        </w:rPr>
        <w:t>Das Kompetenzzentrum wird für einheitliche Standards und Prozesse sorgen und so als zentraler Dienstleister alle 111 beteiligten Kommunen</w:t>
      </w:r>
      <w:r>
        <w:rPr>
          <w:rFonts w:ascii="Arial" w:hAnsi="Arial" w:cs="Tahoma"/>
          <w:bCs/>
          <w:sz w:val="20"/>
          <w:szCs w:val="20"/>
        </w:rPr>
        <w:t xml:space="preserve"> vor allem</w:t>
      </w:r>
      <w:r w:rsidRPr="00A33572">
        <w:rPr>
          <w:rFonts w:ascii="Arial" w:hAnsi="Arial" w:cs="Tahoma"/>
          <w:bCs/>
          <w:sz w:val="20"/>
          <w:szCs w:val="20"/>
        </w:rPr>
        <w:t xml:space="preserve"> beim </w:t>
      </w:r>
      <w:r>
        <w:rPr>
          <w:rFonts w:ascii="Arial" w:hAnsi="Arial" w:cs="Tahoma"/>
          <w:bCs/>
          <w:sz w:val="20"/>
          <w:szCs w:val="20"/>
        </w:rPr>
        <w:t xml:space="preserve">privatwirtschaftlichen </w:t>
      </w:r>
      <w:r w:rsidRPr="00A33572">
        <w:rPr>
          <w:rFonts w:ascii="Arial" w:hAnsi="Arial" w:cs="Tahoma"/>
          <w:bCs/>
          <w:sz w:val="20"/>
          <w:szCs w:val="20"/>
        </w:rPr>
        <w:t>Breitbandausbau unterstützen. Auf der anderen Seite wäre es auch der Ansprechpartner für die Telekommunikationsanbieter und kann auf diese Weise für einheitliche Qualitätsstandards und Konditionen sorgen</w:t>
      </w:r>
      <w:r>
        <w:rPr>
          <w:rFonts w:ascii="Arial" w:hAnsi="Arial" w:cs="Tahoma"/>
          <w:bCs/>
          <w:sz w:val="20"/>
          <w:szCs w:val="20"/>
        </w:rPr>
        <w:t>“</w:t>
      </w:r>
      <w:r w:rsidRPr="00A33572">
        <w:rPr>
          <w:rFonts w:ascii="Arial" w:hAnsi="Arial" w:cs="Tahoma"/>
          <w:bCs/>
          <w:sz w:val="20"/>
          <w:szCs w:val="20"/>
        </w:rPr>
        <w:t xml:space="preserve">. </w:t>
      </w:r>
    </w:p>
    <w:p w14:paraId="6ABEF061" w14:textId="77777777" w:rsidR="005048EC" w:rsidRDefault="005048EC" w:rsidP="004154B9">
      <w:pPr>
        <w:spacing w:line="360" w:lineRule="auto"/>
        <w:rPr>
          <w:rFonts w:ascii="Arial" w:hAnsi="Arial" w:cs="Tahoma"/>
          <w:bCs/>
          <w:sz w:val="20"/>
          <w:szCs w:val="20"/>
        </w:rPr>
      </w:pPr>
      <w:r>
        <w:rPr>
          <w:rFonts w:ascii="Arial" w:hAnsi="Arial" w:cs="Tahoma"/>
          <w:bCs/>
          <w:sz w:val="20"/>
          <w:szCs w:val="20"/>
        </w:rPr>
        <w:t xml:space="preserve">Eines der zentralen Ziele des neuen Kompetenzzentrums ist es, die Aufwände für die beteiligten Kommunen zu minimieren. Diese könnten zentral auf die Breitbandexpertise der Spezialisten von </w:t>
      </w:r>
      <w:proofErr w:type="spellStart"/>
      <w:r>
        <w:rPr>
          <w:rFonts w:ascii="Arial" w:hAnsi="Arial" w:cs="Tahoma"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und </w:t>
      </w:r>
      <w:proofErr w:type="spellStart"/>
      <w:r>
        <w:rPr>
          <w:rFonts w:ascii="Arial" w:hAnsi="Arial" w:cs="Tahoma"/>
          <w:bCs/>
          <w:sz w:val="20"/>
          <w:szCs w:val="20"/>
        </w:rPr>
        <w:t>PwC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Legal zugreifen, die rechtlich abgesicherten Musterverträge nutzen und die jeweiligen Projekte </w:t>
      </w:r>
      <w:r>
        <w:rPr>
          <w:rFonts w:ascii="Arial" w:hAnsi="Arial" w:cs="Tahoma"/>
          <w:bCs/>
          <w:sz w:val="20"/>
          <w:szCs w:val="20"/>
        </w:rPr>
        <w:lastRenderedPageBreak/>
        <w:t xml:space="preserve">durch einheitliche </w:t>
      </w:r>
      <w:r w:rsidRPr="0089252B">
        <w:rPr>
          <w:rFonts w:ascii="Arial" w:hAnsi="Arial" w:cs="Tahoma"/>
          <w:bCs/>
          <w:sz w:val="20"/>
          <w:szCs w:val="20"/>
        </w:rPr>
        <w:t>Genehmigungs-, Abstimmungs- und Bau-Prozesse</w:t>
      </w:r>
      <w:r>
        <w:rPr>
          <w:rFonts w:ascii="Arial" w:hAnsi="Arial" w:cs="Tahoma"/>
          <w:bCs/>
          <w:sz w:val="20"/>
          <w:szCs w:val="20"/>
        </w:rPr>
        <w:t xml:space="preserve"> schneller und einfacher abwickeln. Gleichzeitig wird das Gigabitkompetenzzentrum gegenüber den Telekommunikationsanbietern Qualitätsstandards sowohl in technischer als auch in rechtlicher Hinsicht sicherstellen. Dies ist mit Unterstützung von </w:t>
      </w:r>
      <w:proofErr w:type="spellStart"/>
      <w:r>
        <w:rPr>
          <w:rFonts w:ascii="Arial" w:hAnsi="Arial" w:cs="Tahoma"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und </w:t>
      </w:r>
      <w:proofErr w:type="spellStart"/>
      <w:r>
        <w:rPr>
          <w:rFonts w:ascii="Arial" w:hAnsi="Arial" w:cs="Tahoma"/>
          <w:bCs/>
          <w:sz w:val="20"/>
          <w:szCs w:val="20"/>
        </w:rPr>
        <w:t>PwC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Legal auch schon im Vorfeld durch ein Markterkundungsverfahren mit der Deutsche </w:t>
      </w:r>
      <w:proofErr w:type="spellStart"/>
      <w:r>
        <w:rPr>
          <w:rFonts w:ascii="Arial" w:hAnsi="Arial" w:cs="Tahoma"/>
          <w:bCs/>
          <w:sz w:val="20"/>
          <w:szCs w:val="20"/>
        </w:rPr>
        <w:t>GigaNetz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GmbH erreicht worden. Mit einem weiteren möglichen Unternehmen sei man noch in Sondierungsgesprächen. Dabei werden unter anderem verbindliche Ausbaureihenfolgen festgeschrieben, Verlege- und Anschlussstandards definiert und Open-Access-Zusagen zu angemessenen Preisen, sowie verbindliche Erschließungszusagen für alle Kommunen erreicht. </w:t>
      </w:r>
    </w:p>
    <w:p w14:paraId="3A189F5E" w14:textId="77777777" w:rsidR="005048EC" w:rsidRPr="004E3948" w:rsidRDefault="005048EC" w:rsidP="004154B9">
      <w:pPr>
        <w:spacing w:line="360" w:lineRule="auto"/>
        <w:rPr>
          <w:rFonts w:ascii="Arial" w:hAnsi="Arial" w:cs="Tahoma"/>
          <w:b/>
          <w:sz w:val="20"/>
          <w:szCs w:val="20"/>
        </w:rPr>
      </w:pPr>
      <w:r w:rsidRPr="004E3948">
        <w:rPr>
          <w:rFonts w:ascii="Arial" w:hAnsi="Arial" w:cs="Tahoma"/>
          <w:b/>
          <w:sz w:val="20"/>
          <w:szCs w:val="20"/>
        </w:rPr>
        <w:t>Ganzheitlicher Ansatz</w:t>
      </w:r>
    </w:p>
    <w:p w14:paraId="5DA6A2BA" w14:textId="77777777" w:rsidR="005048EC" w:rsidRPr="004E3948" w:rsidRDefault="005048EC" w:rsidP="005048EC">
      <w:pPr>
        <w:spacing w:line="360" w:lineRule="auto"/>
        <w:rPr>
          <w:rFonts w:ascii="Arial" w:hAnsi="Arial" w:cs="Tahoma"/>
          <w:bCs/>
          <w:sz w:val="20"/>
          <w:szCs w:val="20"/>
        </w:rPr>
      </w:pPr>
      <w:r>
        <w:rPr>
          <w:rFonts w:ascii="Arial" w:hAnsi="Arial" w:cs="Tahoma"/>
          <w:bCs/>
          <w:sz w:val="20"/>
          <w:szCs w:val="20"/>
        </w:rPr>
        <w:t xml:space="preserve">„Statt Einzelprojekten wird so eine ganzheitliche Erschließung in der Region Heilbronn-Franken umgesetzt sowie eine schnelle Realisierung auf Basis zukunftsfähiger Techniken ermöglicht - und dies alles zu attraktiven Verbraucherpreisen“, fasst Dr. Andreas </w:t>
      </w:r>
      <w:proofErr w:type="spellStart"/>
      <w:r>
        <w:rPr>
          <w:rFonts w:ascii="Arial" w:hAnsi="Arial" w:cs="Tahoma"/>
          <w:bCs/>
          <w:sz w:val="20"/>
          <w:szCs w:val="20"/>
        </w:rPr>
        <w:t>Schumm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zusammen. „Die Wirtschaftsregion Heilbronn-Franken bekommt mit einer solchen Institution auch Vorbildcharakter für andere Regionen, denn in dieser gemeinsamen und koordinierenden Form treiben nur wenige Regionen den Ausbau der Glasfasernetze voran“, betont Dirk </w:t>
      </w:r>
      <w:proofErr w:type="spellStart"/>
      <w:r>
        <w:rPr>
          <w:rFonts w:ascii="Arial" w:hAnsi="Arial" w:cs="Tahoma"/>
          <w:bCs/>
          <w:sz w:val="20"/>
          <w:szCs w:val="20"/>
        </w:rPr>
        <w:t>Fieml</w:t>
      </w:r>
      <w:proofErr w:type="spellEnd"/>
      <w:r>
        <w:rPr>
          <w:rFonts w:ascii="Arial" w:hAnsi="Arial" w:cs="Tahoma"/>
          <w:bCs/>
          <w:sz w:val="20"/>
          <w:szCs w:val="20"/>
        </w:rPr>
        <w:t>,</w:t>
      </w:r>
      <w:r w:rsidRPr="004B7118">
        <w:rPr>
          <w:rFonts w:ascii="Arial" w:hAnsi="Arial" w:cs="Tahoma"/>
          <w:bCs/>
          <w:sz w:val="20"/>
          <w:szCs w:val="20"/>
        </w:rPr>
        <w:t xml:space="preserve"> </w:t>
      </w:r>
      <w:r>
        <w:rPr>
          <w:rFonts w:ascii="Arial" w:hAnsi="Arial" w:cs="Tahoma"/>
          <w:bCs/>
          <w:sz w:val="20"/>
          <w:szCs w:val="20"/>
        </w:rPr>
        <w:t xml:space="preserve">Geschäftsführer der </w:t>
      </w:r>
      <w:proofErr w:type="spellStart"/>
      <w:r>
        <w:rPr>
          <w:rFonts w:ascii="Arial" w:hAnsi="Arial" w:cs="Tahoma"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GmbH. „Wichtig war uns hierbei, kompetente Partner zu finden, die ganzheitlich die Region erschließen, um das sogenannte Cherry-</w:t>
      </w:r>
      <w:proofErr w:type="spellStart"/>
      <w:r>
        <w:rPr>
          <w:rFonts w:ascii="Arial" w:hAnsi="Arial" w:cs="Tahoma"/>
          <w:bCs/>
          <w:sz w:val="20"/>
          <w:szCs w:val="20"/>
        </w:rPr>
        <w:t>Picking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zu vermeiden“, so Dr. Nicolas </w:t>
      </w:r>
      <w:proofErr w:type="spellStart"/>
      <w:r>
        <w:rPr>
          <w:rFonts w:ascii="Arial" w:hAnsi="Arial" w:cs="Tahoma"/>
          <w:bCs/>
          <w:sz w:val="20"/>
          <w:szCs w:val="20"/>
        </w:rPr>
        <w:t>Sonder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, Partner bei </w:t>
      </w:r>
      <w:proofErr w:type="spellStart"/>
      <w:r>
        <w:rPr>
          <w:rFonts w:ascii="Arial" w:hAnsi="Arial" w:cs="Tahoma"/>
          <w:bCs/>
          <w:sz w:val="20"/>
          <w:szCs w:val="20"/>
        </w:rPr>
        <w:t>PwC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Legal. </w:t>
      </w:r>
      <w:proofErr w:type="spellStart"/>
      <w:r>
        <w:rPr>
          <w:rFonts w:ascii="Arial" w:hAnsi="Arial" w:cs="Tahoma"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und </w:t>
      </w:r>
      <w:proofErr w:type="spellStart"/>
      <w:r>
        <w:rPr>
          <w:rFonts w:ascii="Arial" w:hAnsi="Arial" w:cs="Tahoma"/>
          <w:bCs/>
          <w:sz w:val="20"/>
          <w:szCs w:val="20"/>
        </w:rPr>
        <w:t>PwC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werden im Rahmen ihrer Beauftragung aktiv in das Gigabitkompetenzzentrum eingebunden und betreuen in der Startphase die technischen, strategischen und rechtlichen Themenfeldern.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6D6479" w:rsidRPr="000655B7" w14:paraId="067550E0" w14:textId="77777777" w:rsidTr="006D6479">
        <w:tc>
          <w:tcPr>
            <w:tcW w:w="4962" w:type="dxa"/>
            <w:shd w:val="clear" w:color="auto" w:fill="auto"/>
          </w:tcPr>
          <w:p w14:paraId="2B140A9C" w14:textId="4BAA3C91" w:rsidR="00E95A39" w:rsidRDefault="006D6479" w:rsidP="000E11A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4E3948">
              <w:rPr>
                <w:rFonts w:ascii="Arial" w:hAnsi="Arial" w:cs="Calibri"/>
                <w:sz w:val="16"/>
                <w:szCs w:val="26"/>
                <w:lang w:eastAsia="de-DE"/>
              </w:rPr>
              <w:t>Wirtschaftsregion Heilbronn-Franken GmbH</w:t>
            </w:r>
            <w:r w:rsidRPr="004E3948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E95A39">
              <w:rPr>
                <w:rFonts w:ascii="Arial" w:hAnsi="Arial" w:cs="Calibri"/>
                <w:sz w:val="16"/>
                <w:szCs w:val="26"/>
                <w:lang w:eastAsia="de-DE"/>
              </w:rPr>
              <w:t>Dr. Andreas Schumm</w:t>
            </w:r>
          </w:p>
          <w:p w14:paraId="3E22349B" w14:textId="7DBBDCD6" w:rsidR="006D6479" w:rsidRDefault="006D6479" w:rsidP="000E11A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 w:rsidRPr="004E3948">
              <w:rPr>
                <w:rFonts w:ascii="Arial" w:hAnsi="Arial" w:cs="Calibri"/>
                <w:sz w:val="16"/>
                <w:szCs w:val="26"/>
                <w:lang w:eastAsia="de-DE"/>
              </w:rPr>
              <w:t>Koepffstraße</w:t>
            </w:r>
            <w:proofErr w:type="spellEnd"/>
            <w:r w:rsidRPr="004E3948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17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4E3948">
              <w:rPr>
                <w:rFonts w:ascii="Arial" w:hAnsi="Arial" w:cs="Calibri"/>
                <w:sz w:val="16"/>
                <w:szCs w:val="26"/>
                <w:lang w:eastAsia="de-DE"/>
              </w:rPr>
              <w:t>74076 Heilbronn</w:t>
            </w:r>
            <w:r w:rsidRPr="004E3948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Tel. +49 7131 3825 0</w:t>
            </w:r>
            <w:r w:rsidRPr="004E3948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4E3948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info</w:t>
              </w:r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@</w:t>
              </w:r>
              <w:r w:rsidRPr="004E3948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heilbronn-franken.com</w:t>
              </w:r>
            </w:hyperlink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proofErr w:type="spellStart"/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Drakestraße</w:t>
            </w:r>
            <w:proofErr w:type="spellEnd"/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24 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12205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142358D2" w14:textId="73613461" w:rsidR="006D6479" w:rsidRPr="006D6479" w:rsidRDefault="006D6479" w:rsidP="006D6479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PwC | Partner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t>Dr. Nicolas Sonder</w:t>
            </w:r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Tel.</w:t>
            </w:r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: +49 711 25034-5121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0" w:tgtFrame="_blank" w:history="1">
              <w:r w:rsidRPr="006D647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nicolas.sonder@pwc.com</w:t>
              </w:r>
            </w:hyperlink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PricewaterhouseCoopers Legal AG Rechtsanwaltsgesellschaft</w:t>
            </w:r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Friedrichstraße 14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70174 Stuttgart | Germany</w:t>
            </w:r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1" w:tgtFrame="_blank" w:history="1">
              <w:r w:rsidRPr="006D647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www.pwclegal.de</w:t>
              </w:r>
            </w:hyperlink>
          </w:p>
          <w:p w14:paraId="01D9025B" w14:textId="29946CE4" w:rsidR="006D6479" w:rsidRPr="004E3948" w:rsidRDefault="006D6479" w:rsidP="0004004A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7D3C1EC4" w14:textId="77777777" w:rsidR="006D6479" w:rsidRPr="000655B7" w:rsidRDefault="006D6479" w:rsidP="0004004A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lastRenderedPageBreak/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2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384874F8" w14:textId="28D32684" w:rsidR="006D6479" w:rsidRDefault="006D6479" w:rsidP="006D6479">
      <w:pPr>
        <w:widowControl w:val="0"/>
        <w:autoSpaceDE w:val="0"/>
        <w:autoSpaceDN w:val="0"/>
        <w:adjustRightInd w:val="0"/>
        <w:spacing w:line="240" w:lineRule="auto"/>
        <w:ind w:right="-2268"/>
        <w:rPr>
          <w:rFonts w:ascii="Arial" w:hAnsi="Arial" w:cs="Calibri"/>
          <w:sz w:val="16"/>
          <w:szCs w:val="26"/>
          <w:lang w:eastAsia="de-DE"/>
        </w:rPr>
      </w:pPr>
      <w:r w:rsidRPr="004E3948">
        <w:rPr>
          <w:rFonts w:ascii="Arial" w:hAnsi="Arial" w:cs="Calibri"/>
          <w:sz w:val="16"/>
          <w:szCs w:val="26"/>
          <w:lang w:eastAsia="de-DE"/>
        </w:rPr>
        <w:t xml:space="preserve">Seit ihrer Gründung im Jahr 1998 bündelt die Wirtschaftsregion Heilbronn-Franken GmbH (WHF) die regionalen Wirtschaftsförderungsaktivitäten und übernimmt für verschiedenste, zukunftssichernde und übergeordnete Themen die Koordination. </w:t>
      </w:r>
      <w:r w:rsidR="00E95A39">
        <w:rPr>
          <w:rFonts w:ascii="Arial" w:hAnsi="Arial" w:cs="Calibri"/>
          <w:sz w:val="16"/>
          <w:szCs w:val="26"/>
          <w:lang w:eastAsia="de-DE"/>
        </w:rPr>
        <w:t>Die WHF ist</w:t>
      </w:r>
      <w:r w:rsidRPr="004E3948">
        <w:rPr>
          <w:rFonts w:ascii="Arial" w:hAnsi="Arial" w:cs="Calibri"/>
          <w:sz w:val="16"/>
          <w:szCs w:val="26"/>
          <w:lang w:eastAsia="de-DE"/>
        </w:rPr>
        <w:t xml:space="preserve"> damit Ansprechpartner und Lotse für und innerhalb der Region Heilbronn-Franken. </w:t>
      </w:r>
      <w:r w:rsidR="00E95A39">
        <w:rPr>
          <w:rFonts w:ascii="Arial" w:hAnsi="Arial" w:cs="Calibri"/>
          <w:sz w:val="16"/>
          <w:szCs w:val="26"/>
          <w:lang w:eastAsia="de-DE"/>
        </w:rPr>
        <w:t>Die</w:t>
      </w:r>
      <w:r w:rsidRPr="004E3948">
        <w:rPr>
          <w:rFonts w:ascii="Arial" w:hAnsi="Arial" w:cs="Calibri"/>
          <w:sz w:val="16"/>
          <w:szCs w:val="26"/>
          <w:lang w:eastAsia="de-DE"/>
        </w:rPr>
        <w:t xml:space="preserve"> Services und Dienstleistungen zahlen stets auf ein Konto ein: die Zukunftsfähigkeit der Region Heilbronn-Franken zu sichern und damit das Wohlergehen der hier lebenden Bürgerinnen und Bürger sowie der regionalen Wirtschaft zu steigern.</w:t>
      </w:r>
    </w:p>
    <w:p w14:paraId="0939BF6A" w14:textId="30F53A6E" w:rsidR="006D6479" w:rsidRPr="00C82FEA" w:rsidRDefault="006D6479" w:rsidP="00E66715">
      <w:pPr>
        <w:widowControl w:val="0"/>
        <w:autoSpaceDE w:val="0"/>
        <w:autoSpaceDN w:val="0"/>
        <w:adjustRightInd w:val="0"/>
        <w:spacing w:line="240" w:lineRule="auto"/>
        <w:ind w:left="34" w:right="-2268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und Niederlassungen in Stuttgart (Backnang) und Köln unterstützt ihre Kunden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sowie mit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Stadtwerke als auch Kommunalverwaltungen.</w:t>
      </w:r>
    </w:p>
    <w:p w14:paraId="24166EB2" w14:textId="1DE50FCB" w:rsidR="00C82FEA" w:rsidRPr="00C82FEA" w:rsidRDefault="00C82FEA" w:rsidP="00C82FEA">
      <w:pPr>
        <w:widowControl w:val="0"/>
        <w:autoSpaceDE w:val="0"/>
        <w:autoSpaceDN w:val="0"/>
        <w:adjustRightInd w:val="0"/>
        <w:spacing w:line="240" w:lineRule="auto"/>
        <w:ind w:right="-2268"/>
        <w:rPr>
          <w:rFonts w:ascii="Arial" w:hAnsi="Arial" w:cs="Calibri"/>
          <w:sz w:val="16"/>
          <w:szCs w:val="26"/>
          <w:lang w:eastAsia="de-DE"/>
        </w:rPr>
      </w:pPr>
      <w:r w:rsidRPr="000E11A2">
        <w:rPr>
          <w:rFonts w:ascii="Arial" w:hAnsi="Arial" w:cs="Calibri"/>
          <w:sz w:val="16"/>
          <w:szCs w:val="26"/>
          <w:lang w:eastAsia="de-DE"/>
        </w:rPr>
        <w:t>PwC Legal</w:t>
      </w:r>
      <w:r w:rsidRPr="00C82FEA">
        <w:rPr>
          <w:rFonts w:ascii="Arial" w:hAnsi="Arial" w:cs="Calibri"/>
          <w:sz w:val="16"/>
          <w:szCs w:val="26"/>
          <w:lang w:eastAsia="de-DE"/>
        </w:rPr>
        <w:t xml:space="preserve"> ist seit vielen Jahren in der rechtlichen Beratung und im Projektgeschäft tätig. </w:t>
      </w:r>
      <w:r>
        <w:rPr>
          <w:rFonts w:ascii="Arial" w:hAnsi="Arial" w:cs="Calibri"/>
          <w:sz w:val="16"/>
          <w:szCs w:val="26"/>
          <w:lang w:eastAsia="de-DE"/>
        </w:rPr>
        <w:t xml:space="preserve">Dabei begleitet PwC Legal </w:t>
      </w:r>
      <w:r w:rsidRPr="00C82FEA">
        <w:rPr>
          <w:rFonts w:ascii="Arial" w:hAnsi="Arial" w:cs="Calibri"/>
          <w:sz w:val="16"/>
          <w:szCs w:val="26"/>
          <w:lang w:eastAsia="de-DE"/>
        </w:rPr>
        <w:t xml:space="preserve">Publikumsgesellschaften ebenso wie inhabergeführte Unternehmen, vermögende Privatpersonen oder Unternehmen der öffentlich-rechtlichen Körperschaften. </w:t>
      </w:r>
      <w:r>
        <w:rPr>
          <w:rFonts w:ascii="Arial" w:hAnsi="Arial" w:cs="Calibri"/>
          <w:sz w:val="16"/>
          <w:szCs w:val="26"/>
          <w:lang w:eastAsia="de-DE"/>
        </w:rPr>
        <w:t>Ein Schwerpunkt lie</w:t>
      </w:r>
      <w:r w:rsidR="00236787">
        <w:rPr>
          <w:rFonts w:ascii="Arial" w:hAnsi="Arial" w:cs="Calibri"/>
          <w:sz w:val="16"/>
          <w:szCs w:val="26"/>
          <w:lang w:eastAsia="de-DE"/>
        </w:rPr>
        <w:t>g</w:t>
      </w:r>
      <w:r>
        <w:rPr>
          <w:rFonts w:ascii="Arial" w:hAnsi="Arial" w:cs="Calibri"/>
          <w:sz w:val="16"/>
          <w:szCs w:val="26"/>
          <w:lang w:eastAsia="de-DE"/>
        </w:rPr>
        <w:t xml:space="preserve">t auf der Beratung der öffentlichen Hand und hier insbesondere im Bereich der digitalen Infrastruktur. PwC Legal steht dabei für </w:t>
      </w:r>
      <w:r w:rsidRPr="00C82FEA">
        <w:rPr>
          <w:rFonts w:ascii="Arial" w:hAnsi="Arial" w:cs="Calibri"/>
          <w:sz w:val="16"/>
          <w:szCs w:val="26"/>
          <w:lang w:eastAsia="de-DE"/>
        </w:rPr>
        <w:t xml:space="preserve">schnelle und interdisziplinäre Rechtsberatung in höchster Qualität.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PwC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Legal steht zudem das </w:t>
      </w:r>
      <w:r w:rsidRPr="00C82FEA">
        <w:rPr>
          <w:rFonts w:ascii="Arial" w:hAnsi="Arial" w:cs="Calibri"/>
          <w:sz w:val="16"/>
          <w:szCs w:val="26"/>
          <w:lang w:eastAsia="de-DE"/>
        </w:rPr>
        <w:t>gesamte globale</w:t>
      </w:r>
      <w:r>
        <w:rPr>
          <w:rFonts w:ascii="Arial" w:hAnsi="Arial" w:cs="Calibri"/>
          <w:sz w:val="16"/>
          <w:szCs w:val="26"/>
          <w:lang w:eastAsia="de-DE"/>
        </w:rPr>
        <w:t xml:space="preserve"> PwC-</w:t>
      </w:r>
      <w:r w:rsidRPr="00C82FEA">
        <w:rPr>
          <w:rFonts w:ascii="Arial" w:hAnsi="Arial" w:cs="Calibri"/>
          <w:sz w:val="16"/>
          <w:szCs w:val="26"/>
          <w:lang w:eastAsia="de-DE"/>
        </w:rPr>
        <w:t xml:space="preserve">Netzwerk zur Verfügung. Denn die mehr als 260 PwC Legal-Anwälte an den 18 deutschen Standorten sind Teil des weltweiten Legal-Netzwerks von PwC, das mit über 3.500 Rechtsanwältinnen und Rechtsanwälten in mehr als 100 Ländern tätig ist: über persönliche „Drähte“, mit modernen, intelligenten Tools und gleichen Qualitätsstandards. Im globalen PwC-Netzwerk arbeiten </w:t>
      </w:r>
      <w:r>
        <w:rPr>
          <w:rFonts w:ascii="Arial" w:hAnsi="Arial" w:cs="Calibri"/>
          <w:sz w:val="16"/>
          <w:szCs w:val="26"/>
          <w:lang w:eastAsia="de-DE"/>
        </w:rPr>
        <w:t>insgesamt schließlich</w:t>
      </w:r>
      <w:r w:rsidRPr="00C82FEA">
        <w:rPr>
          <w:rFonts w:ascii="Arial" w:hAnsi="Arial" w:cs="Calibri"/>
          <w:sz w:val="16"/>
          <w:szCs w:val="26"/>
          <w:lang w:eastAsia="de-DE"/>
        </w:rPr>
        <w:t xml:space="preserve"> mehr als 270.000 Menschen in den Bereichen Wirtschaftsprüfung, Steuer- und Unternehmensberatung.</w:t>
      </w:r>
    </w:p>
    <w:bookmarkEnd w:id="3"/>
    <w:bookmarkEnd w:id="4"/>
    <w:p w14:paraId="23F00684" w14:textId="77777777" w:rsidR="006D6479" w:rsidRPr="005D3D1E" w:rsidRDefault="006D6479" w:rsidP="006D6479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</w:p>
    <w:p w14:paraId="2E55E5C6" w14:textId="7E857728" w:rsidR="007749DD" w:rsidRPr="006D6479" w:rsidRDefault="007749DD" w:rsidP="006D6479"/>
    <w:sectPr w:rsidR="007749DD" w:rsidRPr="006D6479" w:rsidSect="000E11A2">
      <w:headerReference w:type="default" r:id="rId13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AB947B" w14:textId="77777777" w:rsidR="00233C8C" w:rsidRDefault="00233C8C" w:rsidP="00BF70FE">
      <w:pPr>
        <w:spacing w:after="0" w:line="240" w:lineRule="auto"/>
      </w:pPr>
      <w:r>
        <w:separator/>
      </w:r>
    </w:p>
  </w:endnote>
  <w:endnote w:type="continuationSeparator" w:id="0">
    <w:p w14:paraId="75914039" w14:textId="77777777" w:rsidR="00233C8C" w:rsidRDefault="00233C8C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B5751E" w14:textId="77777777" w:rsidR="00233C8C" w:rsidRDefault="00233C8C" w:rsidP="00BF70FE">
      <w:pPr>
        <w:spacing w:after="0" w:line="240" w:lineRule="auto"/>
      </w:pPr>
      <w:r>
        <w:separator/>
      </w:r>
    </w:p>
  </w:footnote>
  <w:footnote w:type="continuationSeparator" w:id="0">
    <w:p w14:paraId="0ED57D2A" w14:textId="77777777" w:rsidR="00233C8C" w:rsidRDefault="00233C8C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49685" w14:textId="18E3AF6A" w:rsidR="00B96701" w:rsidRDefault="00AE0EC0" w:rsidP="00AE0EC0">
    <w:pPr>
      <w:pStyle w:val="Kopfzeile"/>
      <w:ind w:right="-2268"/>
    </w:pPr>
    <w:r>
      <w:rPr>
        <w:noProof/>
        <w:lang w:eastAsia="de-DE"/>
      </w:rPr>
      <w:drawing>
        <wp:inline distT="0" distB="0" distL="0" distR="0" wp14:anchorId="628DA2E6" wp14:editId="53F4F2C6">
          <wp:extent cx="1371600" cy="584200"/>
          <wp:effectExtent l="0" t="0" r="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71600" cy="584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de-DE"/>
      </w:rPr>
      <w:tab/>
    </w:r>
    <w:r>
      <w:rPr>
        <w:noProof/>
        <w:lang w:eastAsia="de-DE"/>
      </w:rPr>
      <w:tab/>
    </w:r>
    <w:r w:rsidR="00E478B7"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1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1276C"/>
    <w:rsid w:val="00026CFD"/>
    <w:rsid w:val="00037481"/>
    <w:rsid w:val="00037B8A"/>
    <w:rsid w:val="00041A6A"/>
    <w:rsid w:val="000541F5"/>
    <w:rsid w:val="00054244"/>
    <w:rsid w:val="0006200B"/>
    <w:rsid w:val="00065270"/>
    <w:rsid w:val="000655B7"/>
    <w:rsid w:val="00065961"/>
    <w:rsid w:val="000678EA"/>
    <w:rsid w:val="0007688A"/>
    <w:rsid w:val="00076CE4"/>
    <w:rsid w:val="000823CF"/>
    <w:rsid w:val="00091E09"/>
    <w:rsid w:val="0009573A"/>
    <w:rsid w:val="000A1C71"/>
    <w:rsid w:val="000A1E6B"/>
    <w:rsid w:val="000A4C5E"/>
    <w:rsid w:val="000A4C93"/>
    <w:rsid w:val="000C2AF9"/>
    <w:rsid w:val="000C46B3"/>
    <w:rsid w:val="000C4746"/>
    <w:rsid w:val="000D4DE3"/>
    <w:rsid w:val="000E087D"/>
    <w:rsid w:val="000E11A2"/>
    <w:rsid w:val="000E7CE7"/>
    <w:rsid w:val="000F2111"/>
    <w:rsid w:val="000F4F9D"/>
    <w:rsid w:val="0010198B"/>
    <w:rsid w:val="00104674"/>
    <w:rsid w:val="00104719"/>
    <w:rsid w:val="00106821"/>
    <w:rsid w:val="00131142"/>
    <w:rsid w:val="0013234F"/>
    <w:rsid w:val="00132DC4"/>
    <w:rsid w:val="00135237"/>
    <w:rsid w:val="00157861"/>
    <w:rsid w:val="001700C4"/>
    <w:rsid w:val="00181FBB"/>
    <w:rsid w:val="00187FC7"/>
    <w:rsid w:val="001A14A1"/>
    <w:rsid w:val="001A220F"/>
    <w:rsid w:val="001B01DF"/>
    <w:rsid w:val="001C51EC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777"/>
    <w:rsid w:val="00233C8C"/>
    <w:rsid w:val="00235F66"/>
    <w:rsid w:val="00236787"/>
    <w:rsid w:val="00237217"/>
    <w:rsid w:val="00244E90"/>
    <w:rsid w:val="00255BB8"/>
    <w:rsid w:val="00262A08"/>
    <w:rsid w:val="00265589"/>
    <w:rsid w:val="002745F8"/>
    <w:rsid w:val="002757A3"/>
    <w:rsid w:val="0028558F"/>
    <w:rsid w:val="002A7D5D"/>
    <w:rsid w:val="002A7E29"/>
    <w:rsid w:val="002B36BE"/>
    <w:rsid w:val="002B3E9E"/>
    <w:rsid w:val="002D5B66"/>
    <w:rsid w:val="002D6045"/>
    <w:rsid w:val="002E0481"/>
    <w:rsid w:val="002E1504"/>
    <w:rsid w:val="002E33BB"/>
    <w:rsid w:val="002E6EA0"/>
    <w:rsid w:val="002F1BFF"/>
    <w:rsid w:val="0030091A"/>
    <w:rsid w:val="00304113"/>
    <w:rsid w:val="00314048"/>
    <w:rsid w:val="00315669"/>
    <w:rsid w:val="003228B7"/>
    <w:rsid w:val="003274D8"/>
    <w:rsid w:val="00341A34"/>
    <w:rsid w:val="0035048A"/>
    <w:rsid w:val="0035256E"/>
    <w:rsid w:val="00362AE7"/>
    <w:rsid w:val="00394D5C"/>
    <w:rsid w:val="003953CA"/>
    <w:rsid w:val="003A3B30"/>
    <w:rsid w:val="003A6602"/>
    <w:rsid w:val="003B1A9C"/>
    <w:rsid w:val="003B4407"/>
    <w:rsid w:val="003B6004"/>
    <w:rsid w:val="003B69BD"/>
    <w:rsid w:val="003C0B6F"/>
    <w:rsid w:val="003C475B"/>
    <w:rsid w:val="003D63AC"/>
    <w:rsid w:val="003D642E"/>
    <w:rsid w:val="003D7AC5"/>
    <w:rsid w:val="003E1E07"/>
    <w:rsid w:val="00402F7C"/>
    <w:rsid w:val="00406C69"/>
    <w:rsid w:val="00406EFB"/>
    <w:rsid w:val="004112BE"/>
    <w:rsid w:val="004137FD"/>
    <w:rsid w:val="00415B45"/>
    <w:rsid w:val="00427AD2"/>
    <w:rsid w:val="004306B3"/>
    <w:rsid w:val="004422BD"/>
    <w:rsid w:val="004467C0"/>
    <w:rsid w:val="004540FC"/>
    <w:rsid w:val="00454989"/>
    <w:rsid w:val="004638B5"/>
    <w:rsid w:val="00463FE6"/>
    <w:rsid w:val="00465527"/>
    <w:rsid w:val="00465CBB"/>
    <w:rsid w:val="004713E0"/>
    <w:rsid w:val="004731DE"/>
    <w:rsid w:val="004810F6"/>
    <w:rsid w:val="00497AEF"/>
    <w:rsid w:val="004A425F"/>
    <w:rsid w:val="004B0D7E"/>
    <w:rsid w:val="004E3948"/>
    <w:rsid w:val="004E3F39"/>
    <w:rsid w:val="004E5B2F"/>
    <w:rsid w:val="004F09E6"/>
    <w:rsid w:val="004F5892"/>
    <w:rsid w:val="005048EC"/>
    <w:rsid w:val="005071AD"/>
    <w:rsid w:val="00521E6A"/>
    <w:rsid w:val="005322F6"/>
    <w:rsid w:val="00532783"/>
    <w:rsid w:val="0053379A"/>
    <w:rsid w:val="00556FEE"/>
    <w:rsid w:val="005577A0"/>
    <w:rsid w:val="00557F58"/>
    <w:rsid w:val="00565D15"/>
    <w:rsid w:val="00576A90"/>
    <w:rsid w:val="00576E59"/>
    <w:rsid w:val="00582ECD"/>
    <w:rsid w:val="005926D7"/>
    <w:rsid w:val="005958C2"/>
    <w:rsid w:val="00596BC4"/>
    <w:rsid w:val="005B2C0D"/>
    <w:rsid w:val="005D3D1E"/>
    <w:rsid w:val="005E204F"/>
    <w:rsid w:val="005F5177"/>
    <w:rsid w:val="005F63B7"/>
    <w:rsid w:val="00613B84"/>
    <w:rsid w:val="00630497"/>
    <w:rsid w:val="00632072"/>
    <w:rsid w:val="00633111"/>
    <w:rsid w:val="00640EED"/>
    <w:rsid w:val="00650109"/>
    <w:rsid w:val="00650F5E"/>
    <w:rsid w:val="006563BE"/>
    <w:rsid w:val="00664FF9"/>
    <w:rsid w:val="006663C8"/>
    <w:rsid w:val="0067331D"/>
    <w:rsid w:val="00674BD0"/>
    <w:rsid w:val="00681349"/>
    <w:rsid w:val="006824CB"/>
    <w:rsid w:val="00682686"/>
    <w:rsid w:val="00682E83"/>
    <w:rsid w:val="006847AC"/>
    <w:rsid w:val="006862AC"/>
    <w:rsid w:val="006A652B"/>
    <w:rsid w:val="006B4FEB"/>
    <w:rsid w:val="006D38DD"/>
    <w:rsid w:val="006D6479"/>
    <w:rsid w:val="006F2189"/>
    <w:rsid w:val="00703D47"/>
    <w:rsid w:val="00705635"/>
    <w:rsid w:val="00712F91"/>
    <w:rsid w:val="00714AB5"/>
    <w:rsid w:val="00715711"/>
    <w:rsid w:val="007162A5"/>
    <w:rsid w:val="007169F8"/>
    <w:rsid w:val="00726D0D"/>
    <w:rsid w:val="00732AF9"/>
    <w:rsid w:val="00732F57"/>
    <w:rsid w:val="007408FB"/>
    <w:rsid w:val="00742C79"/>
    <w:rsid w:val="007448A8"/>
    <w:rsid w:val="00751621"/>
    <w:rsid w:val="00752985"/>
    <w:rsid w:val="00753CE4"/>
    <w:rsid w:val="007543B9"/>
    <w:rsid w:val="00764363"/>
    <w:rsid w:val="00766B7A"/>
    <w:rsid w:val="007749DD"/>
    <w:rsid w:val="007768B7"/>
    <w:rsid w:val="00777197"/>
    <w:rsid w:val="00780026"/>
    <w:rsid w:val="00785A83"/>
    <w:rsid w:val="00785BC8"/>
    <w:rsid w:val="007B0E5E"/>
    <w:rsid w:val="007B40BC"/>
    <w:rsid w:val="007E4D6B"/>
    <w:rsid w:val="007F32B3"/>
    <w:rsid w:val="007F3F43"/>
    <w:rsid w:val="007F4A3D"/>
    <w:rsid w:val="00803966"/>
    <w:rsid w:val="00822F51"/>
    <w:rsid w:val="00825E47"/>
    <w:rsid w:val="00841C40"/>
    <w:rsid w:val="008457BE"/>
    <w:rsid w:val="00860C87"/>
    <w:rsid w:val="00872E24"/>
    <w:rsid w:val="00883CE3"/>
    <w:rsid w:val="0089252B"/>
    <w:rsid w:val="008A484E"/>
    <w:rsid w:val="008A52B6"/>
    <w:rsid w:val="008A6550"/>
    <w:rsid w:val="008B464E"/>
    <w:rsid w:val="008C3262"/>
    <w:rsid w:val="008E3944"/>
    <w:rsid w:val="00915DD5"/>
    <w:rsid w:val="00937B5E"/>
    <w:rsid w:val="0094694E"/>
    <w:rsid w:val="00953399"/>
    <w:rsid w:val="0095460E"/>
    <w:rsid w:val="00970F02"/>
    <w:rsid w:val="00972598"/>
    <w:rsid w:val="0098474D"/>
    <w:rsid w:val="00993991"/>
    <w:rsid w:val="009A2BF1"/>
    <w:rsid w:val="009A5414"/>
    <w:rsid w:val="009B04A2"/>
    <w:rsid w:val="009B7074"/>
    <w:rsid w:val="009C0CE4"/>
    <w:rsid w:val="009E32E3"/>
    <w:rsid w:val="009E6B35"/>
    <w:rsid w:val="009F0C3D"/>
    <w:rsid w:val="00A12FF7"/>
    <w:rsid w:val="00A22923"/>
    <w:rsid w:val="00A25183"/>
    <w:rsid w:val="00A257D2"/>
    <w:rsid w:val="00A32BA5"/>
    <w:rsid w:val="00A339B3"/>
    <w:rsid w:val="00A409A1"/>
    <w:rsid w:val="00A40D7D"/>
    <w:rsid w:val="00A43049"/>
    <w:rsid w:val="00A461EC"/>
    <w:rsid w:val="00A462DC"/>
    <w:rsid w:val="00A50D16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B23C8"/>
    <w:rsid w:val="00AC053B"/>
    <w:rsid w:val="00AC6091"/>
    <w:rsid w:val="00AD08BE"/>
    <w:rsid w:val="00AD4250"/>
    <w:rsid w:val="00AE0EC0"/>
    <w:rsid w:val="00B11CFE"/>
    <w:rsid w:val="00B27B9D"/>
    <w:rsid w:val="00B37700"/>
    <w:rsid w:val="00B43DB2"/>
    <w:rsid w:val="00B44741"/>
    <w:rsid w:val="00B46CF9"/>
    <w:rsid w:val="00B47F46"/>
    <w:rsid w:val="00B57768"/>
    <w:rsid w:val="00B71C92"/>
    <w:rsid w:val="00B753D5"/>
    <w:rsid w:val="00B819A5"/>
    <w:rsid w:val="00B857E2"/>
    <w:rsid w:val="00B96701"/>
    <w:rsid w:val="00BA51BE"/>
    <w:rsid w:val="00BB3C47"/>
    <w:rsid w:val="00BC1CCE"/>
    <w:rsid w:val="00BC3A66"/>
    <w:rsid w:val="00BE3481"/>
    <w:rsid w:val="00BE3C7C"/>
    <w:rsid w:val="00BF3BB4"/>
    <w:rsid w:val="00BF3DDF"/>
    <w:rsid w:val="00BF70BC"/>
    <w:rsid w:val="00BF70FE"/>
    <w:rsid w:val="00C0266F"/>
    <w:rsid w:val="00C048D9"/>
    <w:rsid w:val="00C27553"/>
    <w:rsid w:val="00C32033"/>
    <w:rsid w:val="00C3376B"/>
    <w:rsid w:val="00C424EF"/>
    <w:rsid w:val="00C52268"/>
    <w:rsid w:val="00C61B5D"/>
    <w:rsid w:val="00C6235A"/>
    <w:rsid w:val="00C74157"/>
    <w:rsid w:val="00C82FEA"/>
    <w:rsid w:val="00C84CCA"/>
    <w:rsid w:val="00C90B7B"/>
    <w:rsid w:val="00C91823"/>
    <w:rsid w:val="00CB2102"/>
    <w:rsid w:val="00CB3800"/>
    <w:rsid w:val="00CB4314"/>
    <w:rsid w:val="00CC44E9"/>
    <w:rsid w:val="00CC4D60"/>
    <w:rsid w:val="00CD3EF6"/>
    <w:rsid w:val="00CD417B"/>
    <w:rsid w:val="00CD490F"/>
    <w:rsid w:val="00CD5183"/>
    <w:rsid w:val="00CF04AC"/>
    <w:rsid w:val="00CF3ACA"/>
    <w:rsid w:val="00D02991"/>
    <w:rsid w:val="00D1662C"/>
    <w:rsid w:val="00D16EBD"/>
    <w:rsid w:val="00D20803"/>
    <w:rsid w:val="00D2582F"/>
    <w:rsid w:val="00D27A64"/>
    <w:rsid w:val="00D429BE"/>
    <w:rsid w:val="00D45085"/>
    <w:rsid w:val="00D52A64"/>
    <w:rsid w:val="00D572B9"/>
    <w:rsid w:val="00D63982"/>
    <w:rsid w:val="00D64707"/>
    <w:rsid w:val="00D7666E"/>
    <w:rsid w:val="00D83DBA"/>
    <w:rsid w:val="00D85B12"/>
    <w:rsid w:val="00D970E0"/>
    <w:rsid w:val="00D9728A"/>
    <w:rsid w:val="00DA183D"/>
    <w:rsid w:val="00DB7E36"/>
    <w:rsid w:val="00DC1341"/>
    <w:rsid w:val="00DC2EE2"/>
    <w:rsid w:val="00DC3629"/>
    <w:rsid w:val="00DC7658"/>
    <w:rsid w:val="00DD0093"/>
    <w:rsid w:val="00DE4605"/>
    <w:rsid w:val="00DF3864"/>
    <w:rsid w:val="00DF581E"/>
    <w:rsid w:val="00E14982"/>
    <w:rsid w:val="00E20A29"/>
    <w:rsid w:val="00E26B5E"/>
    <w:rsid w:val="00E3135E"/>
    <w:rsid w:val="00E37F9E"/>
    <w:rsid w:val="00E40C42"/>
    <w:rsid w:val="00E40FB7"/>
    <w:rsid w:val="00E478B7"/>
    <w:rsid w:val="00E56401"/>
    <w:rsid w:val="00E570C4"/>
    <w:rsid w:val="00E60782"/>
    <w:rsid w:val="00E60990"/>
    <w:rsid w:val="00E6120F"/>
    <w:rsid w:val="00E64CFD"/>
    <w:rsid w:val="00E66715"/>
    <w:rsid w:val="00E704E3"/>
    <w:rsid w:val="00E73FD3"/>
    <w:rsid w:val="00E833E9"/>
    <w:rsid w:val="00E835B3"/>
    <w:rsid w:val="00E92706"/>
    <w:rsid w:val="00E95A39"/>
    <w:rsid w:val="00E960D2"/>
    <w:rsid w:val="00E96682"/>
    <w:rsid w:val="00EA337B"/>
    <w:rsid w:val="00EB5442"/>
    <w:rsid w:val="00EB6A45"/>
    <w:rsid w:val="00EC0FE2"/>
    <w:rsid w:val="00EC65A1"/>
    <w:rsid w:val="00ED3254"/>
    <w:rsid w:val="00ED48B5"/>
    <w:rsid w:val="00EE0D3C"/>
    <w:rsid w:val="00EF4362"/>
    <w:rsid w:val="00F02294"/>
    <w:rsid w:val="00F25E8D"/>
    <w:rsid w:val="00F36DE3"/>
    <w:rsid w:val="00F4188B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4262"/>
    <w:rsid w:val="00F94264"/>
    <w:rsid w:val="00F965C4"/>
    <w:rsid w:val="00FA18A4"/>
    <w:rsid w:val="00FA2217"/>
    <w:rsid w:val="00FA5332"/>
    <w:rsid w:val="00FB447B"/>
    <w:rsid w:val="00FB53D9"/>
    <w:rsid w:val="00FB68F7"/>
    <w:rsid w:val="00FD6613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fieml@tkt-vivax.de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heilbronn-franken.com" TargetMode="External"/><Relationship Id="rId12" Type="http://schemas.openxmlformats.org/officeDocument/2006/relationships/hyperlink" Target="mailto:upa@press-n-relations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wclegal.d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nicolas.sonder@pwc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kt-vivax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966</Words>
  <Characters>6090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5</cp:revision>
  <cp:lastPrinted>2021-03-05T08:51:00Z</cp:lastPrinted>
  <dcterms:created xsi:type="dcterms:W3CDTF">2021-03-05T10:04:00Z</dcterms:created>
  <dcterms:modified xsi:type="dcterms:W3CDTF">2021-03-08T12:01:00Z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