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038E05" w14:textId="77777777" w:rsidR="005D3D1E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366C25D7" w14:textId="77777777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6DF482A4" w14:textId="77777777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5844D01A" w14:textId="77777777" w:rsidR="005D3D1E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62F05F78" w14:textId="5DD50E3C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Berlin/Backnang</w:t>
      </w:r>
      <w:r w:rsidRPr="000655B7">
        <w:rPr>
          <w:rFonts w:ascii="Arial" w:hAnsi="Arial" w:cs="Arial"/>
          <w:color w:val="000000"/>
        </w:rPr>
        <w:t xml:space="preserve">, </w:t>
      </w:r>
      <w:r w:rsidR="005E5F66">
        <w:rPr>
          <w:rFonts w:ascii="Arial" w:hAnsi="Arial" w:cs="Arial"/>
          <w:color w:val="000000"/>
        </w:rPr>
        <w:t>23</w:t>
      </w:r>
      <w:r w:rsidRPr="000655B7">
        <w:rPr>
          <w:rFonts w:ascii="Arial" w:hAnsi="Arial" w:cs="Arial"/>
          <w:color w:val="000000"/>
        </w:rPr>
        <w:t xml:space="preserve">. </w:t>
      </w:r>
      <w:r w:rsidR="005E5F66">
        <w:rPr>
          <w:rFonts w:ascii="Arial" w:hAnsi="Arial" w:cs="Arial"/>
          <w:color w:val="000000"/>
        </w:rPr>
        <w:t>April</w:t>
      </w:r>
      <w:r w:rsidRPr="000655B7">
        <w:rPr>
          <w:rFonts w:ascii="Arial" w:hAnsi="Arial" w:cs="Arial"/>
          <w:color w:val="000000"/>
        </w:rPr>
        <w:t xml:space="preserve"> 201</w:t>
      </w:r>
      <w:r w:rsidR="005E5F66">
        <w:rPr>
          <w:rFonts w:ascii="Arial" w:hAnsi="Arial" w:cs="Arial"/>
          <w:color w:val="000000"/>
        </w:rPr>
        <w:t>9</w:t>
      </w:r>
    </w:p>
    <w:p w14:paraId="3A8B5942" w14:textId="77777777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0EEC0A94" w14:textId="41C10D2B" w:rsidR="005D3D1E" w:rsidRDefault="00A20D61" w:rsidP="005D3D1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BDEW-Kongress – </w:t>
      </w:r>
      <w:r w:rsidRPr="00A20D61">
        <w:rPr>
          <w:rFonts w:ascii="Arial" w:hAnsi="Arial" w:cs="Arial"/>
          <w:color w:val="000000"/>
          <w:sz w:val="20"/>
          <w:szCs w:val="20"/>
        </w:rPr>
        <w:t>5.–6. Juni/ STATION-Berlin</w:t>
      </w:r>
      <w:r>
        <w:rPr>
          <w:rFonts w:ascii="Arial" w:hAnsi="Arial" w:cs="Arial"/>
          <w:color w:val="000000"/>
          <w:sz w:val="20"/>
          <w:szCs w:val="20"/>
        </w:rPr>
        <w:t xml:space="preserve"> – Stand </w:t>
      </w:r>
      <w:r w:rsidR="0063462F">
        <w:rPr>
          <w:rFonts w:ascii="Arial" w:hAnsi="Arial" w:cs="Arial"/>
          <w:color w:val="000000"/>
          <w:sz w:val="20"/>
          <w:szCs w:val="20"/>
        </w:rPr>
        <w:t>39</w:t>
      </w:r>
    </w:p>
    <w:p w14:paraId="7D018515" w14:textId="77777777" w:rsidR="00A20D61" w:rsidRPr="000655B7" w:rsidRDefault="00A20D61" w:rsidP="005D3D1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105E7BD4" w14:textId="5B84B35F" w:rsidR="005D3D1E" w:rsidRDefault="00A20D61" w:rsidP="00EF2CA0">
      <w:pPr>
        <w:autoSpaceDE w:val="0"/>
        <w:autoSpaceDN w:val="0"/>
        <w:adjustRightInd w:val="0"/>
        <w:spacing w:after="0" w:line="276" w:lineRule="auto"/>
        <w:ind w:right="-1984"/>
        <w:rPr>
          <w:rFonts w:ascii="Arial" w:hAnsi="Arial" w:cs="Arial"/>
          <w:b/>
          <w:color w:val="000000"/>
          <w:sz w:val="28"/>
          <w:szCs w:val="28"/>
        </w:rPr>
      </w:pPr>
      <w:r w:rsidRPr="00A20D61">
        <w:rPr>
          <w:rFonts w:ascii="Arial" w:hAnsi="Arial" w:cs="Arial"/>
          <w:b/>
          <w:color w:val="000000"/>
          <w:sz w:val="28"/>
          <w:szCs w:val="28"/>
        </w:rPr>
        <w:t>Breitbandausbau</w:t>
      </w:r>
      <w:r>
        <w:rPr>
          <w:rFonts w:ascii="Arial" w:hAnsi="Arial" w:cs="Arial"/>
          <w:b/>
          <w:color w:val="000000"/>
          <w:sz w:val="28"/>
          <w:szCs w:val="28"/>
        </w:rPr>
        <w:t xml:space="preserve"> ist das</w:t>
      </w:r>
      <w:r w:rsidRPr="00A20D61">
        <w:rPr>
          <w:rFonts w:ascii="Arial" w:hAnsi="Arial" w:cs="Arial"/>
          <w:b/>
          <w:color w:val="000000"/>
          <w:sz w:val="28"/>
          <w:szCs w:val="28"/>
        </w:rPr>
        <w:t xml:space="preserve"> Fundament einer vernetzten Welt</w:t>
      </w:r>
    </w:p>
    <w:p w14:paraId="13C12000" w14:textId="4BD59EB8" w:rsidR="005D3D1E" w:rsidRPr="0098474D" w:rsidRDefault="00A20D61" w:rsidP="00EF2CA0">
      <w:pPr>
        <w:autoSpaceDE w:val="0"/>
        <w:autoSpaceDN w:val="0"/>
        <w:adjustRightInd w:val="0"/>
        <w:spacing w:after="0" w:line="276" w:lineRule="auto"/>
        <w:ind w:right="-1984"/>
        <w:rPr>
          <w:rFonts w:ascii="Arial" w:hAnsi="Arial" w:cs="Arial"/>
          <w:b/>
          <w:color w:val="000000"/>
          <w:sz w:val="28"/>
          <w:szCs w:val="28"/>
        </w:rPr>
      </w:pPr>
      <w:proofErr w:type="spellStart"/>
      <w:r>
        <w:rPr>
          <w:rFonts w:ascii="Arial" w:hAnsi="Arial" w:cs="Tahoma"/>
          <w:sz w:val="20"/>
          <w:szCs w:val="20"/>
        </w:rPr>
        <w:t>tktVivax</w:t>
      </w:r>
      <w:proofErr w:type="spellEnd"/>
      <w:r>
        <w:rPr>
          <w:rFonts w:ascii="Arial" w:hAnsi="Arial" w:cs="Tahoma"/>
          <w:sz w:val="20"/>
          <w:szCs w:val="20"/>
        </w:rPr>
        <w:t xml:space="preserve"> präsentiert als BDEW-Themenpartner ganzheitliche Lösungen für die Digitalisierung</w:t>
      </w:r>
    </w:p>
    <w:p w14:paraId="72F56B60" w14:textId="77777777" w:rsidR="005D3D1E" w:rsidRPr="00997753" w:rsidRDefault="005D3D1E" w:rsidP="005D3D1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01980601" w14:textId="72B6278B" w:rsidR="00997753" w:rsidRDefault="005E5F66" w:rsidP="005D3D1E">
      <w:pPr>
        <w:spacing w:line="360" w:lineRule="auto"/>
        <w:rPr>
          <w:rFonts w:ascii="Arial" w:hAnsi="Arial" w:cs="Tahoma"/>
          <w:sz w:val="20"/>
          <w:szCs w:val="20"/>
        </w:rPr>
      </w:pPr>
      <w:r w:rsidRPr="00997753">
        <w:rPr>
          <w:rFonts w:ascii="Arial" w:hAnsi="Arial" w:cs="Tahoma"/>
          <w:sz w:val="20"/>
          <w:szCs w:val="20"/>
        </w:rPr>
        <w:t xml:space="preserve">Der Ausbau der Glasfasernetzte bietet für </w:t>
      </w:r>
      <w:r w:rsidR="0002378B" w:rsidRPr="00997753">
        <w:rPr>
          <w:rFonts w:ascii="Arial" w:hAnsi="Arial" w:cs="Tahoma"/>
          <w:sz w:val="20"/>
          <w:szCs w:val="20"/>
        </w:rPr>
        <w:t xml:space="preserve">Versorgungsunternehmen </w:t>
      </w:r>
      <w:r w:rsidRPr="00997753">
        <w:rPr>
          <w:rFonts w:ascii="Arial" w:hAnsi="Arial" w:cs="Tahoma"/>
          <w:sz w:val="20"/>
          <w:szCs w:val="20"/>
        </w:rPr>
        <w:t>die Chance</w:t>
      </w:r>
      <w:r w:rsidR="0002378B" w:rsidRPr="00997753">
        <w:rPr>
          <w:rFonts w:ascii="Arial" w:hAnsi="Arial" w:cs="Tahoma"/>
          <w:sz w:val="20"/>
          <w:szCs w:val="20"/>
        </w:rPr>
        <w:t xml:space="preserve">, sich auch als Betreiber der </w:t>
      </w:r>
      <w:r w:rsidRPr="00997753">
        <w:rPr>
          <w:rFonts w:ascii="Arial" w:hAnsi="Arial" w:cs="Tahoma"/>
          <w:sz w:val="20"/>
          <w:szCs w:val="20"/>
        </w:rPr>
        <w:t xml:space="preserve">künftigen </w:t>
      </w:r>
      <w:r w:rsidR="0002378B" w:rsidRPr="00997753">
        <w:rPr>
          <w:rFonts w:ascii="Arial" w:hAnsi="Arial" w:cs="Tahoma"/>
          <w:sz w:val="20"/>
          <w:szCs w:val="20"/>
        </w:rPr>
        <w:t xml:space="preserve">digitalen Infrastrukturen zu positionieren. </w:t>
      </w:r>
      <w:r w:rsidRPr="00997753">
        <w:rPr>
          <w:rFonts w:ascii="Arial" w:hAnsi="Arial" w:cs="Tahoma"/>
          <w:sz w:val="20"/>
          <w:szCs w:val="20"/>
        </w:rPr>
        <w:t>Als Themenpartner</w:t>
      </w:r>
      <w:r w:rsidR="00B457B7" w:rsidRPr="00997753">
        <w:rPr>
          <w:rFonts w:ascii="Arial" w:hAnsi="Arial" w:cs="Tahoma"/>
          <w:sz w:val="20"/>
          <w:szCs w:val="20"/>
        </w:rPr>
        <w:t xml:space="preserve"> für die Session</w:t>
      </w:r>
      <w:r w:rsidRPr="00997753">
        <w:rPr>
          <w:rFonts w:ascii="Arial" w:hAnsi="Arial" w:cs="Tahoma"/>
          <w:sz w:val="20"/>
          <w:szCs w:val="20"/>
        </w:rPr>
        <w:t xml:space="preserve"> „</w:t>
      </w:r>
      <w:r w:rsidR="00B457B7" w:rsidRPr="00997753">
        <w:rPr>
          <w:rFonts w:ascii="Arial" w:hAnsi="Arial" w:cs="Tahoma"/>
          <w:sz w:val="20"/>
          <w:szCs w:val="20"/>
        </w:rPr>
        <w:t>Breitbandausbau: Fundament einer vernetzten Welt</w:t>
      </w:r>
      <w:r w:rsidRPr="00997753">
        <w:rPr>
          <w:rFonts w:ascii="Arial" w:hAnsi="Arial" w:cs="Tahoma"/>
          <w:sz w:val="20"/>
          <w:szCs w:val="20"/>
        </w:rPr>
        <w:t xml:space="preserve">“ </w:t>
      </w:r>
      <w:r w:rsidR="00DF79B2" w:rsidRPr="00997753">
        <w:rPr>
          <w:rFonts w:ascii="Arial" w:hAnsi="Arial" w:cs="Tahoma"/>
          <w:sz w:val="20"/>
          <w:szCs w:val="20"/>
        </w:rPr>
        <w:t xml:space="preserve">präsentiert </w:t>
      </w:r>
      <w:proofErr w:type="spellStart"/>
      <w:r w:rsidR="0002378B" w:rsidRPr="00997753">
        <w:rPr>
          <w:rFonts w:ascii="Arial" w:hAnsi="Arial" w:cs="Tahoma"/>
          <w:sz w:val="20"/>
          <w:szCs w:val="20"/>
        </w:rPr>
        <w:t>tktVivax</w:t>
      </w:r>
      <w:proofErr w:type="spellEnd"/>
      <w:r w:rsidR="0002378B" w:rsidRPr="00997753">
        <w:rPr>
          <w:rFonts w:ascii="Arial" w:hAnsi="Arial" w:cs="Tahoma"/>
          <w:sz w:val="20"/>
          <w:szCs w:val="20"/>
        </w:rPr>
        <w:t xml:space="preserve"> dazu auf dem BDEW-Kongress</w:t>
      </w:r>
      <w:r w:rsidR="00DF79B2" w:rsidRPr="00997753">
        <w:rPr>
          <w:rFonts w:ascii="Arial" w:hAnsi="Arial" w:cs="Tahoma"/>
          <w:sz w:val="20"/>
          <w:szCs w:val="20"/>
        </w:rPr>
        <w:t xml:space="preserve"> vielfältige Lösungsansätze für den Weg in die Digitalisierung</w:t>
      </w:r>
      <w:r w:rsidR="00997753">
        <w:rPr>
          <w:rFonts w:ascii="Arial" w:hAnsi="Arial" w:cs="Tahoma"/>
          <w:sz w:val="20"/>
          <w:szCs w:val="20"/>
        </w:rPr>
        <w:t>:</w:t>
      </w:r>
      <w:r w:rsidRPr="00997753">
        <w:rPr>
          <w:rFonts w:ascii="Arial" w:hAnsi="Arial" w:cs="Tahoma"/>
          <w:sz w:val="20"/>
          <w:szCs w:val="20"/>
        </w:rPr>
        <w:t xml:space="preserve"> Von der Analyse und Fördermittelberatung über die Strategiefindung und Gestaltung von Prozessen und Organisationen bis hin zur Planungs- und Umsetzungsbegleitung</w:t>
      </w:r>
      <w:r w:rsidR="00DF79B2" w:rsidRPr="00997753">
        <w:rPr>
          <w:rFonts w:ascii="Arial" w:hAnsi="Arial" w:cs="Tahoma"/>
          <w:sz w:val="20"/>
          <w:szCs w:val="20"/>
        </w:rPr>
        <w:t xml:space="preserve"> reicht das Spektrum der Services, mit denen </w:t>
      </w:r>
      <w:proofErr w:type="spellStart"/>
      <w:r w:rsidR="00DF79B2" w:rsidRPr="00997753">
        <w:rPr>
          <w:rFonts w:ascii="Arial" w:hAnsi="Arial" w:cs="Tahoma"/>
          <w:sz w:val="20"/>
          <w:szCs w:val="20"/>
        </w:rPr>
        <w:t>tktVivax</w:t>
      </w:r>
      <w:proofErr w:type="spellEnd"/>
      <w:r w:rsidR="00DF79B2" w:rsidRPr="00997753">
        <w:rPr>
          <w:rFonts w:ascii="Arial" w:hAnsi="Arial" w:cs="Tahoma"/>
          <w:sz w:val="20"/>
          <w:szCs w:val="20"/>
        </w:rPr>
        <w:t xml:space="preserve"> schon zahlreiche Stadtwerke bei ihren Breitbandprojekten unterstützt hat. Dabei deckt </w:t>
      </w:r>
      <w:proofErr w:type="spellStart"/>
      <w:r w:rsidR="00DF79B2" w:rsidRPr="00997753">
        <w:rPr>
          <w:rFonts w:ascii="Arial" w:hAnsi="Arial" w:cs="Tahoma"/>
          <w:sz w:val="20"/>
          <w:szCs w:val="20"/>
        </w:rPr>
        <w:t>tktVivax</w:t>
      </w:r>
      <w:proofErr w:type="spellEnd"/>
      <w:r w:rsidR="00DF79B2" w:rsidRPr="00997753">
        <w:rPr>
          <w:rFonts w:ascii="Arial" w:hAnsi="Arial" w:cs="Tahoma"/>
          <w:sz w:val="20"/>
          <w:szCs w:val="20"/>
        </w:rPr>
        <w:t xml:space="preserve"> nicht nur alle horizontalen Fragestellungen etwa zu Technologien oder Methoden ab, sondern unterstützt auch beim Aufbau entsprechender Geschäftsmodelle sowie bei der Businessplanung. Mit DICLINA präsentiert </w:t>
      </w:r>
      <w:proofErr w:type="spellStart"/>
      <w:r w:rsidR="00DF79B2" w:rsidRPr="00997753">
        <w:rPr>
          <w:rFonts w:ascii="Arial" w:hAnsi="Arial" w:cs="Tahoma"/>
          <w:sz w:val="20"/>
          <w:szCs w:val="20"/>
        </w:rPr>
        <w:t>tktVivax</w:t>
      </w:r>
      <w:proofErr w:type="spellEnd"/>
      <w:r w:rsidR="00DF79B2" w:rsidRPr="00997753">
        <w:rPr>
          <w:rFonts w:ascii="Arial" w:hAnsi="Arial" w:cs="Tahoma"/>
          <w:sz w:val="20"/>
          <w:szCs w:val="20"/>
        </w:rPr>
        <w:t xml:space="preserve"> auf dem BDEW-Kongress zudem ein speziell auf die Anforderungen des Breitbandgeschäfts ausgerichtetes Kundenmanagement-System</w:t>
      </w:r>
      <w:r w:rsidR="00EF2CA0">
        <w:rPr>
          <w:rFonts w:ascii="Arial" w:hAnsi="Arial" w:cs="Tahoma"/>
          <w:sz w:val="20"/>
          <w:szCs w:val="20"/>
        </w:rPr>
        <w:t>.</w:t>
      </w:r>
      <w:r w:rsidR="00DF79B2" w:rsidRPr="00997753">
        <w:rPr>
          <w:rFonts w:ascii="Arial" w:hAnsi="Arial" w:cs="Tahoma"/>
          <w:sz w:val="20"/>
          <w:szCs w:val="20"/>
        </w:rPr>
        <w:t xml:space="preserve"> </w:t>
      </w:r>
      <w:r w:rsidR="00EF2CA0">
        <w:rPr>
          <w:rFonts w:ascii="Arial" w:hAnsi="Arial" w:cs="Tahoma"/>
          <w:sz w:val="20"/>
          <w:szCs w:val="20"/>
        </w:rPr>
        <w:t>Damit haben</w:t>
      </w:r>
      <w:r w:rsidR="00DF79B2" w:rsidRPr="00997753">
        <w:rPr>
          <w:rFonts w:ascii="Arial" w:hAnsi="Arial" w:cs="Tahoma"/>
          <w:sz w:val="20"/>
          <w:szCs w:val="20"/>
        </w:rPr>
        <w:t xml:space="preserve"> die Service-Mitarbeiter nicht nur die Kunden, sondern auch alle IP-Adressen, Ressourcen, Standorte und die installierte Technik transparent im Bli</w:t>
      </w:r>
      <w:r w:rsidR="00EF2CA0">
        <w:rPr>
          <w:rFonts w:ascii="Arial" w:hAnsi="Arial" w:cs="Tahoma"/>
          <w:sz w:val="20"/>
          <w:szCs w:val="20"/>
        </w:rPr>
        <w:t>ck</w:t>
      </w:r>
      <w:r w:rsidR="00DF79B2" w:rsidRPr="00997753">
        <w:rPr>
          <w:rFonts w:ascii="Arial" w:hAnsi="Arial" w:cs="Tahoma"/>
          <w:sz w:val="20"/>
          <w:szCs w:val="20"/>
        </w:rPr>
        <w:t xml:space="preserve">. </w:t>
      </w:r>
      <w:r w:rsidR="00997753" w:rsidRPr="00997753">
        <w:rPr>
          <w:rFonts w:ascii="Arial" w:hAnsi="Arial" w:cs="Tahoma"/>
          <w:sz w:val="20"/>
          <w:szCs w:val="20"/>
        </w:rPr>
        <w:t xml:space="preserve">Über </w:t>
      </w:r>
      <w:r w:rsidR="00997753">
        <w:rPr>
          <w:rFonts w:ascii="Arial" w:hAnsi="Arial" w:cs="Tahoma"/>
          <w:sz w:val="20"/>
          <w:szCs w:val="20"/>
        </w:rPr>
        <w:t>eine</w:t>
      </w:r>
      <w:r w:rsidR="00997753" w:rsidRPr="00997753">
        <w:rPr>
          <w:rFonts w:ascii="Arial" w:hAnsi="Arial" w:cs="Tahoma"/>
          <w:sz w:val="20"/>
          <w:szCs w:val="20"/>
        </w:rPr>
        <w:t xml:space="preserve"> prozessorientierte </w:t>
      </w:r>
      <w:r w:rsidR="00997753">
        <w:rPr>
          <w:rFonts w:ascii="Arial" w:hAnsi="Arial" w:cs="Tahoma"/>
          <w:sz w:val="20"/>
          <w:szCs w:val="20"/>
        </w:rPr>
        <w:t>Benutzerführung</w:t>
      </w:r>
      <w:r w:rsidR="00997753" w:rsidRPr="00997753">
        <w:rPr>
          <w:rFonts w:ascii="Arial" w:hAnsi="Arial" w:cs="Tahoma"/>
          <w:sz w:val="20"/>
          <w:szCs w:val="20"/>
        </w:rPr>
        <w:t xml:space="preserve"> und die Möglichkeit, zahlreiche Konfigurationsschritte automatisiert abzuwickeln, kann </w:t>
      </w:r>
      <w:r w:rsidR="00997753">
        <w:rPr>
          <w:rFonts w:ascii="Arial" w:hAnsi="Arial" w:cs="Tahoma"/>
          <w:sz w:val="20"/>
          <w:szCs w:val="20"/>
        </w:rPr>
        <w:t>mithilfe von DICLINA</w:t>
      </w:r>
      <w:r w:rsidR="00997753" w:rsidRPr="00997753">
        <w:rPr>
          <w:rFonts w:ascii="Arial" w:hAnsi="Arial" w:cs="Tahoma"/>
          <w:sz w:val="20"/>
          <w:szCs w:val="20"/>
        </w:rPr>
        <w:t xml:space="preserve"> auch ein hohes Kundenaufkommen mit vergleichsweise wenigen Mitarbeiter bewältigt werden. </w:t>
      </w:r>
    </w:p>
    <w:p w14:paraId="51180731" w14:textId="4C22CE08" w:rsidR="0013771A" w:rsidRDefault="0013771A" w:rsidP="005D3D1E">
      <w:pPr>
        <w:spacing w:line="360" w:lineRule="auto"/>
        <w:rPr>
          <w:rFonts w:ascii="Arial" w:hAnsi="Arial" w:cs="Tahoma"/>
          <w:sz w:val="20"/>
          <w:szCs w:val="20"/>
        </w:rPr>
      </w:pPr>
      <w:r>
        <w:rPr>
          <w:rFonts w:ascii="Arial" w:hAnsi="Arial" w:cs="Tahoma"/>
          <w:sz w:val="20"/>
          <w:szCs w:val="20"/>
        </w:rPr>
        <w:t>Die Themensession „</w:t>
      </w:r>
      <w:r w:rsidRPr="00997753">
        <w:rPr>
          <w:rFonts w:ascii="Arial" w:hAnsi="Arial" w:cs="Tahoma"/>
          <w:sz w:val="20"/>
          <w:szCs w:val="20"/>
        </w:rPr>
        <w:t>Breitbandausbau: Fundament einer vernetzten Welt“</w:t>
      </w:r>
      <w:r>
        <w:rPr>
          <w:rFonts w:ascii="Arial" w:hAnsi="Arial" w:cs="Tahoma"/>
          <w:sz w:val="20"/>
          <w:szCs w:val="20"/>
        </w:rPr>
        <w:t xml:space="preserve"> findet am Mittwoch den 5. Juni 2019 um 17.15 in der Themenwelt „Arena“ statt. Neben dem </w:t>
      </w:r>
      <w:proofErr w:type="spellStart"/>
      <w:r>
        <w:rPr>
          <w:rFonts w:ascii="Arial" w:hAnsi="Arial" w:cs="Tahoma"/>
          <w:sz w:val="20"/>
          <w:szCs w:val="20"/>
        </w:rPr>
        <w:t>tktVivax</w:t>
      </w:r>
      <w:proofErr w:type="spellEnd"/>
      <w:r>
        <w:rPr>
          <w:rFonts w:ascii="Arial" w:hAnsi="Arial" w:cs="Tahoma"/>
          <w:sz w:val="20"/>
          <w:szCs w:val="20"/>
        </w:rPr>
        <w:t xml:space="preserve">-Geschäftsführer Dirk </w:t>
      </w:r>
      <w:proofErr w:type="spellStart"/>
      <w:r>
        <w:rPr>
          <w:rFonts w:ascii="Arial" w:hAnsi="Arial" w:cs="Tahoma"/>
          <w:sz w:val="20"/>
          <w:szCs w:val="20"/>
        </w:rPr>
        <w:t>Fieml</w:t>
      </w:r>
      <w:proofErr w:type="spellEnd"/>
      <w:r>
        <w:rPr>
          <w:rFonts w:ascii="Arial" w:hAnsi="Arial" w:cs="Tahoma"/>
          <w:sz w:val="20"/>
          <w:szCs w:val="20"/>
        </w:rPr>
        <w:t xml:space="preserve"> diskutieren Stefan </w:t>
      </w:r>
      <w:proofErr w:type="spellStart"/>
      <w:r>
        <w:rPr>
          <w:rFonts w:ascii="Arial" w:hAnsi="Arial" w:cs="Tahoma"/>
          <w:sz w:val="20"/>
          <w:szCs w:val="20"/>
        </w:rPr>
        <w:t>Dohler</w:t>
      </w:r>
      <w:proofErr w:type="spellEnd"/>
      <w:r>
        <w:rPr>
          <w:rFonts w:ascii="Arial" w:hAnsi="Arial" w:cs="Tahoma"/>
          <w:sz w:val="20"/>
          <w:szCs w:val="20"/>
        </w:rPr>
        <w:t xml:space="preserve">, Vorstandvorsitzender der EWE AG, Thomas Peter Müller, Geschäftsführer der ZEAG Engineering, Werner </w:t>
      </w:r>
      <w:proofErr w:type="spellStart"/>
      <w:r>
        <w:rPr>
          <w:rFonts w:ascii="Arial" w:hAnsi="Arial" w:cs="Tahoma"/>
          <w:sz w:val="20"/>
          <w:szCs w:val="20"/>
        </w:rPr>
        <w:t>Spec</w:t>
      </w:r>
      <w:proofErr w:type="spellEnd"/>
      <w:r>
        <w:rPr>
          <w:rFonts w:ascii="Arial" w:hAnsi="Arial" w:cs="Tahoma"/>
          <w:sz w:val="20"/>
          <w:szCs w:val="20"/>
        </w:rPr>
        <w:t xml:space="preserve">, Oberbürgermeister Ludwigsburg und Thilo Höllen von der Telekom. Moderator ist der </w:t>
      </w:r>
      <w:proofErr w:type="spellStart"/>
      <w:r>
        <w:rPr>
          <w:rFonts w:ascii="Arial" w:hAnsi="Arial" w:cs="Tahoma"/>
          <w:sz w:val="20"/>
          <w:szCs w:val="20"/>
        </w:rPr>
        <w:t>VfEW</w:t>
      </w:r>
      <w:proofErr w:type="spellEnd"/>
      <w:r>
        <w:rPr>
          <w:rFonts w:ascii="Arial" w:hAnsi="Arial" w:cs="Tahoma"/>
          <w:sz w:val="20"/>
          <w:szCs w:val="20"/>
        </w:rPr>
        <w:t>-Geschäftsführer Thorsten Höck</w:t>
      </w:r>
    </w:p>
    <w:p w14:paraId="5D3A329F" w14:textId="1CB4DA00" w:rsidR="0013771A" w:rsidRDefault="0013771A" w:rsidP="005D3D1E">
      <w:pPr>
        <w:spacing w:line="360" w:lineRule="auto"/>
        <w:rPr>
          <w:rFonts w:ascii="Arial" w:hAnsi="Arial" w:cs="Tahoma"/>
          <w:sz w:val="20"/>
          <w:szCs w:val="20"/>
        </w:rPr>
      </w:pPr>
      <w:bookmarkStart w:id="0" w:name="_GoBack"/>
      <w:bookmarkEnd w:id="0"/>
    </w:p>
    <w:p w14:paraId="611BFC7A" w14:textId="77777777" w:rsidR="0013771A" w:rsidRPr="000655B7" w:rsidRDefault="0013771A" w:rsidP="005D3D1E">
      <w:pPr>
        <w:spacing w:line="360" w:lineRule="auto"/>
        <w:rPr>
          <w:rFonts w:ascii="Arial" w:hAnsi="Arial" w:cs="Tahoma"/>
          <w:sz w:val="20"/>
          <w:szCs w:val="20"/>
        </w:rPr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D3D1E" w:rsidRPr="000655B7" w14:paraId="55C2A03B" w14:textId="77777777" w:rsidTr="00B714E4">
        <w:tc>
          <w:tcPr>
            <w:tcW w:w="4361" w:type="dxa"/>
            <w:shd w:val="clear" w:color="auto" w:fill="auto"/>
          </w:tcPr>
          <w:p w14:paraId="14C72989" w14:textId="172AFD1F" w:rsidR="005D3D1E" w:rsidRPr="00997753" w:rsidRDefault="005D3D1E" w:rsidP="00997753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Kurfürstendamm 194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10707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+</w:t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49 30 700 159 805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</w:t>
            </w:r>
            <w:r w:rsidR="00CD490F"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="003B6004">
              <w:rPr>
                <w:rFonts w:ascii="Arial" w:hAnsi="Arial" w:cs="Calibri"/>
                <w:sz w:val="16"/>
                <w:szCs w:val="26"/>
                <w:lang w:eastAsia="de-DE"/>
              </w:rPr>
              <w:t>-</w:t>
            </w:r>
            <w:r w:rsidR="00CD490F">
              <w:rPr>
                <w:rFonts w:ascii="Arial" w:hAnsi="Arial" w:cs="Calibri"/>
                <w:sz w:val="16"/>
                <w:szCs w:val="26"/>
                <w:lang w:eastAsia="de-DE"/>
              </w:rPr>
              <w:t>vivax.de</w:t>
            </w:r>
          </w:p>
        </w:tc>
        <w:tc>
          <w:tcPr>
            <w:tcW w:w="4819" w:type="dxa"/>
            <w:shd w:val="clear" w:color="auto" w:fill="auto"/>
          </w:tcPr>
          <w:p w14:paraId="37912198" w14:textId="77777777" w:rsidR="005D3D1E" w:rsidRPr="000655B7" w:rsidRDefault="005D3D1E" w:rsidP="00B714E4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D-89077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www.press-n-relations.com</w:t>
            </w:r>
          </w:p>
        </w:tc>
      </w:tr>
    </w:tbl>
    <w:p w14:paraId="2E55E5C6" w14:textId="5551ECA8" w:rsidR="007749DD" w:rsidRPr="005D3D1E" w:rsidRDefault="005D3D1E" w:rsidP="005D3D1E">
      <w:pPr>
        <w:widowControl w:val="0"/>
        <w:autoSpaceDE w:val="0"/>
        <w:autoSpaceDN w:val="0"/>
        <w:adjustRightInd w:val="0"/>
        <w:spacing w:line="240" w:lineRule="auto"/>
        <w:ind w:left="34"/>
        <w:rPr>
          <w:rFonts w:ascii="Arial" w:hAnsi="Arial" w:cs="Calibri"/>
          <w:sz w:val="16"/>
          <w:szCs w:val="26"/>
          <w:lang w:eastAsia="de-DE"/>
        </w:rPr>
      </w:pPr>
      <w:r w:rsidRPr="000655B7">
        <w:rPr>
          <w:rFonts w:ascii="Arial" w:hAnsi="Arial" w:cs="Calibri"/>
          <w:sz w:val="16"/>
          <w:szCs w:val="26"/>
          <w:lang w:eastAsia="de-DE"/>
        </w:rPr>
        <w:t>Die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0655B7">
        <w:rPr>
          <w:rFonts w:ascii="Arial" w:hAnsi="Arial" w:cs="Calibri"/>
          <w:sz w:val="16"/>
          <w:szCs w:val="26"/>
          <w:lang w:eastAsia="de-DE"/>
        </w:rPr>
        <w:t xml:space="preserve">GmbH mit Sitz in </w:t>
      </w:r>
      <w:r>
        <w:rPr>
          <w:rFonts w:ascii="Arial" w:hAnsi="Arial" w:cs="Calibri"/>
          <w:sz w:val="16"/>
          <w:szCs w:val="26"/>
          <w:lang w:eastAsia="de-DE"/>
        </w:rPr>
        <w:t xml:space="preserve">Berlin entstand Ende 2018 aus der Fusion der </w:t>
      </w:r>
      <w:proofErr w:type="spellStart"/>
      <w:r w:rsidRPr="007F3F43">
        <w:rPr>
          <w:rFonts w:ascii="Arial" w:hAnsi="Arial" w:cs="Calibri"/>
          <w:sz w:val="16"/>
          <w:szCs w:val="26"/>
          <w:lang w:eastAsia="de-DE"/>
        </w:rPr>
        <w:t>tkt</w:t>
      </w:r>
      <w:proofErr w:type="spellEnd"/>
      <w:r w:rsidRPr="007F3F43"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spellStart"/>
      <w:r w:rsidRPr="007F3F43">
        <w:rPr>
          <w:rFonts w:ascii="Arial" w:hAnsi="Arial" w:cs="Calibri"/>
          <w:sz w:val="16"/>
          <w:szCs w:val="26"/>
          <w:lang w:eastAsia="de-DE"/>
        </w:rPr>
        <w:t>teleconsult</w:t>
      </w:r>
      <w:proofErr w:type="spellEnd"/>
      <w:r w:rsidRPr="007F3F43">
        <w:rPr>
          <w:rFonts w:ascii="Arial" w:hAnsi="Arial" w:cs="Calibri"/>
          <w:sz w:val="16"/>
          <w:szCs w:val="26"/>
          <w:lang w:eastAsia="de-DE"/>
        </w:rPr>
        <w:t xml:space="preserve"> Kommunikationstechnik GmbH</w:t>
      </w:r>
      <w:r>
        <w:rPr>
          <w:rFonts w:ascii="Arial" w:hAnsi="Arial" w:cs="Calibri"/>
          <w:sz w:val="16"/>
          <w:szCs w:val="26"/>
          <w:lang w:eastAsia="de-DE"/>
        </w:rPr>
        <w:t xml:space="preserve">, Backnang, und der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GmbH, Berlin. Damit führten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tkt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(1995 gegründet) und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(2009 gegründet) ihre Kompetenzen im 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Bereich zukunftsorientierter Telekommunikationstechnologien </w:t>
      </w:r>
      <w:r>
        <w:rPr>
          <w:rFonts w:ascii="Arial" w:hAnsi="Arial" w:cs="Calibri"/>
          <w:sz w:val="16"/>
          <w:szCs w:val="26"/>
          <w:lang w:eastAsia="de-DE"/>
        </w:rPr>
        <w:t>mit dem Know-how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 für Organisations-, Prozess- und Digi</w:t>
      </w:r>
      <w:r>
        <w:rPr>
          <w:rFonts w:ascii="Arial" w:hAnsi="Arial" w:cs="Calibri"/>
          <w:sz w:val="16"/>
          <w:szCs w:val="26"/>
          <w:lang w:eastAsia="de-DE"/>
        </w:rPr>
        <w:t>t</w:t>
      </w:r>
      <w:r w:rsidRPr="007749DD">
        <w:rPr>
          <w:rFonts w:ascii="Arial" w:hAnsi="Arial" w:cs="Calibri"/>
          <w:sz w:val="16"/>
          <w:szCs w:val="26"/>
          <w:lang w:eastAsia="de-DE"/>
        </w:rPr>
        <w:t>alisierungsberatung in der kommunalen Versorgungswirtschaft</w:t>
      </w:r>
      <w:r>
        <w:rPr>
          <w:rFonts w:ascii="Arial" w:hAnsi="Arial" w:cs="Calibri"/>
          <w:sz w:val="16"/>
          <w:szCs w:val="26"/>
          <w:lang w:eastAsia="de-DE"/>
        </w:rPr>
        <w:t xml:space="preserve"> zusammen</w:t>
      </w:r>
      <w:r w:rsidRPr="007749DD">
        <w:rPr>
          <w:rFonts w:ascii="Arial" w:hAnsi="Arial" w:cs="Calibri"/>
          <w:sz w:val="16"/>
          <w:szCs w:val="26"/>
          <w:lang w:eastAsia="de-DE"/>
        </w:rPr>
        <w:t>.</w:t>
      </w:r>
      <w:r>
        <w:rPr>
          <w:rFonts w:ascii="Arial" w:hAnsi="Arial" w:cs="Calibri"/>
          <w:sz w:val="16"/>
          <w:szCs w:val="26"/>
          <w:lang w:eastAsia="de-DE"/>
        </w:rPr>
        <w:t xml:space="preserve"> Mit rund 50 Mitarbeitern deckt das Beratungsunternehmen ein breites Spektrum von der Analyse, </w:t>
      </w:r>
      <w:r w:rsidRPr="00AD4250">
        <w:rPr>
          <w:rFonts w:ascii="Arial" w:hAnsi="Arial" w:cs="Calibri"/>
          <w:sz w:val="16"/>
          <w:szCs w:val="26"/>
          <w:lang w:eastAsia="de-DE"/>
        </w:rPr>
        <w:t>Strategiefindung und Fördermittelberatung über die Neu- und Umgestaltung von Prozessen und Organisationen</w:t>
      </w:r>
      <w:r>
        <w:rPr>
          <w:rFonts w:ascii="Arial" w:hAnsi="Arial" w:cs="Calibri"/>
          <w:sz w:val="16"/>
          <w:szCs w:val="26"/>
          <w:lang w:eastAsia="de-DE"/>
        </w:rPr>
        <w:t xml:space="preserve"> in allen Bereichen der Versorgungswirtschaft</w:t>
      </w:r>
      <w:r w:rsidRPr="00AD4250">
        <w:rPr>
          <w:rFonts w:ascii="Arial" w:hAnsi="Arial" w:cs="Calibri"/>
          <w:sz w:val="16"/>
          <w:szCs w:val="26"/>
          <w:lang w:eastAsia="de-DE"/>
        </w:rPr>
        <w:t xml:space="preserve"> bis hin zur Planungs- und Umsetzungsbegleitung</w:t>
      </w:r>
      <w:r>
        <w:rPr>
          <w:rFonts w:ascii="Arial" w:hAnsi="Arial" w:cs="Calibri"/>
          <w:sz w:val="16"/>
          <w:szCs w:val="26"/>
          <w:lang w:eastAsia="de-DE"/>
        </w:rPr>
        <w:t xml:space="preserve"> von Glasfaser- und 5G-Infrastrukturen an. Zielgruppe sind sowohl Stadtwerke als auch Kommunalverwaltungen.</w:t>
      </w:r>
    </w:p>
    <w:sectPr w:rsidR="007749DD" w:rsidRPr="005D3D1E" w:rsidSect="000655B7">
      <w:headerReference w:type="default" r:id="rId9"/>
      <w:pgSz w:w="12240" w:h="15840"/>
      <w:pgMar w:top="1701" w:right="3735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AE3340" w14:textId="77777777" w:rsidR="0080359B" w:rsidRDefault="0080359B" w:rsidP="00BF70FE">
      <w:pPr>
        <w:spacing w:after="0" w:line="240" w:lineRule="auto"/>
      </w:pPr>
      <w:r>
        <w:separator/>
      </w:r>
    </w:p>
  </w:endnote>
  <w:endnote w:type="continuationSeparator" w:id="0">
    <w:p w14:paraId="7B9DC2C0" w14:textId="77777777" w:rsidR="0080359B" w:rsidRDefault="0080359B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09C672" w14:textId="77777777" w:rsidR="0080359B" w:rsidRDefault="0080359B" w:rsidP="00BF70FE">
      <w:pPr>
        <w:spacing w:after="0" w:line="240" w:lineRule="auto"/>
      </w:pPr>
      <w:r>
        <w:separator/>
      </w:r>
    </w:p>
  </w:footnote>
  <w:footnote w:type="continuationSeparator" w:id="0">
    <w:p w14:paraId="0D7F187E" w14:textId="77777777" w:rsidR="0080359B" w:rsidRDefault="0080359B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049685" w14:textId="162BD892" w:rsidR="00B96701" w:rsidRDefault="00934EFD" w:rsidP="002757A3">
    <w:pPr>
      <w:pStyle w:val="Kopfzeile"/>
      <w:ind w:right="-2268"/>
      <w:jc w:val="right"/>
    </w:pPr>
    <w:r>
      <w:rPr>
        <w:noProof/>
        <w:lang w:eastAsia="de-DE"/>
      </w:rPr>
      <w:drawing>
        <wp:inline distT="0" distB="0" distL="0" distR="0" wp14:anchorId="6A2733C0" wp14:editId="7CF92E01">
          <wp:extent cx="1758237" cy="433606"/>
          <wp:effectExtent l="0" t="0" r="0" b="508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ktvivax logo 80%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82966" cy="4643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96701">
      <w:rPr>
        <w:noProof/>
        <w:lang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58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2378B"/>
    <w:rsid w:val="00026CFD"/>
    <w:rsid w:val="0006200B"/>
    <w:rsid w:val="000655B7"/>
    <w:rsid w:val="000823CF"/>
    <w:rsid w:val="000A4C5E"/>
    <w:rsid w:val="000A4C93"/>
    <w:rsid w:val="000C4746"/>
    <w:rsid w:val="000D4DE3"/>
    <w:rsid w:val="000E087D"/>
    <w:rsid w:val="000E7CE7"/>
    <w:rsid w:val="000F2111"/>
    <w:rsid w:val="000F4F9D"/>
    <w:rsid w:val="0010198B"/>
    <w:rsid w:val="00104674"/>
    <w:rsid w:val="00106821"/>
    <w:rsid w:val="0013234F"/>
    <w:rsid w:val="0013771A"/>
    <w:rsid w:val="00157861"/>
    <w:rsid w:val="00181FBB"/>
    <w:rsid w:val="00187FC7"/>
    <w:rsid w:val="001C51EC"/>
    <w:rsid w:val="001D2FB7"/>
    <w:rsid w:val="00205941"/>
    <w:rsid w:val="00207A9F"/>
    <w:rsid w:val="00213AF7"/>
    <w:rsid w:val="00221777"/>
    <w:rsid w:val="00237217"/>
    <w:rsid w:val="00262A08"/>
    <w:rsid w:val="00265589"/>
    <w:rsid w:val="002745F8"/>
    <w:rsid w:val="002757A3"/>
    <w:rsid w:val="0028558F"/>
    <w:rsid w:val="002A7E29"/>
    <w:rsid w:val="002B3E9E"/>
    <w:rsid w:val="002D5B66"/>
    <w:rsid w:val="002F1BFF"/>
    <w:rsid w:val="0030091A"/>
    <w:rsid w:val="00304113"/>
    <w:rsid w:val="00314048"/>
    <w:rsid w:val="003274D8"/>
    <w:rsid w:val="00341A34"/>
    <w:rsid w:val="0035256E"/>
    <w:rsid w:val="00362AE7"/>
    <w:rsid w:val="003953CA"/>
    <w:rsid w:val="003A3B30"/>
    <w:rsid w:val="003B6004"/>
    <w:rsid w:val="003C0B6F"/>
    <w:rsid w:val="003D63AC"/>
    <w:rsid w:val="00406C69"/>
    <w:rsid w:val="004137FD"/>
    <w:rsid w:val="00427AD2"/>
    <w:rsid w:val="004422BD"/>
    <w:rsid w:val="004467C0"/>
    <w:rsid w:val="004540FC"/>
    <w:rsid w:val="00454989"/>
    <w:rsid w:val="00463FE6"/>
    <w:rsid w:val="00465CBB"/>
    <w:rsid w:val="004810F6"/>
    <w:rsid w:val="00497AEF"/>
    <w:rsid w:val="004B0D7E"/>
    <w:rsid w:val="00521E6A"/>
    <w:rsid w:val="00556FEE"/>
    <w:rsid w:val="00557F58"/>
    <w:rsid w:val="00576A90"/>
    <w:rsid w:val="00576E59"/>
    <w:rsid w:val="005958C2"/>
    <w:rsid w:val="00596BC4"/>
    <w:rsid w:val="005D3D1E"/>
    <w:rsid w:val="005E5F66"/>
    <w:rsid w:val="005F63B7"/>
    <w:rsid w:val="0063462F"/>
    <w:rsid w:val="006563BE"/>
    <w:rsid w:val="006663C8"/>
    <w:rsid w:val="00682686"/>
    <w:rsid w:val="00682E83"/>
    <w:rsid w:val="006D38DD"/>
    <w:rsid w:val="006F2189"/>
    <w:rsid w:val="00705635"/>
    <w:rsid w:val="00712F91"/>
    <w:rsid w:val="00714AB5"/>
    <w:rsid w:val="007162A5"/>
    <w:rsid w:val="007169F8"/>
    <w:rsid w:val="00732F57"/>
    <w:rsid w:val="00751621"/>
    <w:rsid w:val="00752985"/>
    <w:rsid w:val="00753CE4"/>
    <w:rsid w:val="00764363"/>
    <w:rsid w:val="00766B7A"/>
    <w:rsid w:val="007749DD"/>
    <w:rsid w:val="007768B7"/>
    <w:rsid w:val="00780026"/>
    <w:rsid w:val="00785A83"/>
    <w:rsid w:val="00785BC8"/>
    <w:rsid w:val="007F3F43"/>
    <w:rsid w:val="0080359B"/>
    <w:rsid w:val="00803966"/>
    <w:rsid w:val="00822F51"/>
    <w:rsid w:val="008457BE"/>
    <w:rsid w:val="00872E24"/>
    <w:rsid w:val="00934EFD"/>
    <w:rsid w:val="0094694E"/>
    <w:rsid w:val="00953399"/>
    <w:rsid w:val="0095460E"/>
    <w:rsid w:val="00963CDF"/>
    <w:rsid w:val="0098474D"/>
    <w:rsid w:val="00993991"/>
    <w:rsid w:val="00997753"/>
    <w:rsid w:val="009B04A2"/>
    <w:rsid w:val="00A20D61"/>
    <w:rsid w:val="00A257D2"/>
    <w:rsid w:val="00A32BA5"/>
    <w:rsid w:val="00A339B3"/>
    <w:rsid w:val="00A461EC"/>
    <w:rsid w:val="00A462DC"/>
    <w:rsid w:val="00A55C3C"/>
    <w:rsid w:val="00A56E5A"/>
    <w:rsid w:val="00A86E2E"/>
    <w:rsid w:val="00AC6091"/>
    <w:rsid w:val="00AD08BE"/>
    <w:rsid w:val="00AD4250"/>
    <w:rsid w:val="00B11CFE"/>
    <w:rsid w:val="00B27B9D"/>
    <w:rsid w:val="00B43DB2"/>
    <w:rsid w:val="00B457B7"/>
    <w:rsid w:val="00B71C92"/>
    <w:rsid w:val="00B753D5"/>
    <w:rsid w:val="00B819A5"/>
    <w:rsid w:val="00B96701"/>
    <w:rsid w:val="00BA51BE"/>
    <w:rsid w:val="00BC1CCE"/>
    <w:rsid w:val="00BC3A66"/>
    <w:rsid w:val="00BE3C7C"/>
    <w:rsid w:val="00BF3BB4"/>
    <w:rsid w:val="00BF70FE"/>
    <w:rsid w:val="00C27553"/>
    <w:rsid w:val="00C424EF"/>
    <w:rsid w:val="00C6235A"/>
    <w:rsid w:val="00C84CCA"/>
    <w:rsid w:val="00C91823"/>
    <w:rsid w:val="00CB2102"/>
    <w:rsid w:val="00CB3800"/>
    <w:rsid w:val="00CC44E9"/>
    <w:rsid w:val="00CD3EF6"/>
    <w:rsid w:val="00CD490F"/>
    <w:rsid w:val="00CD5183"/>
    <w:rsid w:val="00D02991"/>
    <w:rsid w:val="00D16EBD"/>
    <w:rsid w:val="00D429BE"/>
    <w:rsid w:val="00D572B9"/>
    <w:rsid w:val="00D67062"/>
    <w:rsid w:val="00D8598F"/>
    <w:rsid w:val="00D9728A"/>
    <w:rsid w:val="00DF3864"/>
    <w:rsid w:val="00DF581E"/>
    <w:rsid w:val="00DF79B2"/>
    <w:rsid w:val="00E14982"/>
    <w:rsid w:val="00E20A29"/>
    <w:rsid w:val="00E26B5E"/>
    <w:rsid w:val="00E3135E"/>
    <w:rsid w:val="00E37F9E"/>
    <w:rsid w:val="00E60782"/>
    <w:rsid w:val="00E60990"/>
    <w:rsid w:val="00E6120F"/>
    <w:rsid w:val="00E64CFD"/>
    <w:rsid w:val="00E704E3"/>
    <w:rsid w:val="00E73FD3"/>
    <w:rsid w:val="00E92706"/>
    <w:rsid w:val="00E96682"/>
    <w:rsid w:val="00EB6A45"/>
    <w:rsid w:val="00ED3254"/>
    <w:rsid w:val="00ED48B5"/>
    <w:rsid w:val="00EF2CA0"/>
    <w:rsid w:val="00EF4362"/>
    <w:rsid w:val="00F02294"/>
    <w:rsid w:val="00F35E7F"/>
    <w:rsid w:val="00F60AEE"/>
    <w:rsid w:val="00F66C89"/>
    <w:rsid w:val="00F80BB7"/>
    <w:rsid w:val="00F91B9F"/>
    <w:rsid w:val="00F94262"/>
    <w:rsid w:val="00F965C4"/>
    <w:rsid w:val="00FB447B"/>
    <w:rsid w:val="00FB68F7"/>
    <w:rsid w:val="00FE2E90"/>
    <w:rsid w:val="00FE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4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a@press-n-relations.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.fieml@tkt-vivax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457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4</cp:revision>
  <cp:lastPrinted>2019-04-15T14:26:00Z</cp:lastPrinted>
  <dcterms:created xsi:type="dcterms:W3CDTF">2019-04-16T09:43:00Z</dcterms:created>
  <dcterms:modified xsi:type="dcterms:W3CDTF">2019-04-16T10:27:00Z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306931540</vt:i4>
  </property>
  <property fmtid="{D5CDD505-2E9C-101B-9397-08002B2CF9AE}" pid="3" name="_NewReviewCycle">
    <vt:lpwstr/>
  </property>
  <property fmtid="{D5CDD505-2E9C-101B-9397-08002B2CF9AE}" pid="4" name="_EmailSubject">
    <vt:lpwstr>Presseinfo STI Energiewirtschaft</vt:lpwstr>
  </property>
  <property fmtid="{D5CDD505-2E9C-101B-9397-08002B2CF9AE}" pid="5" name="_AuthorEmail">
    <vt:lpwstr>d.fieml@vivax-gmbh.net</vt:lpwstr>
  </property>
  <property fmtid="{D5CDD505-2E9C-101B-9397-08002B2CF9AE}" pid="6" name="_AuthorEmailDisplayName">
    <vt:lpwstr>Dirk Fieml</vt:lpwstr>
  </property>
</Properties>
</file>