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983BB" w14:textId="77777777" w:rsidR="00BA7304" w:rsidRDefault="00BA7304" w:rsidP="00BA7304">
      <w:pPr>
        <w:autoSpaceDE w:val="0"/>
        <w:autoSpaceDN w:val="0"/>
        <w:adjustRightInd w:val="0"/>
        <w:spacing w:after="0" w:line="240" w:lineRule="auto"/>
        <w:rPr>
          <w:rFonts w:ascii="Arial" w:hAnsi="Arial" w:cs="Arial"/>
          <w:b/>
          <w:color w:val="000000"/>
          <w:sz w:val="24"/>
          <w:szCs w:val="24"/>
        </w:rPr>
      </w:pPr>
    </w:p>
    <w:p w14:paraId="537F98B7" w14:textId="77777777" w:rsidR="00BA7304" w:rsidRPr="000655B7" w:rsidRDefault="00BA7304" w:rsidP="00BA7304">
      <w:pPr>
        <w:autoSpaceDE w:val="0"/>
        <w:autoSpaceDN w:val="0"/>
        <w:adjustRightInd w:val="0"/>
        <w:spacing w:after="0" w:line="240" w:lineRule="auto"/>
        <w:rPr>
          <w:rFonts w:ascii="Arial" w:hAnsi="Arial" w:cs="Arial"/>
          <w:b/>
          <w:color w:val="000000"/>
          <w:sz w:val="24"/>
          <w:szCs w:val="24"/>
        </w:rPr>
      </w:pPr>
    </w:p>
    <w:p w14:paraId="61128104" w14:textId="77777777" w:rsidR="00BA7304" w:rsidRPr="000655B7" w:rsidRDefault="00BA7304" w:rsidP="00BA7304">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1DEC5CCF" w14:textId="77777777" w:rsidR="00BA7304" w:rsidRDefault="00BA7304" w:rsidP="00BA7304">
      <w:pPr>
        <w:autoSpaceDE w:val="0"/>
        <w:autoSpaceDN w:val="0"/>
        <w:adjustRightInd w:val="0"/>
        <w:spacing w:after="0" w:line="240" w:lineRule="auto"/>
        <w:rPr>
          <w:rFonts w:ascii="Arial" w:hAnsi="Arial" w:cs="Arial"/>
          <w:color w:val="000000"/>
        </w:rPr>
      </w:pPr>
    </w:p>
    <w:p w14:paraId="0FB12953" w14:textId="2A5C2256" w:rsidR="00BA7304" w:rsidRPr="00C74157" w:rsidRDefault="00BA7304" w:rsidP="00BA7304">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BC4AC3">
        <w:rPr>
          <w:rFonts w:ascii="Arial" w:hAnsi="Arial" w:cs="Arial"/>
          <w:color w:val="000000"/>
        </w:rPr>
        <w:t>11</w:t>
      </w:r>
      <w:r w:rsidRPr="000655B7">
        <w:rPr>
          <w:rFonts w:ascii="Arial" w:hAnsi="Arial" w:cs="Arial"/>
          <w:color w:val="000000"/>
        </w:rPr>
        <w:t xml:space="preserve">. </w:t>
      </w:r>
      <w:r w:rsidR="00BC4AC3">
        <w:rPr>
          <w:rFonts w:ascii="Arial" w:hAnsi="Arial" w:cs="Arial"/>
          <w:color w:val="000000"/>
        </w:rPr>
        <w:t>August</w:t>
      </w:r>
      <w:r w:rsidRPr="00C74157">
        <w:rPr>
          <w:rFonts w:ascii="Arial" w:hAnsi="Arial" w:cs="Arial"/>
          <w:color w:val="000000"/>
        </w:rPr>
        <w:t xml:space="preserve"> 20</w:t>
      </w:r>
      <w:r>
        <w:rPr>
          <w:rFonts w:ascii="Arial" w:hAnsi="Arial" w:cs="Arial"/>
          <w:color w:val="000000"/>
        </w:rPr>
        <w:t>21</w:t>
      </w:r>
    </w:p>
    <w:p w14:paraId="1A8B0A81" w14:textId="77777777" w:rsidR="00BA7304" w:rsidRPr="00C74157" w:rsidRDefault="00BA7304" w:rsidP="00BA7304">
      <w:pPr>
        <w:autoSpaceDE w:val="0"/>
        <w:autoSpaceDN w:val="0"/>
        <w:adjustRightInd w:val="0"/>
        <w:spacing w:after="0" w:line="240" w:lineRule="auto"/>
        <w:rPr>
          <w:rFonts w:ascii="Arial" w:hAnsi="Arial" w:cs="Arial"/>
          <w:color w:val="000000"/>
          <w:sz w:val="24"/>
          <w:szCs w:val="24"/>
        </w:rPr>
      </w:pPr>
    </w:p>
    <w:p w14:paraId="631EB6ED" w14:textId="77777777" w:rsidR="00BA7304" w:rsidRPr="00C74157" w:rsidRDefault="00BA7304" w:rsidP="00BA7304">
      <w:pPr>
        <w:autoSpaceDE w:val="0"/>
        <w:autoSpaceDN w:val="0"/>
        <w:adjustRightInd w:val="0"/>
        <w:spacing w:after="0" w:line="360" w:lineRule="auto"/>
        <w:rPr>
          <w:rFonts w:ascii="Arial" w:hAnsi="Arial" w:cs="Arial"/>
          <w:color w:val="000000"/>
          <w:sz w:val="20"/>
          <w:szCs w:val="20"/>
        </w:rPr>
      </w:pPr>
    </w:p>
    <w:p w14:paraId="26B37DDF" w14:textId="130D51C9" w:rsidR="00E67610" w:rsidRPr="00BC4AC3" w:rsidRDefault="00E67610" w:rsidP="00E67610">
      <w:pPr>
        <w:autoSpaceDE w:val="0"/>
        <w:autoSpaceDN w:val="0"/>
        <w:adjustRightInd w:val="0"/>
        <w:spacing w:after="0" w:line="360" w:lineRule="auto"/>
        <w:ind w:right="-2410"/>
        <w:rPr>
          <w:rFonts w:ascii="Arial" w:hAnsi="Arial" w:cs="Arial"/>
          <w:b/>
          <w:bCs/>
          <w:color w:val="000000"/>
        </w:rPr>
      </w:pPr>
      <w:bookmarkStart w:id="0" w:name="OLE_LINK4"/>
      <w:bookmarkStart w:id="1" w:name="OLE_LINK5"/>
      <w:r w:rsidRPr="00BC4AC3">
        <w:rPr>
          <w:rFonts w:ascii="Arial" w:hAnsi="Arial" w:cs="Arial"/>
          <w:b/>
          <w:bCs/>
          <w:color w:val="000000"/>
        </w:rPr>
        <w:t>BDEW Kongress</w:t>
      </w:r>
      <w:r w:rsidR="00F17F2A" w:rsidRPr="00BC4AC3">
        <w:rPr>
          <w:rFonts w:ascii="Arial" w:hAnsi="Arial" w:cs="Arial"/>
          <w:b/>
          <w:bCs/>
          <w:color w:val="000000"/>
        </w:rPr>
        <w:t xml:space="preserve"> –</w:t>
      </w:r>
      <w:r w:rsidRPr="00BC4AC3">
        <w:rPr>
          <w:rFonts w:ascii="Arial" w:hAnsi="Arial" w:cs="Arial"/>
          <w:b/>
          <w:bCs/>
          <w:color w:val="000000"/>
        </w:rPr>
        <w:t xml:space="preserve"> 15. - 16. September 2021</w:t>
      </w:r>
      <w:r w:rsidR="00F17F2A" w:rsidRPr="00BC4AC3">
        <w:rPr>
          <w:rFonts w:ascii="Arial" w:hAnsi="Arial" w:cs="Arial"/>
          <w:b/>
          <w:bCs/>
          <w:color w:val="000000"/>
        </w:rPr>
        <w:t xml:space="preserve"> –</w:t>
      </w:r>
      <w:r w:rsidRPr="00BC4AC3">
        <w:rPr>
          <w:rFonts w:ascii="Arial" w:hAnsi="Arial" w:cs="Arial"/>
          <w:b/>
          <w:bCs/>
          <w:color w:val="000000"/>
        </w:rPr>
        <w:t xml:space="preserve"> ECC Berlin</w:t>
      </w:r>
    </w:p>
    <w:p w14:paraId="599B6FB2" w14:textId="77777777" w:rsidR="00E67610" w:rsidRPr="00BC4AC3" w:rsidRDefault="00E67610" w:rsidP="00E67610">
      <w:pPr>
        <w:autoSpaceDE w:val="0"/>
        <w:autoSpaceDN w:val="0"/>
        <w:adjustRightInd w:val="0"/>
        <w:spacing w:after="0" w:line="360" w:lineRule="auto"/>
        <w:ind w:right="-2410"/>
        <w:rPr>
          <w:rFonts w:ascii="Arial" w:hAnsi="Arial" w:cs="Arial"/>
          <w:b/>
          <w:bCs/>
          <w:color w:val="000000"/>
        </w:rPr>
      </w:pPr>
    </w:p>
    <w:p w14:paraId="5F5DB61E" w14:textId="77777777" w:rsidR="00E67610" w:rsidRPr="00E67610" w:rsidRDefault="00E67610" w:rsidP="00E67610">
      <w:pPr>
        <w:autoSpaceDE w:val="0"/>
        <w:autoSpaceDN w:val="0"/>
        <w:adjustRightInd w:val="0"/>
        <w:spacing w:after="0" w:line="360" w:lineRule="auto"/>
        <w:ind w:right="-1984"/>
        <w:rPr>
          <w:rFonts w:ascii="Arial" w:hAnsi="Arial" w:cs="Arial"/>
          <w:b/>
          <w:bCs/>
          <w:color w:val="000000"/>
          <w:sz w:val="28"/>
          <w:szCs w:val="28"/>
        </w:rPr>
      </w:pPr>
      <w:r w:rsidRPr="00E67610">
        <w:rPr>
          <w:rFonts w:ascii="Arial" w:hAnsi="Arial" w:cs="Arial"/>
          <w:b/>
          <w:bCs/>
          <w:color w:val="000000"/>
          <w:sz w:val="28"/>
          <w:szCs w:val="28"/>
        </w:rPr>
        <w:t>Wenn nicht wir, wer dann? Glasfaserausbau in Deutschland</w:t>
      </w:r>
    </w:p>
    <w:p w14:paraId="5EA4295D" w14:textId="6F75BB11" w:rsidR="00BA7304" w:rsidRPr="00E67610" w:rsidRDefault="00E67610" w:rsidP="00BA7304">
      <w:pPr>
        <w:autoSpaceDE w:val="0"/>
        <w:autoSpaceDN w:val="0"/>
        <w:adjustRightInd w:val="0"/>
        <w:spacing w:after="0" w:line="360" w:lineRule="auto"/>
        <w:ind w:right="-1984"/>
        <w:rPr>
          <w:rFonts w:ascii="Arial" w:hAnsi="Arial" w:cs="Tahoma"/>
          <w:b/>
          <w:sz w:val="20"/>
          <w:szCs w:val="20"/>
        </w:rPr>
      </w:pPr>
      <w:proofErr w:type="spellStart"/>
      <w:r w:rsidRPr="00E67610">
        <w:rPr>
          <w:rFonts w:ascii="Arial" w:hAnsi="Arial" w:cs="Tahoma"/>
          <w:b/>
          <w:sz w:val="20"/>
          <w:szCs w:val="20"/>
        </w:rPr>
        <w:t>tktVivax</w:t>
      </w:r>
      <w:proofErr w:type="spellEnd"/>
      <w:r w:rsidRPr="00E67610">
        <w:rPr>
          <w:rFonts w:ascii="Arial" w:hAnsi="Arial" w:cs="Tahoma"/>
          <w:b/>
          <w:sz w:val="20"/>
          <w:szCs w:val="20"/>
        </w:rPr>
        <w:t xml:space="preserve"> Group ist Themenpartner auf de</w:t>
      </w:r>
      <w:r>
        <w:rPr>
          <w:rFonts w:ascii="Arial" w:hAnsi="Arial" w:cs="Tahoma"/>
          <w:b/>
          <w:sz w:val="20"/>
          <w:szCs w:val="20"/>
        </w:rPr>
        <w:t>m BDEW-Kongress</w:t>
      </w:r>
    </w:p>
    <w:p w14:paraId="5AD3B6B7" w14:textId="77777777" w:rsidR="00BA7304" w:rsidRPr="00E67610" w:rsidRDefault="00BA7304" w:rsidP="00BA7304">
      <w:pPr>
        <w:autoSpaceDE w:val="0"/>
        <w:autoSpaceDN w:val="0"/>
        <w:adjustRightInd w:val="0"/>
        <w:spacing w:after="0" w:line="360" w:lineRule="auto"/>
        <w:ind w:right="-1984"/>
        <w:rPr>
          <w:rFonts w:ascii="Arial" w:hAnsi="Arial" w:cs="Tahoma"/>
          <w:b/>
          <w:sz w:val="20"/>
          <w:szCs w:val="20"/>
        </w:rPr>
      </w:pPr>
    </w:p>
    <w:p w14:paraId="0743B36E" w14:textId="62E0536F" w:rsidR="002B245C" w:rsidRDefault="00E67610" w:rsidP="00BA7304">
      <w:pPr>
        <w:spacing w:line="360" w:lineRule="auto"/>
        <w:rPr>
          <w:rFonts w:ascii="Arial" w:hAnsi="Arial" w:cs="Arial"/>
          <w:b/>
          <w:bCs/>
          <w:color w:val="000000"/>
          <w:sz w:val="20"/>
          <w:szCs w:val="20"/>
        </w:rPr>
      </w:pPr>
      <w:r>
        <w:rPr>
          <w:rFonts w:ascii="Arial" w:hAnsi="Arial" w:cs="Arial"/>
          <w:b/>
          <w:bCs/>
          <w:color w:val="000000"/>
          <w:sz w:val="20"/>
          <w:szCs w:val="20"/>
        </w:rPr>
        <w:t>Der Ausbau der Glasfasernetze in Deutschland birgt eine Vielzahl an Zukunftschancen für die Energie- und Versorgungswirtschaft. Die Smart Cities der Zukunft, die Sektorenkopplung oder das Stadtwerk als Digitalversorger</w:t>
      </w:r>
      <w:r w:rsidR="00F17F2A">
        <w:rPr>
          <w:rFonts w:ascii="Arial" w:hAnsi="Arial" w:cs="Arial"/>
          <w:b/>
          <w:bCs/>
          <w:color w:val="000000"/>
          <w:sz w:val="20"/>
          <w:szCs w:val="20"/>
        </w:rPr>
        <w:t xml:space="preserve"> mit ganz neuen Geschäftsmodellen</w:t>
      </w:r>
      <w:r>
        <w:rPr>
          <w:rFonts w:ascii="Arial" w:hAnsi="Arial" w:cs="Arial"/>
          <w:b/>
          <w:bCs/>
          <w:color w:val="000000"/>
          <w:sz w:val="20"/>
          <w:szCs w:val="20"/>
        </w:rPr>
        <w:t xml:space="preserve">: All dies funktioniert nicht ohne eine entsprechend ausgebaute Breitbandinfrastruktur. Wie der Ausbau der Glasfasernetze beschleunigt werden kann und welche Ausbaustrategien </w:t>
      </w:r>
      <w:r w:rsidR="00534D80">
        <w:rPr>
          <w:rFonts w:ascii="Arial" w:hAnsi="Arial" w:cs="Arial"/>
          <w:b/>
          <w:bCs/>
          <w:color w:val="000000"/>
          <w:sz w:val="20"/>
          <w:szCs w:val="20"/>
        </w:rPr>
        <w:t>infrage kommen, diskutieren Vertreter von Stadtwerken, TK-Unternehmen und Breitbandspezialisten am Donnerstag, den 16. September 2021 ab 14 Uhr, im Themenschwerpunkt „</w:t>
      </w:r>
      <w:r w:rsidR="00534D80" w:rsidRPr="00534D80">
        <w:rPr>
          <w:rFonts w:ascii="Arial" w:hAnsi="Arial" w:cs="Arial"/>
          <w:b/>
          <w:bCs/>
          <w:color w:val="000000"/>
          <w:sz w:val="20"/>
          <w:szCs w:val="20"/>
        </w:rPr>
        <w:t>Wenn nicht wir, wer dann? Glasfaserausbau in Deutschland</w:t>
      </w:r>
      <w:r w:rsidR="00534D80">
        <w:rPr>
          <w:rFonts w:ascii="Arial" w:hAnsi="Arial" w:cs="Arial"/>
          <w:b/>
          <w:bCs/>
          <w:color w:val="000000"/>
          <w:sz w:val="20"/>
          <w:szCs w:val="20"/>
        </w:rPr>
        <w:t xml:space="preserve">“ auf dem BDEW-Kongress in Berlin. „Die Förderstrategie des Bundes führt derzeit dazu, dass Mittel nicht abgerufen werden, weil vielerorts abgewartet wird, dass die Grenzen der ‚Graue Flecken-Förderung‘ bis 2023 stufenweise auf 200 </w:t>
      </w:r>
      <w:r w:rsidR="00BC4AC3">
        <w:rPr>
          <w:rFonts w:ascii="Arial" w:hAnsi="Arial" w:cs="Arial"/>
          <w:b/>
          <w:bCs/>
          <w:color w:val="000000"/>
          <w:sz w:val="20"/>
          <w:szCs w:val="20"/>
        </w:rPr>
        <w:t>Mb</w:t>
      </w:r>
      <w:r w:rsidR="00534D80">
        <w:rPr>
          <w:rFonts w:ascii="Arial" w:hAnsi="Arial" w:cs="Arial"/>
          <w:b/>
          <w:bCs/>
          <w:color w:val="000000"/>
          <w:sz w:val="20"/>
          <w:szCs w:val="20"/>
        </w:rPr>
        <w:t>it angehoben werden. Gleichzeitig werden die Chancen</w:t>
      </w:r>
      <w:r w:rsidR="002B245C">
        <w:rPr>
          <w:rFonts w:ascii="Arial" w:hAnsi="Arial" w:cs="Arial"/>
          <w:b/>
          <w:bCs/>
          <w:color w:val="000000"/>
          <w:sz w:val="20"/>
          <w:szCs w:val="20"/>
        </w:rPr>
        <w:t xml:space="preserve"> für</w:t>
      </w:r>
      <w:r w:rsidR="00534D80">
        <w:rPr>
          <w:rFonts w:ascii="Arial" w:hAnsi="Arial" w:cs="Arial"/>
          <w:b/>
          <w:bCs/>
          <w:color w:val="000000"/>
          <w:sz w:val="20"/>
          <w:szCs w:val="20"/>
        </w:rPr>
        <w:t xml:space="preserve"> de</w:t>
      </w:r>
      <w:r w:rsidR="002B245C">
        <w:rPr>
          <w:rFonts w:ascii="Arial" w:hAnsi="Arial" w:cs="Arial"/>
          <w:b/>
          <w:bCs/>
          <w:color w:val="000000"/>
          <w:sz w:val="20"/>
          <w:szCs w:val="20"/>
        </w:rPr>
        <w:t>n</w:t>
      </w:r>
      <w:r w:rsidR="00534D80">
        <w:rPr>
          <w:rFonts w:ascii="Arial" w:hAnsi="Arial" w:cs="Arial"/>
          <w:b/>
          <w:bCs/>
          <w:color w:val="000000"/>
          <w:sz w:val="20"/>
          <w:szCs w:val="20"/>
        </w:rPr>
        <w:t xml:space="preserve"> eigenwirtschaftliche</w:t>
      </w:r>
      <w:r w:rsidR="002B245C">
        <w:rPr>
          <w:rFonts w:ascii="Arial" w:hAnsi="Arial" w:cs="Arial"/>
          <w:b/>
          <w:bCs/>
          <w:color w:val="000000"/>
          <w:sz w:val="20"/>
          <w:szCs w:val="20"/>
        </w:rPr>
        <w:t>n</w:t>
      </w:r>
      <w:r w:rsidR="00534D80">
        <w:rPr>
          <w:rFonts w:ascii="Arial" w:hAnsi="Arial" w:cs="Arial"/>
          <w:b/>
          <w:bCs/>
          <w:color w:val="000000"/>
          <w:sz w:val="20"/>
          <w:szCs w:val="20"/>
        </w:rPr>
        <w:t xml:space="preserve"> Ausbau der Glasfasernetze viel zu selten </w:t>
      </w:r>
      <w:r w:rsidR="002B245C">
        <w:rPr>
          <w:rFonts w:ascii="Arial" w:hAnsi="Arial" w:cs="Arial"/>
          <w:b/>
          <w:bCs/>
          <w:color w:val="000000"/>
          <w:sz w:val="20"/>
          <w:szCs w:val="20"/>
        </w:rPr>
        <w:t>genutzt</w:t>
      </w:r>
      <w:r w:rsidR="00534D80">
        <w:rPr>
          <w:rFonts w:ascii="Arial" w:hAnsi="Arial" w:cs="Arial"/>
          <w:b/>
          <w:bCs/>
          <w:color w:val="000000"/>
          <w:sz w:val="20"/>
          <w:szCs w:val="20"/>
        </w:rPr>
        <w:t>, obwohl</w:t>
      </w:r>
      <w:r w:rsidR="002B245C">
        <w:rPr>
          <w:rFonts w:ascii="Arial" w:hAnsi="Arial" w:cs="Arial"/>
          <w:b/>
          <w:bCs/>
          <w:color w:val="000000"/>
          <w:sz w:val="20"/>
          <w:szCs w:val="20"/>
        </w:rPr>
        <w:t xml:space="preserve"> </w:t>
      </w:r>
      <w:r w:rsidR="007F0DE9">
        <w:rPr>
          <w:rFonts w:ascii="Arial" w:hAnsi="Arial" w:cs="Arial"/>
          <w:b/>
          <w:bCs/>
          <w:color w:val="000000"/>
          <w:sz w:val="20"/>
          <w:szCs w:val="20"/>
        </w:rPr>
        <w:t>das</w:t>
      </w:r>
      <w:r w:rsidR="002B245C">
        <w:rPr>
          <w:rFonts w:ascii="Arial" w:hAnsi="Arial" w:cs="Arial"/>
          <w:b/>
          <w:bCs/>
          <w:color w:val="000000"/>
          <w:sz w:val="20"/>
          <w:szCs w:val="20"/>
        </w:rPr>
        <w:t xml:space="preserve"> Milliarden an Steuergelder einsparen könnte, ohne den Ausbau zu bremsen“, fasst Dirk </w:t>
      </w:r>
      <w:proofErr w:type="spellStart"/>
      <w:r w:rsidR="002B245C">
        <w:rPr>
          <w:rFonts w:ascii="Arial" w:hAnsi="Arial" w:cs="Arial"/>
          <w:b/>
          <w:bCs/>
          <w:color w:val="000000"/>
          <w:sz w:val="20"/>
          <w:szCs w:val="20"/>
        </w:rPr>
        <w:t>Fieml</w:t>
      </w:r>
      <w:proofErr w:type="spellEnd"/>
      <w:r w:rsidR="002B245C">
        <w:rPr>
          <w:rFonts w:ascii="Arial" w:hAnsi="Arial" w:cs="Arial"/>
          <w:b/>
          <w:bCs/>
          <w:color w:val="000000"/>
          <w:sz w:val="20"/>
          <w:szCs w:val="20"/>
        </w:rPr>
        <w:t xml:space="preserve">, CEO der </w:t>
      </w:r>
      <w:proofErr w:type="spellStart"/>
      <w:r w:rsidR="002B245C">
        <w:rPr>
          <w:rFonts w:ascii="Arial" w:hAnsi="Arial" w:cs="Arial"/>
          <w:b/>
          <w:bCs/>
          <w:color w:val="000000"/>
          <w:sz w:val="20"/>
          <w:szCs w:val="20"/>
        </w:rPr>
        <w:t>tktVivax</w:t>
      </w:r>
      <w:proofErr w:type="spellEnd"/>
      <w:r w:rsidR="002B245C">
        <w:rPr>
          <w:rFonts w:ascii="Arial" w:hAnsi="Arial" w:cs="Arial"/>
          <w:b/>
          <w:bCs/>
          <w:color w:val="000000"/>
          <w:sz w:val="20"/>
          <w:szCs w:val="20"/>
        </w:rPr>
        <w:t xml:space="preserve"> Group das Spannungsfeld der Diskussion zusammen.</w:t>
      </w:r>
    </w:p>
    <w:p w14:paraId="4ECE7AA0" w14:textId="47237375" w:rsidR="00BA7304" w:rsidRDefault="002B245C" w:rsidP="00BA7304">
      <w:pPr>
        <w:spacing w:line="360" w:lineRule="auto"/>
        <w:rPr>
          <w:rFonts w:ascii="Arial" w:hAnsi="Arial" w:cs="Arial"/>
          <w:color w:val="000000"/>
          <w:sz w:val="20"/>
          <w:szCs w:val="20"/>
        </w:rPr>
      </w:pPr>
      <w:r>
        <w:rPr>
          <w:rFonts w:ascii="Arial" w:hAnsi="Arial" w:cs="Arial"/>
          <w:color w:val="000000"/>
          <w:sz w:val="20"/>
          <w:szCs w:val="20"/>
        </w:rPr>
        <w:t xml:space="preserve">Neben der Themenpartnerschaft ist die </w:t>
      </w:r>
      <w:proofErr w:type="spellStart"/>
      <w:r>
        <w:rPr>
          <w:rFonts w:ascii="Arial" w:hAnsi="Arial" w:cs="Arial"/>
          <w:color w:val="000000"/>
          <w:sz w:val="20"/>
          <w:szCs w:val="20"/>
        </w:rPr>
        <w:t>tktVivax</w:t>
      </w:r>
      <w:proofErr w:type="spellEnd"/>
      <w:r>
        <w:rPr>
          <w:rFonts w:ascii="Arial" w:hAnsi="Arial" w:cs="Arial"/>
          <w:color w:val="000000"/>
          <w:sz w:val="20"/>
          <w:szCs w:val="20"/>
        </w:rPr>
        <w:t xml:space="preserve"> Group auch als einer der größten Aussteller auf dem BDEW-Kongress präsent. Hier zeigen die Tochterunternehmen </w:t>
      </w:r>
      <w:proofErr w:type="spellStart"/>
      <w:r>
        <w:rPr>
          <w:rFonts w:ascii="Arial" w:hAnsi="Arial" w:cs="Arial"/>
          <w:color w:val="000000"/>
          <w:sz w:val="20"/>
          <w:szCs w:val="20"/>
        </w:rPr>
        <w:t>Vivax</w:t>
      </w:r>
      <w:proofErr w:type="spellEnd"/>
      <w:r>
        <w:rPr>
          <w:rFonts w:ascii="Arial" w:hAnsi="Arial" w:cs="Arial"/>
          <w:color w:val="000000"/>
          <w:sz w:val="20"/>
          <w:szCs w:val="20"/>
        </w:rPr>
        <w:t xml:space="preserve"> Consulting, </w:t>
      </w:r>
      <w:proofErr w:type="spellStart"/>
      <w:r>
        <w:rPr>
          <w:rFonts w:ascii="Arial" w:hAnsi="Arial" w:cs="Arial"/>
          <w:color w:val="000000"/>
          <w:sz w:val="20"/>
          <w:szCs w:val="20"/>
        </w:rPr>
        <w:t>Vivax</w:t>
      </w:r>
      <w:proofErr w:type="spellEnd"/>
      <w:r>
        <w:rPr>
          <w:rFonts w:ascii="Arial" w:hAnsi="Arial" w:cs="Arial"/>
          <w:color w:val="000000"/>
          <w:sz w:val="20"/>
          <w:szCs w:val="20"/>
        </w:rPr>
        <w:t xml:space="preserve"> Engineering und </w:t>
      </w:r>
      <w:proofErr w:type="spellStart"/>
      <w:r>
        <w:rPr>
          <w:rFonts w:ascii="Arial" w:hAnsi="Arial" w:cs="Arial"/>
          <w:color w:val="000000"/>
          <w:sz w:val="20"/>
          <w:szCs w:val="20"/>
        </w:rPr>
        <w:t>Vivax</w:t>
      </w:r>
      <w:proofErr w:type="spellEnd"/>
      <w:r>
        <w:rPr>
          <w:rFonts w:ascii="Arial" w:hAnsi="Arial" w:cs="Arial"/>
          <w:color w:val="000000"/>
          <w:sz w:val="20"/>
          <w:szCs w:val="20"/>
        </w:rPr>
        <w:t xml:space="preserve"> Net, wie sich Breitbandprojekte in allen Phasen von der Fördermittelberatung</w:t>
      </w:r>
      <w:r w:rsidR="00F17F2A">
        <w:rPr>
          <w:rFonts w:ascii="Arial" w:hAnsi="Arial" w:cs="Arial"/>
          <w:color w:val="000000"/>
          <w:sz w:val="20"/>
          <w:szCs w:val="20"/>
        </w:rPr>
        <w:t xml:space="preserve"> über die Umsetzung</w:t>
      </w:r>
      <w:r>
        <w:rPr>
          <w:rFonts w:ascii="Arial" w:hAnsi="Arial" w:cs="Arial"/>
          <w:color w:val="000000"/>
          <w:sz w:val="20"/>
          <w:szCs w:val="20"/>
        </w:rPr>
        <w:t xml:space="preserve"> bis zum Betrieb optimal umsetzen lassen. Im Fokus stehen aber auch die Softwarelösungen der </w:t>
      </w:r>
      <w:proofErr w:type="spellStart"/>
      <w:r>
        <w:rPr>
          <w:rFonts w:ascii="Arial" w:hAnsi="Arial" w:cs="Arial"/>
          <w:color w:val="000000"/>
          <w:sz w:val="20"/>
          <w:szCs w:val="20"/>
        </w:rPr>
        <w:t>Vivax</w:t>
      </w:r>
      <w:proofErr w:type="spellEnd"/>
      <w:r>
        <w:rPr>
          <w:rFonts w:ascii="Arial" w:hAnsi="Arial" w:cs="Arial"/>
          <w:color w:val="000000"/>
          <w:sz w:val="20"/>
          <w:szCs w:val="20"/>
        </w:rPr>
        <w:t xml:space="preserve"> Solution GmbH: Mit DICLINA bietet die </w:t>
      </w:r>
      <w:proofErr w:type="spellStart"/>
      <w:r>
        <w:rPr>
          <w:rFonts w:ascii="Arial" w:hAnsi="Arial" w:cs="Arial"/>
          <w:color w:val="000000"/>
          <w:sz w:val="20"/>
          <w:szCs w:val="20"/>
        </w:rPr>
        <w:t>tktVivax</w:t>
      </w:r>
      <w:proofErr w:type="spellEnd"/>
      <w:r>
        <w:rPr>
          <w:rFonts w:ascii="Arial" w:hAnsi="Arial" w:cs="Arial"/>
          <w:color w:val="000000"/>
          <w:sz w:val="20"/>
          <w:szCs w:val="20"/>
        </w:rPr>
        <w:t xml:space="preserve">-Tochter </w:t>
      </w:r>
      <w:r w:rsidRPr="002B245C">
        <w:rPr>
          <w:rFonts w:ascii="Arial" w:hAnsi="Arial" w:cs="Arial"/>
          <w:color w:val="000000"/>
          <w:sz w:val="20"/>
          <w:szCs w:val="20"/>
        </w:rPr>
        <w:t>ein speziell auf die Anforderungen des Breitbandgeschäfts ausgerichtetes Kunden</w:t>
      </w:r>
      <w:r>
        <w:rPr>
          <w:rFonts w:ascii="Arial" w:hAnsi="Arial" w:cs="Arial"/>
          <w:color w:val="000000"/>
          <w:sz w:val="20"/>
          <w:szCs w:val="20"/>
        </w:rPr>
        <w:t>- und Netz</w:t>
      </w:r>
      <w:r w:rsidRPr="002B245C">
        <w:rPr>
          <w:rFonts w:ascii="Arial" w:hAnsi="Arial" w:cs="Arial"/>
          <w:color w:val="000000"/>
          <w:sz w:val="20"/>
          <w:szCs w:val="20"/>
        </w:rPr>
        <w:t xml:space="preserve">management-System. Damit haben die Service-Mitarbeiter </w:t>
      </w:r>
      <w:r w:rsidRPr="002B245C">
        <w:rPr>
          <w:rFonts w:ascii="Arial" w:hAnsi="Arial" w:cs="Arial"/>
          <w:color w:val="000000"/>
          <w:sz w:val="20"/>
          <w:szCs w:val="20"/>
        </w:rPr>
        <w:lastRenderedPageBreak/>
        <w:t>nicht nur die Kunden, sondern auch alle IP-Adressen, Ressourcen, Standorte und die installierte Technik transparent im Blick. Über eine prozessorientierte Benutzerführung und die Möglichkeit, zahlreiche Konfigurationsschritte automatisiert abzuwickeln, kann mithilfe von DICLINA auch ein hohes Kundenaufkommen mit vergleichsweise wenigen Mitarbeiter bewältigt werden.</w:t>
      </w:r>
      <w:r>
        <w:rPr>
          <w:rFonts w:ascii="Arial" w:hAnsi="Arial" w:cs="Arial"/>
          <w:color w:val="000000"/>
          <w:sz w:val="20"/>
          <w:szCs w:val="20"/>
        </w:rPr>
        <w:t xml:space="preserve"> Den Ausbau selbst haben alle Beteiligten über das </w:t>
      </w:r>
      <w:proofErr w:type="spellStart"/>
      <w:r>
        <w:rPr>
          <w:rFonts w:ascii="Arial" w:hAnsi="Arial" w:cs="Arial"/>
          <w:color w:val="000000"/>
          <w:sz w:val="20"/>
          <w:szCs w:val="20"/>
        </w:rPr>
        <w:t>Vivax</w:t>
      </w:r>
      <w:proofErr w:type="spellEnd"/>
      <w:r>
        <w:rPr>
          <w:rFonts w:ascii="Arial" w:hAnsi="Arial" w:cs="Arial"/>
          <w:color w:val="000000"/>
          <w:sz w:val="20"/>
          <w:szCs w:val="20"/>
        </w:rPr>
        <w:t xml:space="preserve"> Breitband-Cockpit immer aktuell im Blick. </w:t>
      </w:r>
      <w:r w:rsidRPr="002B245C">
        <w:rPr>
          <w:rFonts w:ascii="Arial" w:hAnsi="Arial" w:cs="Arial"/>
          <w:color w:val="000000"/>
          <w:sz w:val="20"/>
          <w:szCs w:val="20"/>
        </w:rPr>
        <w:t>Das browserbasierte System zeigt dann den aktuellen Status in einer interaktiven Kartenansicht an. Über differenzierte Suchmöglichkeiten und farbige Darstellungen unterschiedlicher Status können Problem- und Potentialzonen schnell erkannt und entsprechende Maßnahmen eingeleitet werden.</w:t>
      </w:r>
    </w:p>
    <w:p w14:paraId="62431B2C" w14:textId="695AC4BB" w:rsidR="00BA7304" w:rsidRDefault="00AC3868" w:rsidP="00BA7304">
      <w:pPr>
        <w:spacing w:line="360" w:lineRule="auto"/>
        <w:rPr>
          <w:rFonts w:ascii="Arial" w:hAnsi="Arial" w:cs="Arial"/>
          <w:color w:val="000000"/>
          <w:sz w:val="20"/>
          <w:szCs w:val="20"/>
        </w:rPr>
      </w:pPr>
      <w:r w:rsidRPr="00AC3868">
        <w:rPr>
          <w:rFonts w:ascii="Arial" w:hAnsi="Arial" w:cs="Arial"/>
          <w:b/>
          <w:bCs/>
          <w:color w:val="000000"/>
          <w:sz w:val="20"/>
          <w:szCs w:val="20"/>
        </w:rPr>
        <w:t>Auch die Prozesse für Digitalisierung optimieren</w:t>
      </w:r>
      <w:r>
        <w:rPr>
          <w:rFonts w:ascii="Arial" w:hAnsi="Arial" w:cs="Arial"/>
          <w:b/>
          <w:bCs/>
          <w:color w:val="000000"/>
          <w:sz w:val="20"/>
          <w:szCs w:val="20"/>
        </w:rPr>
        <w:br/>
      </w:r>
      <w:r w:rsidR="00F17F2A">
        <w:rPr>
          <w:rFonts w:ascii="Arial" w:hAnsi="Arial" w:cs="Arial"/>
          <w:color w:val="000000"/>
          <w:sz w:val="20"/>
          <w:szCs w:val="20"/>
        </w:rPr>
        <w:t xml:space="preserve">Wer seine Prozesse optimieren will, muss sie zuerst einmal kennen. </w:t>
      </w:r>
      <w:r w:rsidR="00F17F2A" w:rsidRPr="00F17F2A">
        <w:rPr>
          <w:rFonts w:ascii="Arial" w:hAnsi="Arial" w:cs="Arial"/>
          <w:color w:val="000000"/>
          <w:sz w:val="20"/>
          <w:szCs w:val="20"/>
        </w:rPr>
        <w:t xml:space="preserve">Mit </w:t>
      </w:r>
      <w:proofErr w:type="spellStart"/>
      <w:r w:rsidR="00F17F2A" w:rsidRPr="00F17F2A">
        <w:rPr>
          <w:rFonts w:ascii="Arial" w:hAnsi="Arial" w:cs="Arial"/>
          <w:color w:val="000000"/>
          <w:sz w:val="20"/>
          <w:szCs w:val="20"/>
        </w:rPr>
        <w:t>Vivax</w:t>
      </w:r>
      <w:proofErr w:type="spellEnd"/>
      <w:r w:rsidR="00F17F2A" w:rsidRPr="00F17F2A">
        <w:rPr>
          <w:rFonts w:ascii="Arial" w:hAnsi="Arial" w:cs="Arial"/>
          <w:color w:val="000000"/>
          <w:sz w:val="20"/>
          <w:szCs w:val="20"/>
        </w:rPr>
        <w:t xml:space="preserve"> Analytics </w:t>
      </w:r>
      <w:proofErr w:type="spellStart"/>
      <w:r w:rsidR="00F17F2A" w:rsidRPr="00F17F2A">
        <w:rPr>
          <w:rFonts w:ascii="Arial" w:hAnsi="Arial" w:cs="Arial"/>
          <w:color w:val="000000"/>
          <w:sz w:val="20"/>
          <w:szCs w:val="20"/>
        </w:rPr>
        <w:t>ProCo</w:t>
      </w:r>
      <w:proofErr w:type="spellEnd"/>
      <w:r w:rsidR="00F17F2A" w:rsidRPr="00F17F2A">
        <w:rPr>
          <w:rFonts w:ascii="Arial" w:hAnsi="Arial" w:cs="Arial"/>
          <w:color w:val="000000"/>
          <w:sz w:val="20"/>
          <w:szCs w:val="20"/>
        </w:rPr>
        <w:t xml:space="preserve"> </w:t>
      </w:r>
      <w:r w:rsidR="00F17F2A">
        <w:rPr>
          <w:rFonts w:ascii="Arial" w:hAnsi="Arial" w:cs="Arial"/>
          <w:color w:val="000000"/>
          <w:sz w:val="20"/>
          <w:szCs w:val="20"/>
        </w:rPr>
        <w:t xml:space="preserve">zeigt </w:t>
      </w:r>
      <w:proofErr w:type="spellStart"/>
      <w:r w:rsidR="00F17F2A">
        <w:rPr>
          <w:rFonts w:ascii="Arial" w:hAnsi="Arial" w:cs="Arial"/>
          <w:color w:val="000000"/>
          <w:sz w:val="20"/>
          <w:szCs w:val="20"/>
        </w:rPr>
        <w:t>Vivax</w:t>
      </w:r>
      <w:proofErr w:type="spellEnd"/>
      <w:r w:rsidR="00F17F2A">
        <w:rPr>
          <w:rFonts w:ascii="Arial" w:hAnsi="Arial" w:cs="Arial"/>
          <w:color w:val="000000"/>
          <w:sz w:val="20"/>
          <w:szCs w:val="20"/>
        </w:rPr>
        <w:t xml:space="preserve"> Solution</w:t>
      </w:r>
      <w:r w:rsidR="00F17F2A" w:rsidRPr="00F17F2A">
        <w:rPr>
          <w:rFonts w:ascii="Arial" w:hAnsi="Arial" w:cs="Arial"/>
          <w:color w:val="000000"/>
          <w:sz w:val="20"/>
          <w:szCs w:val="20"/>
        </w:rPr>
        <w:t xml:space="preserve">, </w:t>
      </w:r>
      <w:r w:rsidR="00F17F2A">
        <w:rPr>
          <w:rFonts w:ascii="Arial" w:hAnsi="Arial" w:cs="Arial"/>
          <w:color w:val="000000"/>
          <w:sz w:val="20"/>
          <w:szCs w:val="20"/>
        </w:rPr>
        <w:t xml:space="preserve">wie </w:t>
      </w:r>
      <w:r w:rsidR="00F17F2A" w:rsidRPr="00F17F2A">
        <w:rPr>
          <w:rFonts w:ascii="Arial" w:hAnsi="Arial" w:cs="Arial"/>
          <w:color w:val="000000"/>
          <w:sz w:val="20"/>
          <w:szCs w:val="20"/>
        </w:rPr>
        <w:t>sämtliche Unternehmensprozesse in Versorgungsunternehmen aus Organisations-, Kosten- und Kapazitätssicht zu bewerte</w:t>
      </w:r>
      <w:r w:rsidR="00F17F2A">
        <w:rPr>
          <w:rFonts w:ascii="Arial" w:hAnsi="Arial" w:cs="Arial"/>
          <w:color w:val="000000"/>
          <w:sz w:val="20"/>
          <w:szCs w:val="20"/>
        </w:rPr>
        <w:t>t werden können.</w:t>
      </w:r>
      <w:r w:rsidR="00F17F2A" w:rsidRPr="00F17F2A">
        <w:rPr>
          <w:rFonts w:ascii="Arial" w:hAnsi="Arial" w:cs="Arial"/>
          <w:color w:val="000000"/>
          <w:sz w:val="20"/>
          <w:szCs w:val="20"/>
        </w:rPr>
        <w:t xml:space="preserve"> </w:t>
      </w:r>
      <w:r w:rsidR="00F17F2A">
        <w:rPr>
          <w:rFonts w:ascii="Arial" w:hAnsi="Arial" w:cs="Arial"/>
          <w:color w:val="000000"/>
          <w:sz w:val="20"/>
          <w:szCs w:val="20"/>
        </w:rPr>
        <w:t>G</w:t>
      </w:r>
      <w:r w:rsidR="00F17F2A" w:rsidRPr="00F17F2A">
        <w:rPr>
          <w:rFonts w:ascii="Arial" w:hAnsi="Arial" w:cs="Arial"/>
          <w:color w:val="000000"/>
          <w:sz w:val="20"/>
          <w:szCs w:val="20"/>
        </w:rPr>
        <w:t>leichzeitig</w:t>
      </w:r>
      <w:r w:rsidR="00F17F2A">
        <w:rPr>
          <w:rFonts w:ascii="Arial" w:hAnsi="Arial" w:cs="Arial"/>
          <w:color w:val="000000"/>
          <w:sz w:val="20"/>
          <w:szCs w:val="20"/>
        </w:rPr>
        <w:t xml:space="preserve"> entsteht </w:t>
      </w:r>
      <w:r w:rsidR="00F17F2A" w:rsidRPr="00F17F2A">
        <w:rPr>
          <w:rFonts w:ascii="Arial" w:hAnsi="Arial" w:cs="Arial"/>
          <w:color w:val="000000"/>
          <w:sz w:val="20"/>
          <w:szCs w:val="20"/>
        </w:rPr>
        <w:t xml:space="preserve">eine Übersicht über </w:t>
      </w:r>
      <w:r w:rsidR="007F0DE9">
        <w:rPr>
          <w:rFonts w:ascii="Arial" w:hAnsi="Arial" w:cs="Arial"/>
          <w:color w:val="000000"/>
          <w:sz w:val="20"/>
          <w:szCs w:val="20"/>
        </w:rPr>
        <w:t xml:space="preserve">die </w:t>
      </w:r>
      <w:r w:rsidR="00F17F2A" w:rsidRPr="00F17F2A">
        <w:rPr>
          <w:rFonts w:ascii="Arial" w:hAnsi="Arial" w:cs="Arial"/>
          <w:color w:val="000000"/>
          <w:sz w:val="20"/>
          <w:szCs w:val="20"/>
        </w:rPr>
        <w:t>für die jeweiligen Tätigkeiten verwendeten IT-Werkzeuge. Die Grundlage dafür ist ein Prozessmodell, in dem bereits rund 600 versorgungstypische Geschäftsprozesse mit fast 7.000 zugeordneten Tätigkeiten in 170 Kategorien je Sparte und Bereich hinterlegt sind. Dazu gehören Strom, Gas, Wasser, Abwasser, Freizeiteinrichtungen, Telekommunikation, Parkierung, Photovoltaik, Straßenbeleuchtung, Wärme, ÖPNV und Dienstleistungen.</w:t>
      </w:r>
    </w:p>
    <w:p w14:paraId="3D3A2E81" w14:textId="77777777" w:rsidR="00F17F2A" w:rsidRPr="00F17F2A" w:rsidRDefault="00F17F2A" w:rsidP="00BA7304">
      <w:pPr>
        <w:spacing w:line="360" w:lineRule="auto"/>
        <w:rPr>
          <w:rFonts w:ascii="Arial" w:hAnsi="Arial" w:cs="Arial"/>
          <w:b/>
          <w:bCs/>
          <w:color w:val="000000"/>
          <w:sz w:val="20"/>
          <w:szCs w:val="20"/>
        </w:rPr>
      </w:pPr>
    </w:p>
    <w:tbl>
      <w:tblPr>
        <w:tblW w:w="9781" w:type="dxa"/>
        <w:tblLook w:val="04A0" w:firstRow="1" w:lastRow="0" w:firstColumn="1" w:lastColumn="0" w:noHBand="0" w:noVBand="1"/>
      </w:tblPr>
      <w:tblGrid>
        <w:gridCol w:w="4962"/>
        <w:gridCol w:w="4819"/>
      </w:tblGrid>
      <w:tr w:rsidR="00BA7304" w:rsidRPr="000655B7" w14:paraId="05538938" w14:textId="77777777" w:rsidTr="00346A8E">
        <w:tc>
          <w:tcPr>
            <w:tcW w:w="4962" w:type="dxa"/>
            <w:shd w:val="clear" w:color="auto" w:fill="auto"/>
          </w:tcPr>
          <w:p w14:paraId="43765906" w14:textId="77777777" w:rsidR="00BA7304" w:rsidRDefault="00BA7304" w:rsidP="00346A8E">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0655B7">
              <w:rPr>
                <w:rFonts w:ascii="Arial" w:hAnsi="Arial" w:cs="Calibri"/>
                <w:b/>
                <w:sz w:val="16"/>
                <w:szCs w:val="26"/>
                <w:lang w:eastAsia="de-DE"/>
              </w:rPr>
              <w:t>Kontaktdaten:</w:t>
            </w:r>
            <w:r>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Fieml</w:t>
            </w:r>
            <w:r w:rsidRPr="000655B7">
              <w:rPr>
                <w:rFonts w:ascii="Arial" w:hAnsi="Arial" w:cs="Calibri"/>
                <w:sz w:val="16"/>
                <w:szCs w:val="26"/>
                <w:lang w:eastAsia="de-DE"/>
              </w:rPr>
              <w:br/>
            </w:r>
            <w:r w:rsidRPr="007B0E5E">
              <w:rPr>
                <w:rFonts w:ascii="Arial" w:hAnsi="Arial" w:cs="Calibri"/>
                <w:sz w:val="16"/>
                <w:szCs w:val="26"/>
                <w:lang w:eastAsia="de-DE"/>
              </w:rPr>
              <w:t>Drakestraße 24 </w:t>
            </w:r>
            <w:r>
              <w:rPr>
                <w:rFonts w:ascii="Arial" w:hAnsi="Arial" w:cs="Calibri"/>
                <w:sz w:val="16"/>
                <w:szCs w:val="26"/>
                <w:lang w:eastAsia="de-DE"/>
              </w:rPr>
              <w:t>–</w:t>
            </w:r>
            <w:r w:rsidRPr="007B0E5E">
              <w:rPr>
                <w:rFonts w:ascii="Arial" w:hAnsi="Arial" w:cs="Calibri"/>
                <w:sz w:val="16"/>
                <w:szCs w:val="26"/>
                <w:lang w:eastAsia="de-DE"/>
              </w:rPr>
              <w:t> 12205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2E42268E" w14:textId="53D4F703" w:rsidR="00BA7304" w:rsidRPr="004E3948" w:rsidRDefault="00BA7304" w:rsidP="00346A8E">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3ACDD43A" w14:textId="77777777" w:rsidR="00BA7304" w:rsidRPr="000655B7" w:rsidRDefault="00BA7304" w:rsidP="00346A8E">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70C3DC24" w14:textId="1D92533A" w:rsidR="00BA7304" w:rsidRPr="00C82FEA" w:rsidRDefault="00BA7304" w:rsidP="00BA7304">
      <w:pPr>
        <w:widowControl w:val="0"/>
        <w:autoSpaceDE w:val="0"/>
        <w:autoSpaceDN w:val="0"/>
        <w:adjustRightInd w:val="0"/>
        <w:spacing w:line="240" w:lineRule="auto"/>
        <w:ind w:left="34" w:right="-1134"/>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tktVivax </w:t>
      </w:r>
      <w:r w:rsidRPr="000655B7">
        <w:rPr>
          <w:rFonts w:ascii="Arial" w:hAnsi="Arial" w:cs="Calibri"/>
          <w:sz w:val="16"/>
          <w:szCs w:val="26"/>
          <w:lang w:eastAsia="de-DE"/>
        </w:rPr>
        <w:t xml:space="preserve">GmbH mit Sitz in </w:t>
      </w:r>
      <w:r>
        <w:rPr>
          <w:rFonts w:ascii="Arial" w:hAnsi="Arial" w:cs="Calibri"/>
          <w:sz w:val="16"/>
          <w:szCs w:val="26"/>
          <w:lang w:eastAsia="de-DE"/>
        </w:rPr>
        <w:t xml:space="preserve">Berlin und Niederlassungen in Stuttgart (Backnang), Köln und Hamburg unterstützt ihre Kunden im </w:t>
      </w:r>
      <w:r w:rsidRPr="007749DD">
        <w:rPr>
          <w:rFonts w:ascii="Arial" w:hAnsi="Arial" w:cs="Calibri"/>
          <w:sz w:val="16"/>
          <w:szCs w:val="26"/>
          <w:lang w:eastAsia="de-DE"/>
        </w:rPr>
        <w:t xml:space="preserve">Bereich zukunftsorientierter Telekommunikationstechnologien </w:t>
      </w:r>
      <w:r>
        <w:rPr>
          <w:rFonts w:ascii="Arial" w:hAnsi="Arial" w:cs="Calibri"/>
          <w:sz w:val="16"/>
          <w:szCs w:val="26"/>
          <w:lang w:eastAsia="de-DE"/>
        </w:rPr>
        <w:t>sowie mit</w:t>
      </w:r>
      <w:r w:rsidRPr="007749DD">
        <w:rPr>
          <w:rFonts w:ascii="Arial" w:hAnsi="Arial" w:cs="Calibri"/>
          <w:sz w:val="16"/>
          <w:szCs w:val="26"/>
          <w:lang w:eastAsia="de-DE"/>
        </w:rPr>
        <w:t xml:space="preserve"> Organisations-, Prozess- und Digi</w:t>
      </w:r>
      <w:r>
        <w:rPr>
          <w:rFonts w:ascii="Arial" w:hAnsi="Arial" w:cs="Calibri"/>
          <w:sz w:val="16"/>
          <w:szCs w:val="26"/>
          <w:lang w:eastAsia="de-DE"/>
        </w:rPr>
        <w:t>t</w:t>
      </w:r>
      <w:r w:rsidRPr="007749DD">
        <w:rPr>
          <w:rFonts w:ascii="Arial" w:hAnsi="Arial" w:cs="Calibri"/>
          <w:sz w:val="16"/>
          <w:szCs w:val="26"/>
          <w:lang w:eastAsia="de-DE"/>
        </w:rPr>
        <w:t>alisierungsberatung in der kommunalen Versorgungswirtschaft.</w:t>
      </w:r>
      <w:r>
        <w:rPr>
          <w:rFonts w:ascii="Arial" w:hAnsi="Arial" w:cs="Calibri"/>
          <w:sz w:val="16"/>
          <w:szCs w:val="26"/>
          <w:lang w:eastAsia="de-DE"/>
        </w:rPr>
        <w:t xml:space="preserve"> Mit rund 50 Mitarbeitern deckt </w:t>
      </w:r>
      <w:r w:rsidR="00BC4AC3">
        <w:rPr>
          <w:rFonts w:ascii="Arial" w:hAnsi="Arial" w:cs="Calibri"/>
          <w:sz w:val="16"/>
          <w:szCs w:val="26"/>
          <w:lang w:eastAsia="de-DE"/>
        </w:rPr>
        <w:t>die Unternehmensgruppe</w:t>
      </w:r>
      <w:r>
        <w:rPr>
          <w:rFonts w:ascii="Arial" w:hAnsi="Arial" w:cs="Calibri"/>
          <w:sz w:val="16"/>
          <w:szCs w:val="26"/>
          <w:lang w:eastAsia="de-DE"/>
        </w:rPr>
        <w:t xml:space="preserve">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Zielgruppe sind sowohl Stadtwerke als auch Kommunalverwaltungen.</w:t>
      </w:r>
    </w:p>
    <w:bookmarkEnd w:id="0"/>
    <w:bookmarkEnd w:id="1"/>
    <w:p w14:paraId="24E15720" w14:textId="77777777" w:rsidR="00BA7304" w:rsidRPr="006D6479" w:rsidRDefault="00BA7304" w:rsidP="00BA7304"/>
    <w:p w14:paraId="2E55E5C6" w14:textId="7E857728" w:rsidR="007749DD" w:rsidRPr="00BA7304" w:rsidRDefault="007749DD" w:rsidP="00BA7304"/>
    <w:sectPr w:rsidR="007749DD" w:rsidRPr="00BA7304"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305E6E" w14:textId="77777777" w:rsidR="00C17172" w:rsidRDefault="00C17172" w:rsidP="00BF70FE">
      <w:pPr>
        <w:spacing w:after="0" w:line="240" w:lineRule="auto"/>
      </w:pPr>
      <w:r>
        <w:separator/>
      </w:r>
    </w:p>
  </w:endnote>
  <w:endnote w:type="continuationSeparator" w:id="0">
    <w:p w14:paraId="1BF6C2FA" w14:textId="77777777" w:rsidR="00C17172" w:rsidRDefault="00C17172"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016293" w14:textId="77777777" w:rsidR="00C17172" w:rsidRDefault="00C17172" w:rsidP="00BF70FE">
      <w:pPr>
        <w:spacing w:after="0" w:line="240" w:lineRule="auto"/>
      </w:pPr>
      <w:r>
        <w:separator/>
      </w:r>
    </w:p>
  </w:footnote>
  <w:footnote w:type="continuationSeparator" w:id="0">
    <w:p w14:paraId="2BB99B9B" w14:textId="77777777" w:rsidR="00C17172" w:rsidRDefault="00C17172"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740B276D" w:rsidR="00B96701" w:rsidRDefault="00AE0EC0" w:rsidP="00AE0EC0">
    <w:pPr>
      <w:pStyle w:val="Kopfzeile"/>
      <w:ind w:right="-2268"/>
    </w:pPr>
    <w:r>
      <w:rPr>
        <w:noProof/>
        <w:lang w:eastAsia="de-DE"/>
      </w:rPr>
      <w:tab/>
    </w:r>
    <w:r>
      <w:rPr>
        <w:noProof/>
        <w:lang w:eastAsia="de-DE"/>
      </w:rPr>
      <w:tab/>
    </w:r>
    <w:r w:rsidR="00E478B7">
      <w:rPr>
        <w:noProof/>
        <w:lang w:eastAsia="de-DE"/>
      </w:rPr>
      <w:drawing>
        <wp:inline distT="0" distB="0" distL="0" distR="0" wp14:anchorId="4445E150" wp14:editId="47E183F1">
          <wp:extent cx="1758237" cy="433606"/>
          <wp:effectExtent l="0" t="0" r="0" b="508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1276C"/>
    <w:rsid w:val="00026CFD"/>
    <w:rsid w:val="00037481"/>
    <w:rsid w:val="00037B8A"/>
    <w:rsid w:val="00041A6A"/>
    <w:rsid w:val="00044557"/>
    <w:rsid w:val="000541F5"/>
    <w:rsid w:val="00054244"/>
    <w:rsid w:val="0006200B"/>
    <w:rsid w:val="00065270"/>
    <w:rsid w:val="000655B7"/>
    <w:rsid w:val="0006582C"/>
    <w:rsid w:val="00065961"/>
    <w:rsid w:val="000678EA"/>
    <w:rsid w:val="0006791F"/>
    <w:rsid w:val="0007688A"/>
    <w:rsid w:val="00076CE4"/>
    <w:rsid w:val="000823CF"/>
    <w:rsid w:val="0008686C"/>
    <w:rsid w:val="00091E09"/>
    <w:rsid w:val="0009573A"/>
    <w:rsid w:val="000A0F03"/>
    <w:rsid w:val="000A1C71"/>
    <w:rsid w:val="000A1E6B"/>
    <w:rsid w:val="000A4C5E"/>
    <w:rsid w:val="000A4C93"/>
    <w:rsid w:val="000C2AF9"/>
    <w:rsid w:val="000C46B3"/>
    <w:rsid w:val="000C4746"/>
    <w:rsid w:val="000D4DE3"/>
    <w:rsid w:val="000E087D"/>
    <w:rsid w:val="000E11A2"/>
    <w:rsid w:val="000E7CE7"/>
    <w:rsid w:val="000F2111"/>
    <w:rsid w:val="000F4F9D"/>
    <w:rsid w:val="00101591"/>
    <w:rsid w:val="0010198B"/>
    <w:rsid w:val="00104674"/>
    <w:rsid w:val="00104719"/>
    <w:rsid w:val="00106821"/>
    <w:rsid w:val="00131142"/>
    <w:rsid w:val="0013234F"/>
    <w:rsid w:val="00132DC4"/>
    <w:rsid w:val="00135237"/>
    <w:rsid w:val="00143BC5"/>
    <w:rsid w:val="00157861"/>
    <w:rsid w:val="001700C4"/>
    <w:rsid w:val="00181FBB"/>
    <w:rsid w:val="00187FC7"/>
    <w:rsid w:val="001A14A1"/>
    <w:rsid w:val="001A220F"/>
    <w:rsid w:val="001B01DF"/>
    <w:rsid w:val="001C51EC"/>
    <w:rsid w:val="001C7838"/>
    <w:rsid w:val="001D2FB7"/>
    <w:rsid w:val="001E3CB7"/>
    <w:rsid w:val="001E6755"/>
    <w:rsid w:val="001E6F47"/>
    <w:rsid w:val="001F293E"/>
    <w:rsid w:val="0020049A"/>
    <w:rsid w:val="00205941"/>
    <w:rsid w:val="00207A9F"/>
    <w:rsid w:val="00211928"/>
    <w:rsid w:val="00213AF7"/>
    <w:rsid w:val="00221777"/>
    <w:rsid w:val="00233C8C"/>
    <w:rsid w:val="00235F66"/>
    <w:rsid w:val="00236787"/>
    <w:rsid w:val="00237217"/>
    <w:rsid w:val="00244E90"/>
    <w:rsid w:val="00255BB8"/>
    <w:rsid w:val="00262A08"/>
    <w:rsid w:val="00265589"/>
    <w:rsid w:val="002745F8"/>
    <w:rsid w:val="002757A3"/>
    <w:rsid w:val="0028558F"/>
    <w:rsid w:val="002A7D5D"/>
    <w:rsid w:val="002A7E29"/>
    <w:rsid w:val="002B245C"/>
    <w:rsid w:val="002B36BE"/>
    <w:rsid w:val="002B3E9E"/>
    <w:rsid w:val="002D5B66"/>
    <w:rsid w:val="002D6045"/>
    <w:rsid w:val="002E0481"/>
    <w:rsid w:val="002E1504"/>
    <w:rsid w:val="002E33BB"/>
    <w:rsid w:val="002E6EA0"/>
    <w:rsid w:val="002F1BFF"/>
    <w:rsid w:val="0030091A"/>
    <w:rsid w:val="00304113"/>
    <w:rsid w:val="00314048"/>
    <w:rsid w:val="00315669"/>
    <w:rsid w:val="003228B7"/>
    <w:rsid w:val="003274D8"/>
    <w:rsid w:val="00341A34"/>
    <w:rsid w:val="0035048A"/>
    <w:rsid w:val="0035256E"/>
    <w:rsid w:val="00362AE7"/>
    <w:rsid w:val="00394D5C"/>
    <w:rsid w:val="003953CA"/>
    <w:rsid w:val="003A3B30"/>
    <w:rsid w:val="003A43CA"/>
    <w:rsid w:val="003A6602"/>
    <w:rsid w:val="003B1A9C"/>
    <w:rsid w:val="003B4407"/>
    <w:rsid w:val="003B6004"/>
    <w:rsid w:val="003B69BD"/>
    <w:rsid w:val="003C0B6F"/>
    <w:rsid w:val="003C475B"/>
    <w:rsid w:val="003D63AC"/>
    <w:rsid w:val="003D642E"/>
    <w:rsid w:val="003D7AC5"/>
    <w:rsid w:val="003E1E07"/>
    <w:rsid w:val="003F5618"/>
    <w:rsid w:val="00402F7C"/>
    <w:rsid w:val="00406C69"/>
    <w:rsid w:val="00406EFB"/>
    <w:rsid w:val="004112BE"/>
    <w:rsid w:val="004137FD"/>
    <w:rsid w:val="00415B45"/>
    <w:rsid w:val="00427AD2"/>
    <w:rsid w:val="004306B3"/>
    <w:rsid w:val="004422BD"/>
    <w:rsid w:val="004467C0"/>
    <w:rsid w:val="004540FC"/>
    <w:rsid w:val="00454989"/>
    <w:rsid w:val="004638B5"/>
    <w:rsid w:val="00463FE6"/>
    <w:rsid w:val="00465527"/>
    <w:rsid w:val="00465CBB"/>
    <w:rsid w:val="004713E0"/>
    <w:rsid w:val="004731DE"/>
    <w:rsid w:val="004810F6"/>
    <w:rsid w:val="00485A86"/>
    <w:rsid w:val="0049799F"/>
    <w:rsid w:val="00497AEF"/>
    <w:rsid w:val="004A425F"/>
    <w:rsid w:val="004B0D7E"/>
    <w:rsid w:val="004D73D6"/>
    <w:rsid w:val="004E2673"/>
    <w:rsid w:val="004E3948"/>
    <w:rsid w:val="004E3F39"/>
    <w:rsid w:val="004E5B2F"/>
    <w:rsid w:val="004F09E6"/>
    <w:rsid w:val="004F25A7"/>
    <w:rsid w:val="004F5892"/>
    <w:rsid w:val="005048EC"/>
    <w:rsid w:val="005071AD"/>
    <w:rsid w:val="00521E6A"/>
    <w:rsid w:val="005322F6"/>
    <w:rsid w:val="00532602"/>
    <w:rsid w:val="00532783"/>
    <w:rsid w:val="0053379A"/>
    <w:rsid w:val="00534D80"/>
    <w:rsid w:val="005424FE"/>
    <w:rsid w:val="00556FEE"/>
    <w:rsid w:val="005577A0"/>
    <w:rsid w:val="00557F58"/>
    <w:rsid w:val="00565D15"/>
    <w:rsid w:val="00576A90"/>
    <w:rsid w:val="00576E59"/>
    <w:rsid w:val="00582ECD"/>
    <w:rsid w:val="005926D7"/>
    <w:rsid w:val="005958C2"/>
    <w:rsid w:val="00596BC4"/>
    <w:rsid w:val="005B2C0D"/>
    <w:rsid w:val="005B3C72"/>
    <w:rsid w:val="005D3D1E"/>
    <w:rsid w:val="005E204F"/>
    <w:rsid w:val="005F2DF5"/>
    <w:rsid w:val="005F5177"/>
    <w:rsid w:val="005F63B7"/>
    <w:rsid w:val="00613B84"/>
    <w:rsid w:val="00630497"/>
    <w:rsid w:val="00632072"/>
    <w:rsid w:val="00633111"/>
    <w:rsid w:val="00640EED"/>
    <w:rsid w:val="00650109"/>
    <w:rsid w:val="00650F5E"/>
    <w:rsid w:val="006563BE"/>
    <w:rsid w:val="00664FF9"/>
    <w:rsid w:val="006663C8"/>
    <w:rsid w:val="00666C16"/>
    <w:rsid w:val="0067331D"/>
    <w:rsid w:val="00674BD0"/>
    <w:rsid w:val="00681349"/>
    <w:rsid w:val="006824CB"/>
    <w:rsid w:val="00682686"/>
    <w:rsid w:val="00682E83"/>
    <w:rsid w:val="006847AC"/>
    <w:rsid w:val="006862AC"/>
    <w:rsid w:val="006A652B"/>
    <w:rsid w:val="006B4FEB"/>
    <w:rsid w:val="006D38DD"/>
    <w:rsid w:val="006D6479"/>
    <w:rsid w:val="006E3A41"/>
    <w:rsid w:val="006F2189"/>
    <w:rsid w:val="00703D47"/>
    <w:rsid w:val="00705635"/>
    <w:rsid w:val="00711122"/>
    <w:rsid w:val="00712F91"/>
    <w:rsid w:val="00714AB5"/>
    <w:rsid w:val="00715711"/>
    <w:rsid w:val="007162A5"/>
    <w:rsid w:val="007169F8"/>
    <w:rsid w:val="007234F3"/>
    <w:rsid w:val="00726D0D"/>
    <w:rsid w:val="00732AF9"/>
    <w:rsid w:val="00732F57"/>
    <w:rsid w:val="007408FB"/>
    <w:rsid w:val="00742C79"/>
    <w:rsid w:val="007448A8"/>
    <w:rsid w:val="00751621"/>
    <w:rsid w:val="00752985"/>
    <w:rsid w:val="00753CE4"/>
    <w:rsid w:val="007543B9"/>
    <w:rsid w:val="00764363"/>
    <w:rsid w:val="00766B7A"/>
    <w:rsid w:val="007749DD"/>
    <w:rsid w:val="007768B7"/>
    <w:rsid w:val="00777197"/>
    <w:rsid w:val="00780026"/>
    <w:rsid w:val="00785A83"/>
    <w:rsid w:val="00785BC8"/>
    <w:rsid w:val="007B0E5E"/>
    <w:rsid w:val="007B40BC"/>
    <w:rsid w:val="007E401A"/>
    <w:rsid w:val="007E4D6B"/>
    <w:rsid w:val="007F0DE9"/>
    <w:rsid w:val="007F32B3"/>
    <w:rsid w:val="007F3F43"/>
    <w:rsid w:val="007F4A3D"/>
    <w:rsid w:val="00803966"/>
    <w:rsid w:val="00822F51"/>
    <w:rsid w:val="00825564"/>
    <w:rsid w:val="00825E47"/>
    <w:rsid w:val="00841C40"/>
    <w:rsid w:val="008457BE"/>
    <w:rsid w:val="00860C87"/>
    <w:rsid w:val="008627A4"/>
    <w:rsid w:val="00872E24"/>
    <w:rsid w:val="0088232C"/>
    <w:rsid w:val="00883CE3"/>
    <w:rsid w:val="0089252B"/>
    <w:rsid w:val="008956CD"/>
    <w:rsid w:val="008A484E"/>
    <w:rsid w:val="008A52B6"/>
    <w:rsid w:val="008A6550"/>
    <w:rsid w:val="008B2353"/>
    <w:rsid w:val="008B251B"/>
    <w:rsid w:val="008B464E"/>
    <w:rsid w:val="008C3262"/>
    <w:rsid w:val="008E3944"/>
    <w:rsid w:val="00915DD5"/>
    <w:rsid w:val="009309DD"/>
    <w:rsid w:val="00937B5E"/>
    <w:rsid w:val="0094694E"/>
    <w:rsid w:val="00953399"/>
    <w:rsid w:val="0095460E"/>
    <w:rsid w:val="0095777B"/>
    <w:rsid w:val="00967913"/>
    <w:rsid w:val="00970576"/>
    <w:rsid w:val="00970F02"/>
    <w:rsid w:val="00972598"/>
    <w:rsid w:val="0098474D"/>
    <w:rsid w:val="00993991"/>
    <w:rsid w:val="009A2BF1"/>
    <w:rsid w:val="009A5414"/>
    <w:rsid w:val="009B04A2"/>
    <w:rsid w:val="009B6FBC"/>
    <w:rsid w:val="009B7074"/>
    <w:rsid w:val="009C0CE4"/>
    <w:rsid w:val="009D4DFD"/>
    <w:rsid w:val="009E32E3"/>
    <w:rsid w:val="009E6B35"/>
    <w:rsid w:val="009F0C3D"/>
    <w:rsid w:val="00A12FF7"/>
    <w:rsid w:val="00A13DAF"/>
    <w:rsid w:val="00A22923"/>
    <w:rsid w:val="00A25183"/>
    <w:rsid w:val="00A257D2"/>
    <w:rsid w:val="00A32BA5"/>
    <w:rsid w:val="00A339B3"/>
    <w:rsid w:val="00A409A1"/>
    <w:rsid w:val="00A40D7D"/>
    <w:rsid w:val="00A43049"/>
    <w:rsid w:val="00A461EC"/>
    <w:rsid w:val="00A462DC"/>
    <w:rsid w:val="00A50D16"/>
    <w:rsid w:val="00A549CB"/>
    <w:rsid w:val="00A551F1"/>
    <w:rsid w:val="00A55C3C"/>
    <w:rsid w:val="00A56E5A"/>
    <w:rsid w:val="00A71BF1"/>
    <w:rsid w:val="00A72FA1"/>
    <w:rsid w:val="00A8365C"/>
    <w:rsid w:val="00A86E2E"/>
    <w:rsid w:val="00A909F7"/>
    <w:rsid w:val="00AA41E7"/>
    <w:rsid w:val="00AB23C8"/>
    <w:rsid w:val="00AC053B"/>
    <w:rsid w:val="00AC2478"/>
    <w:rsid w:val="00AC2BFD"/>
    <w:rsid w:val="00AC3868"/>
    <w:rsid w:val="00AC6091"/>
    <w:rsid w:val="00AD08BE"/>
    <w:rsid w:val="00AD256F"/>
    <w:rsid w:val="00AD4250"/>
    <w:rsid w:val="00AE0E89"/>
    <w:rsid w:val="00AE0EC0"/>
    <w:rsid w:val="00AE6394"/>
    <w:rsid w:val="00B11CFE"/>
    <w:rsid w:val="00B13A5F"/>
    <w:rsid w:val="00B25C51"/>
    <w:rsid w:val="00B27B9D"/>
    <w:rsid w:val="00B37700"/>
    <w:rsid w:val="00B43DB2"/>
    <w:rsid w:val="00B44741"/>
    <w:rsid w:val="00B46CF9"/>
    <w:rsid w:val="00B47F46"/>
    <w:rsid w:val="00B55BBE"/>
    <w:rsid w:val="00B57768"/>
    <w:rsid w:val="00B71C92"/>
    <w:rsid w:val="00B753D5"/>
    <w:rsid w:val="00B819A5"/>
    <w:rsid w:val="00B857E2"/>
    <w:rsid w:val="00B96701"/>
    <w:rsid w:val="00BA0FAD"/>
    <w:rsid w:val="00BA3625"/>
    <w:rsid w:val="00BA51BE"/>
    <w:rsid w:val="00BA7304"/>
    <w:rsid w:val="00BB3C47"/>
    <w:rsid w:val="00BC1CCE"/>
    <w:rsid w:val="00BC3A66"/>
    <w:rsid w:val="00BC4AC3"/>
    <w:rsid w:val="00BE3481"/>
    <w:rsid w:val="00BE3C7C"/>
    <w:rsid w:val="00BF3BB4"/>
    <w:rsid w:val="00BF3DDF"/>
    <w:rsid w:val="00BF70BC"/>
    <w:rsid w:val="00BF70FE"/>
    <w:rsid w:val="00C0266F"/>
    <w:rsid w:val="00C048D9"/>
    <w:rsid w:val="00C17172"/>
    <w:rsid w:val="00C27553"/>
    <w:rsid w:val="00C32033"/>
    <w:rsid w:val="00C3376B"/>
    <w:rsid w:val="00C424EF"/>
    <w:rsid w:val="00C52268"/>
    <w:rsid w:val="00C61B5D"/>
    <w:rsid w:val="00C6235A"/>
    <w:rsid w:val="00C74157"/>
    <w:rsid w:val="00C77677"/>
    <w:rsid w:val="00C82FEA"/>
    <w:rsid w:val="00C84CCA"/>
    <w:rsid w:val="00C90B7B"/>
    <w:rsid w:val="00C91823"/>
    <w:rsid w:val="00CB2102"/>
    <w:rsid w:val="00CB3800"/>
    <w:rsid w:val="00CB4314"/>
    <w:rsid w:val="00CC44E9"/>
    <w:rsid w:val="00CC4D60"/>
    <w:rsid w:val="00CD3EF6"/>
    <w:rsid w:val="00CD417B"/>
    <w:rsid w:val="00CD490F"/>
    <w:rsid w:val="00CD5183"/>
    <w:rsid w:val="00CE391E"/>
    <w:rsid w:val="00CF04AC"/>
    <w:rsid w:val="00CF3ACA"/>
    <w:rsid w:val="00D02991"/>
    <w:rsid w:val="00D1662C"/>
    <w:rsid w:val="00D16EBD"/>
    <w:rsid w:val="00D20803"/>
    <w:rsid w:val="00D2582F"/>
    <w:rsid w:val="00D27A64"/>
    <w:rsid w:val="00D429BE"/>
    <w:rsid w:val="00D45085"/>
    <w:rsid w:val="00D52A64"/>
    <w:rsid w:val="00D572B9"/>
    <w:rsid w:val="00D63982"/>
    <w:rsid w:val="00D64707"/>
    <w:rsid w:val="00D7666E"/>
    <w:rsid w:val="00D83DBA"/>
    <w:rsid w:val="00D8580C"/>
    <w:rsid w:val="00D85B12"/>
    <w:rsid w:val="00D923E2"/>
    <w:rsid w:val="00D970E0"/>
    <w:rsid w:val="00D9728A"/>
    <w:rsid w:val="00DA183D"/>
    <w:rsid w:val="00DB7E36"/>
    <w:rsid w:val="00DC1341"/>
    <w:rsid w:val="00DC2EE2"/>
    <w:rsid w:val="00DC3629"/>
    <w:rsid w:val="00DC7658"/>
    <w:rsid w:val="00DD0093"/>
    <w:rsid w:val="00DD349E"/>
    <w:rsid w:val="00DE2B22"/>
    <w:rsid w:val="00DE4605"/>
    <w:rsid w:val="00DE6377"/>
    <w:rsid w:val="00DF3864"/>
    <w:rsid w:val="00DF581E"/>
    <w:rsid w:val="00E14982"/>
    <w:rsid w:val="00E20A29"/>
    <w:rsid w:val="00E26B5E"/>
    <w:rsid w:val="00E3135E"/>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67610"/>
    <w:rsid w:val="00E704E3"/>
    <w:rsid w:val="00E73FD3"/>
    <w:rsid w:val="00E833E9"/>
    <w:rsid w:val="00E835B3"/>
    <w:rsid w:val="00E92706"/>
    <w:rsid w:val="00E95A39"/>
    <w:rsid w:val="00E960D2"/>
    <w:rsid w:val="00E96682"/>
    <w:rsid w:val="00EA337B"/>
    <w:rsid w:val="00EB5442"/>
    <w:rsid w:val="00EB6A45"/>
    <w:rsid w:val="00EC0FE2"/>
    <w:rsid w:val="00EC65A1"/>
    <w:rsid w:val="00EC7E20"/>
    <w:rsid w:val="00ED3254"/>
    <w:rsid w:val="00ED48B5"/>
    <w:rsid w:val="00EE0D3C"/>
    <w:rsid w:val="00EF4362"/>
    <w:rsid w:val="00EF500E"/>
    <w:rsid w:val="00F02294"/>
    <w:rsid w:val="00F05E79"/>
    <w:rsid w:val="00F152A7"/>
    <w:rsid w:val="00F17F2A"/>
    <w:rsid w:val="00F25235"/>
    <w:rsid w:val="00F25E8D"/>
    <w:rsid w:val="00F34923"/>
    <w:rsid w:val="00F36DE3"/>
    <w:rsid w:val="00F4188B"/>
    <w:rsid w:val="00F45322"/>
    <w:rsid w:val="00F469CA"/>
    <w:rsid w:val="00F60AEE"/>
    <w:rsid w:val="00F61423"/>
    <w:rsid w:val="00F62891"/>
    <w:rsid w:val="00F6520C"/>
    <w:rsid w:val="00F66C89"/>
    <w:rsid w:val="00F66CAF"/>
    <w:rsid w:val="00F80BB7"/>
    <w:rsid w:val="00F875B4"/>
    <w:rsid w:val="00F91B9F"/>
    <w:rsid w:val="00F93B14"/>
    <w:rsid w:val="00F94262"/>
    <w:rsid w:val="00F94264"/>
    <w:rsid w:val="00F965C4"/>
    <w:rsid w:val="00FA18A4"/>
    <w:rsid w:val="00FA2217"/>
    <w:rsid w:val="00FA5332"/>
    <w:rsid w:val="00FB447B"/>
    <w:rsid w:val="00FB53D9"/>
    <w:rsid w:val="00FB68F7"/>
    <w:rsid w:val="00FD6613"/>
    <w:rsid w:val="00FE1AA1"/>
    <w:rsid w:val="00FE2E90"/>
    <w:rsid w:val="00FE30BE"/>
    <w:rsid w:val="00FE4B3C"/>
    <w:rsid w:val="00FF57A9"/>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637</Words>
  <Characters>4015</Characters>
  <Application>Microsoft Office Word</Application>
  <DocSecurity>0</DocSecurity>
  <Lines>33</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3</cp:revision>
  <cp:lastPrinted>2021-08-10T09:24:00Z</cp:lastPrinted>
  <dcterms:created xsi:type="dcterms:W3CDTF">2021-08-11T06:32:00Z</dcterms:created>
  <dcterms:modified xsi:type="dcterms:W3CDTF">2021-08-11T08:38:00Z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