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CA86F1" w14:textId="77777777" w:rsidR="00A65944" w:rsidRDefault="00A65944"/>
    <w:p w14:paraId="74A78ED5" w14:textId="77777777" w:rsidR="00A070CB" w:rsidRDefault="00A070CB" w:rsidP="00A070CB">
      <w:pPr>
        <w:jc w:val="center"/>
        <w:rPr>
          <w:b/>
          <w:bCs/>
          <w:sz w:val="28"/>
          <w:szCs w:val="28"/>
        </w:rPr>
      </w:pPr>
      <w:r w:rsidRPr="00A070CB">
        <w:rPr>
          <w:b/>
          <w:bCs/>
          <w:sz w:val="28"/>
          <w:szCs w:val="28"/>
        </w:rPr>
        <w:t>Die friedlichste Armee der Welt zu Gast in Ulm</w:t>
      </w:r>
    </w:p>
    <w:p w14:paraId="5B1F85ED" w14:textId="77777777" w:rsidR="00A070CB" w:rsidRDefault="00A070CB" w:rsidP="00A070CB">
      <w:pPr>
        <w:jc w:val="center"/>
        <w:rPr>
          <w:b/>
          <w:bCs/>
          <w:sz w:val="28"/>
          <w:szCs w:val="28"/>
        </w:rPr>
      </w:pPr>
    </w:p>
    <w:p w14:paraId="6361C6E9" w14:textId="6598AD5D" w:rsidR="005E4BF6" w:rsidRPr="000C7138" w:rsidRDefault="00A070CB" w:rsidP="005E4BF6">
      <w:pPr>
        <w:jc w:val="both"/>
        <w:rPr>
          <w:sz w:val="22"/>
          <w:szCs w:val="22"/>
        </w:rPr>
      </w:pPr>
      <w:r w:rsidRPr="000C7138">
        <w:rPr>
          <w:b/>
          <w:bCs/>
          <w:sz w:val="22"/>
          <w:szCs w:val="22"/>
        </w:rPr>
        <w:t xml:space="preserve">Ulm. </w:t>
      </w:r>
      <w:r w:rsidRPr="000C7138">
        <w:rPr>
          <w:sz w:val="22"/>
          <w:szCs w:val="22"/>
        </w:rPr>
        <w:t>„</w:t>
      </w:r>
      <w:r w:rsidRPr="000C7138">
        <w:rPr>
          <w:b/>
          <w:bCs/>
          <w:sz w:val="22"/>
          <w:szCs w:val="22"/>
        </w:rPr>
        <w:t>Die Terrakottaarmee &amp; das Vermächtnis des Ewigen Kaisers</w:t>
      </w:r>
      <w:r w:rsidRPr="000C7138">
        <w:rPr>
          <w:sz w:val="22"/>
          <w:szCs w:val="22"/>
        </w:rPr>
        <w:t>“ kommt 2020 erstmal</w:t>
      </w:r>
      <w:r w:rsidR="00352572">
        <w:rPr>
          <w:sz w:val="22"/>
          <w:szCs w:val="22"/>
        </w:rPr>
        <w:t>s</w:t>
      </w:r>
      <w:r w:rsidRPr="000C7138">
        <w:rPr>
          <w:sz w:val="22"/>
          <w:szCs w:val="22"/>
        </w:rPr>
        <w:t xml:space="preserve"> nach Ulm und macht vom </w:t>
      </w:r>
      <w:r w:rsidRPr="000C7138">
        <w:rPr>
          <w:b/>
          <w:bCs/>
          <w:sz w:val="22"/>
          <w:szCs w:val="22"/>
        </w:rPr>
        <w:t>7. März</w:t>
      </w:r>
      <w:r w:rsidRPr="00352572">
        <w:rPr>
          <w:sz w:val="22"/>
          <w:szCs w:val="22"/>
        </w:rPr>
        <w:t xml:space="preserve"> bis</w:t>
      </w:r>
      <w:r w:rsidRPr="000C7138">
        <w:rPr>
          <w:b/>
          <w:bCs/>
          <w:sz w:val="22"/>
          <w:szCs w:val="22"/>
        </w:rPr>
        <w:t xml:space="preserve"> 13. September</w:t>
      </w:r>
      <w:r w:rsidRPr="000C7138">
        <w:rPr>
          <w:sz w:val="22"/>
          <w:szCs w:val="22"/>
        </w:rPr>
        <w:t xml:space="preserve"> </w:t>
      </w:r>
      <w:r w:rsidR="00352572" w:rsidRPr="00352572">
        <w:rPr>
          <w:b/>
          <w:bCs/>
          <w:sz w:val="22"/>
          <w:szCs w:val="22"/>
        </w:rPr>
        <w:t>2020</w:t>
      </w:r>
      <w:r w:rsidR="00352572">
        <w:rPr>
          <w:sz w:val="22"/>
          <w:szCs w:val="22"/>
        </w:rPr>
        <w:t xml:space="preserve"> </w:t>
      </w:r>
      <w:r w:rsidRPr="000C7138">
        <w:rPr>
          <w:sz w:val="22"/>
          <w:szCs w:val="22"/>
        </w:rPr>
        <w:t xml:space="preserve">Station im </w:t>
      </w:r>
      <w:r w:rsidRPr="000C7138">
        <w:rPr>
          <w:b/>
          <w:bCs/>
          <w:sz w:val="22"/>
          <w:szCs w:val="22"/>
        </w:rPr>
        <w:t>Blautal-Center</w:t>
      </w:r>
      <w:r w:rsidRPr="000C7138">
        <w:rPr>
          <w:sz w:val="22"/>
          <w:szCs w:val="22"/>
        </w:rPr>
        <w:t xml:space="preserve">. Auf die Besucher warten mehr als 250 Exponate, darunter 150 Terrakottafiguren, Funde aus der Grabanlage sowie Filme und Bilder, die auf eine spannende Reise durch </w:t>
      </w:r>
      <w:r w:rsidR="00352572">
        <w:rPr>
          <w:sz w:val="22"/>
          <w:szCs w:val="22"/>
        </w:rPr>
        <w:t>das Reich der Mitte</w:t>
      </w:r>
      <w:bookmarkStart w:id="0" w:name="_GoBack"/>
      <w:bookmarkEnd w:id="0"/>
      <w:r w:rsidRPr="000C7138">
        <w:rPr>
          <w:sz w:val="22"/>
          <w:szCs w:val="22"/>
        </w:rPr>
        <w:t xml:space="preserve"> einladen. </w:t>
      </w:r>
    </w:p>
    <w:p w14:paraId="3918D57A" w14:textId="77777777" w:rsidR="005E4BF6" w:rsidRPr="000C7138" w:rsidRDefault="005E4BF6" w:rsidP="005E4BF6">
      <w:pPr>
        <w:jc w:val="both"/>
        <w:rPr>
          <w:sz w:val="22"/>
          <w:szCs w:val="22"/>
        </w:rPr>
      </w:pPr>
    </w:p>
    <w:p w14:paraId="08C27454" w14:textId="77777777" w:rsidR="00A070CB" w:rsidRPr="000C7138" w:rsidRDefault="00A070CB" w:rsidP="005E4BF6">
      <w:pPr>
        <w:jc w:val="both"/>
        <w:rPr>
          <w:sz w:val="22"/>
          <w:szCs w:val="22"/>
        </w:rPr>
      </w:pPr>
      <w:r w:rsidRPr="000C7138">
        <w:rPr>
          <w:rFonts w:cstheme="minorHAnsi"/>
          <w:sz w:val="22"/>
          <w:szCs w:val="22"/>
        </w:rPr>
        <w:t xml:space="preserve">Sie gilt als die </w:t>
      </w:r>
      <w:proofErr w:type="spellStart"/>
      <w:r w:rsidRPr="000C7138">
        <w:rPr>
          <w:rFonts w:cstheme="minorHAnsi"/>
          <w:sz w:val="22"/>
          <w:szCs w:val="22"/>
        </w:rPr>
        <w:t>größte</w:t>
      </w:r>
      <w:proofErr w:type="spellEnd"/>
      <w:r w:rsidRPr="000C7138">
        <w:rPr>
          <w:rFonts w:cstheme="minorHAnsi"/>
          <w:sz w:val="22"/>
          <w:szCs w:val="22"/>
        </w:rPr>
        <w:t xml:space="preserve"> </w:t>
      </w:r>
      <w:proofErr w:type="spellStart"/>
      <w:r w:rsidRPr="000C7138">
        <w:rPr>
          <w:rFonts w:cstheme="minorHAnsi"/>
          <w:sz w:val="22"/>
          <w:szCs w:val="22"/>
        </w:rPr>
        <w:t>archäologische</w:t>
      </w:r>
      <w:proofErr w:type="spellEnd"/>
      <w:r w:rsidRPr="000C7138">
        <w:rPr>
          <w:rFonts w:cstheme="minorHAnsi"/>
          <w:sz w:val="22"/>
          <w:szCs w:val="22"/>
        </w:rPr>
        <w:t xml:space="preserve"> Entdeckung des 20</w:t>
      </w:r>
      <w:r w:rsidR="005E4BF6" w:rsidRPr="000C7138">
        <w:rPr>
          <w:rFonts w:cstheme="minorHAnsi"/>
          <w:sz w:val="22"/>
          <w:szCs w:val="22"/>
        </w:rPr>
        <w:t>.</w:t>
      </w:r>
      <w:r w:rsidRPr="000C7138">
        <w:rPr>
          <w:rFonts w:cstheme="minorHAnsi"/>
          <w:sz w:val="22"/>
          <w:szCs w:val="22"/>
        </w:rPr>
        <w:t xml:space="preserve"> Jahrhunderts – die friedlichste Armee der Welt erobert ab dem </w:t>
      </w:r>
      <w:r w:rsidR="005E4BF6" w:rsidRPr="000C7138">
        <w:rPr>
          <w:rFonts w:cstheme="minorHAnsi"/>
          <w:sz w:val="22"/>
          <w:szCs w:val="22"/>
        </w:rPr>
        <w:t>7</w:t>
      </w:r>
      <w:r w:rsidRPr="000C7138">
        <w:rPr>
          <w:rFonts w:cstheme="minorHAnsi"/>
          <w:sz w:val="22"/>
          <w:szCs w:val="22"/>
        </w:rPr>
        <w:t>. M</w:t>
      </w:r>
      <w:r w:rsidR="005E4BF6" w:rsidRPr="000C7138">
        <w:rPr>
          <w:rFonts w:cstheme="minorHAnsi"/>
          <w:sz w:val="22"/>
          <w:szCs w:val="22"/>
        </w:rPr>
        <w:t>ärz</w:t>
      </w:r>
      <w:r w:rsidRPr="000C7138">
        <w:rPr>
          <w:rFonts w:cstheme="minorHAnsi"/>
          <w:sz w:val="22"/>
          <w:szCs w:val="22"/>
        </w:rPr>
        <w:t xml:space="preserve"> 20</w:t>
      </w:r>
      <w:r w:rsidR="005E4BF6" w:rsidRPr="000C7138">
        <w:rPr>
          <w:rFonts w:cstheme="minorHAnsi"/>
          <w:sz w:val="22"/>
          <w:szCs w:val="22"/>
        </w:rPr>
        <w:t>20</w:t>
      </w:r>
      <w:r w:rsidRPr="000C7138">
        <w:rPr>
          <w:rFonts w:cstheme="minorHAnsi"/>
          <w:sz w:val="22"/>
          <w:szCs w:val="22"/>
        </w:rPr>
        <w:t xml:space="preserve"> zum ersten Mal </w:t>
      </w:r>
      <w:r w:rsidR="005E4BF6" w:rsidRPr="000C7138">
        <w:rPr>
          <w:rFonts w:cstheme="minorHAnsi"/>
          <w:sz w:val="22"/>
          <w:szCs w:val="22"/>
        </w:rPr>
        <w:t>Ulm</w:t>
      </w:r>
      <w:r w:rsidRPr="000C7138">
        <w:rPr>
          <w:rFonts w:cstheme="minorHAnsi"/>
          <w:sz w:val="22"/>
          <w:szCs w:val="22"/>
        </w:rPr>
        <w:t xml:space="preserve">: die Terrakottaarmee. Rund 150 originalgetreue, meisterhafte Repliken der Figuren der </w:t>
      </w:r>
      <w:proofErr w:type="spellStart"/>
      <w:r w:rsidRPr="000C7138">
        <w:rPr>
          <w:rFonts w:cstheme="minorHAnsi"/>
          <w:sz w:val="22"/>
          <w:szCs w:val="22"/>
        </w:rPr>
        <w:t>berühmten</w:t>
      </w:r>
      <w:proofErr w:type="spellEnd"/>
      <w:r w:rsidRPr="000C7138">
        <w:rPr>
          <w:rFonts w:cstheme="minorHAnsi"/>
          <w:sz w:val="22"/>
          <w:szCs w:val="22"/>
        </w:rPr>
        <w:t xml:space="preserve"> Armee ziehen bis zum 1</w:t>
      </w:r>
      <w:r w:rsidR="005E4BF6" w:rsidRPr="000C7138">
        <w:rPr>
          <w:rFonts w:cstheme="minorHAnsi"/>
          <w:sz w:val="22"/>
          <w:szCs w:val="22"/>
        </w:rPr>
        <w:t>3</w:t>
      </w:r>
      <w:r w:rsidRPr="000C7138">
        <w:rPr>
          <w:rFonts w:cstheme="minorHAnsi"/>
          <w:sz w:val="22"/>
          <w:szCs w:val="22"/>
        </w:rPr>
        <w:t xml:space="preserve">. </w:t>
      </w:r>
      <w:r w:rsidR="005E4BF6" w:rsidRPr="000C7138">
        <w:rPr>
          <w:rFonts w:cstheme="minorHAnsi"/>
          <w:sz w:val="22"/>
          <w:szCs w:val="22"/>
        </w:rPr>
        <w:t>September 2020</w:t>
      </w:r>
      <w:r w:rsidRPr="000C7138">
        <w:rPr>
          <w:rFonts w:cstheme="minorHAnsi"/>
          <w:sz w:val="22"/>
          <w:szCs w:val="22"/>
        </w:rPr>
        <w:t xml:space="preserve"> in einer Ausstellung in ihren Bann. Nicht nur die 150 Repliken der Terrakottakrieger, sondern auch weitere Exponate versetzen die Besucher dabei in die Zeit des ersten Kaisers von China. </w:t>
      </w:r>
    </w:p>
    <w:p w14:paraId="26F5672D" w14:textId="4552F28C" w:rsidR="00A070CB" w:rsidRPr="000C7138" w:rsidRDefault="00A070CB" w:rsidP="005E4BF6">
      <w:pPr>
        <w:pStyle w:val="StandardWeb"/>
        <w:jc w:val="both"/>
        <w:rPr>
          <w:rFonts w:asciiTheme="minorHAnsi" w:hAnsiTheme="minorHAnsi" w:cstheme="minorHAnsi"/>
          <w:sz w:val="22"/>
          <w:szCs w:val="22"/>
        </w:rPr>
      </w:pPr>
      <w:r w:rsidRPr="000C7138">
        <w:rPr>
          <w:rFonts w:asciiTheme="minorHAnsi" w:hAnsiTheme="minorHAnsi" w:cstheme="minorHAnsi"/>
          <w:sz w:val="22"/>
          <w:szCs w:val="22"/>
        </w:rPr>
        <w:t>Die originalgetreuen,</w:t>
      </w:r>
      <w:r w:rsidR="005E4BF6" w:rsidRPr="000C713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künstlerisch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aufbereiteten Repliken der Krieger werden von Handwerkern nach genau dem gleichen Verfahren und mit der handwerklichen Kunstfertigkeit hergestellt wie die Originale – direkt neben der Grabanlage in der chinesischen Provinz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Shaanxi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, in uralten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Brennöfen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und mit Material aus denselben Lehmgruben</w:t>
      </w:r>
      <w:r w:rsidR="00352572">
        <w:rPr>
          <w:rFonts w:asciiTheme="minorHAnsi" w:hAnsiTheme="minorHAnsi" w:cstheme="minorHAnsi"/>
          <w:sz w:val="22"/>
          <w:szCs w:val="22"/>
        </w:rPr>
        <w:t xml:space="preserve">. </w:t>
      </w:r>
      <w:r w:rsidRPr="000C7138">
        <w:rPr>
          <w:rFonts w:asciiTheme="minorHAnsi" w:hAnsiTheme="minorHAnsi" w:cstheme="minorHAnsi"/>
          <w:sz w:val="22"/>
          <w:szCs w:val="22"/>
        </w:rPr>
        <w:t xml:space="preserve">Damit ist jedes Replikat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für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sich ebenfalls ein Original</w:t>
      </w:r>
      <w:r w:rsidR="00352572">
        <w:rPr>
          <w:rFonts w:asciiTheme="minorHAnsi" w:hAnsiTheme="minorHAnsi" w:cstheme="minorHAnsi"/>
          <w:sz w:val="22"/>
          <w:szCs w:val="22"/>
        </w:rPr>
        <w:t>!</w:t>
      </w:r>
      <w:r w:rsidRPr="000C7138">
        <w:rPr>
          <w:rFonts w:asciiTheme="minorHAnsi" w:hAnsiTheme="minorHAnsi" w:cstheme="minorHAnsi"/>
          <w:sz w:val="22"/>
          <w:szCs w:val="22"/>
        </w:rPr>
        <w:t xml:space="preserve"> Die Figur besteht dabei aus bis zu sieben hohlen Einzelteilen, die beim Brennen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zusammengefügt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werden. So sind die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Körper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 immer gleich – die Krieger unterscheiden sich nur durch ihre individuellen </w:t>
      </w:r>
      <w:proofErr w:type="spellStart"/>
      <w:r w:rsidRPr="000C7138">
        <w:rPr>
          <w:rFonts w:asciiTheme="minorHAnsi" w:hAnsiTheme="minorHAnsi" w:cstheme="minorHAnsi"/>
          <w:sz w:val="22"/>
          <w:szCs w:val="22"/>
        </w:rPr>
        <w:t>Köpfe</w:t>
      </w:r>
      <w:proofErr w:type="spellEnd"/>
      <w:r w:rsidRPr="000C7138">
        <w:rPr>
          <w:rFonts w:asciiTheme="minorHAnsi" w:hAnsiTheme="minorHAnsi" w:cstheme="minorHAnsi"/>
          <w:sz w:val="22"/>
          <w:szCs w:val="22"/>
        </w:rPr>
        <w:t xml:space="preserve">, die jeweils aufgesetzt werden. </w:t>
      </w:r>
    </w:p>
    <w:p w14:paraId="2F83E6B7" w14:textId="19590E4A" w:rsidR="005E4BF6" w:rsidRPr="005E4BF6" w:rsidRDefault="005E4BF6" w:rsidP="005E4BF6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2"/>
          <w:szCs w:val="22"/>
          <w:lang w:eastAsia="de-DE"/>
        </w:rPr>
      </w:pPr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Unter den insgesamt 250 </w:t>
      </w:r>
      <w:proofErr w:type="spellStart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>Ausstellungsstücken</w:t>
      </w:r>
      <w:proofErr w:type="spellEnd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befinden sich zudem lebensechte Tierdarstellungen, Waffenrekonstruktionen, </w:t>
      </w:r>
      <w:proofErr w:type="spellStart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>Rüstungen</w:t>
      </w:r>
      <w:proofErr w:type="spellEnd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sowie Kleider der verschiedenen Kaiser-Dynastien: Nicht die Terrakottaarmee alleine, sondern </w:t>
      </w:r>
      <w:proofErr w:type="spellStart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>sämtliche</w:t>
      </w:r>
      <w:proofErr w:type="spellEnd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Funde aus der Grabanlage von Qin Shi Huang Di sind faszinierend und in ihrer </w:t>
      </w:r>
      <w:proofErr w:type="spellStart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>archäologischen</w:t>
      </w:r>
      <w:proofErr w:type="spellEnd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sowie kunst- und kulturhistorischen Bedeutung nicht hoch genug </w:t>
      </w:r>
      <w:proofErr w:type="spellStart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>einzuschätzen</w:t>
      </w:r>
      <w:proofErr w:type="spellEnd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. </w:t>
      </w:r>
    </w:p>
    <w:p w14:paraId="7236CB40" w14:textId="77777777" w:rsidR="005E4BF6" w:rsidRPr="005E4BF6" w:rsidRDefault="005E4BF6" w:rsidP="005E4BF6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2"/>
          <w:szCs w:val="22"/>
          <w:lang w:eastAsia="de-DE"/>
        </w:rPr>
      </w:pPr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Die Besucher tauchen dank der Modelle, Filme, Bilder und weiterer Figuren tief in die Zeit des Ewigen Kaisers und die Geschichten des alten Chinas ein. Auch ein Teil der Wissensausstellung: die Pigmente, mit denen die Terrakottakrieger </w:t>
      </w:r>
      <w:proofErr w:type="spellStart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>eingefärbt</w:t>
      </w:r>
      <w:proofErr w:type="spellEnd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worden sind. Hier </w:t>
      </w:r>
      <w:proofErr w:type="spellStart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>erfährt</w:t>
      </w:r>
      <w:proofErr w:type="spellEnd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sie </w:t>
      </w:r>
      <w:proofErr w:type="spellStart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>Unterstützung</w:t>
      </w:r>
      <w:proofErr w:type="spellEnd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durch den renommierten Chemiker Prof. Dr. Heinz </w:t>
      </w:r>
      <w:proofErr w:type="spellStart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>Langhals</w:t>
      </w:r>
      <w:proofErr w:type="spellEnd"/>
      <w:r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, der sich in jahrelanger Forschungsarbeit mit der Farberhaltung der Terrakottakrieger auseinandergesetzt hat. </w:t>
      </w:r>
    </w:p>
    <w:p w14:paraId="3B204F1C" w14:textId="77777777" w:rsidR="005E4BF6" w:rsidRPr="005E4BF6" w:rsidRDefault="000C7138" w:rsidP="005E4BF6">
      <w:pPr>
        <w:spacing w:before="100" w:beforeAutospacing="1" w:after="100" w:afterAutospacing="1"/>
        <w:jc w:val="both"/>
        <w:rPr>
          <w:rFonts w:ascii="Calibri" w:eastAsia="Times New Roman" w:hAnsi="Calibri" w:cs="Calibri"/>
          <w:sz w:val="22"/>
          <w:szCs w:val="22"/>
          <w:lang w:eastAsia="de-DE"/>
        </w:rPr>
      </w:pPr>
      <w:r w:rsidRPr="000C7138">
        <w:rPr>
          <w:rFonts w:ascii="Calibri" w:hAnsi="Calibri" w:cs="Calibr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FBBE0" wp14:editId="01175A38">
                <wp:simplePos x="0" y="0"/>
                <wp:positionH relativeFrom="column">
                  <wp:posOffset>-38558</wp:posOffset>
                </wp:positionH>
                <wp:positionV relativeFrom="paragraph">
                  <wp:posOffset>679598</wp:posOffset>
                </wp:positionV>
                <wp:extent cx="5773420" cy="1169581"/>
                <wp:effectExtent l="0" t="0" r="17780" b="1206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3420" cy="11695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ABD6D71" w14:textId="77777777" w:rsidR="005E4BF6" w:rsidRPr="000C7138" w:rsidRDefault="005E4BF6">
                            <w:pPr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Die Terrakottaarmee &amp; Das Vermächtnis des Ewigen Kaisers</w:t>
                            </w:r>
                          </w:p>
                          <w:p w14:paraId="601C68EE" w14:textId="77777777" w:rsidR="005E4BF6" w:rsidRDefault="005E4BF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Wann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: 07.03. – 13.09.2020</w:t>
                            </w:r>
                          </w:p>
                          <w:p w14:paraId="3CF26D58" w14:textId="77777777" w:rsidR="005E4BF6" w:rsidRDefault="005E4BF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Wo: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Blautal-Center,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Blaubeurer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Straße 95, </w:t>
                            </w:r>
                            <w:r w:rsidR="000C7138">
                              <w:rPr>
                                <w:sz w:val="22"/>
                                <w:szCs w:val="22"/>
                              </w:rPr>
                              <w:t>89077 Ulm</w:t>
                            </w:r>
                          </w:p>
                          <w:p w14:paraId="3B599E9D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Öffnungszeiten: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Mittwoch – Sonntag, 10:00 – 18:00 Uhr (letzter Einlass 17:00 Uhr) </w:t>
                            </w:r>
                          </w:p>
                          <w:p w14:paraId="7826B81C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  <w:highlight w:val="yellow"/>
                              </w:rPr>
                              <w:t xml:space="preserve">Tickets </w:t>
                            </w:r>
                            <w:r w:rsidRPr="000C7138">
                              <w:rPr>
                                <w:sz w:val="22"/>
                                <w:szCs w:val="22"/>
                                <w:highlight w:val="yellow"/>
                              </w:rPr>
                              <w:t>ab sofort bei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00720A87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Homepage und weitere Informationen unter </w:t>
                            </w:r>
                            <w:r w:rsidRPr="000C713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www.terrakottaarmee.de</w:t>
                            </w:r>
                          </w:p>
                          <w:p w14:paraId="320A965D" w14:textId="77777777" w:rsidR="000C7138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B3745E7" w14:textId="77777777" w:rsidR="000C7138" w:rsidRPr="005E4BF6" w:rsidRDefault="000C713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-3.05pt;margin-top:53.5pt;width:454.6pt;height:92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" fillcolor="white [3201]" strokecolor="black [3213]" strokeweight=".5pt">
                <v:textbox>
                  <w:txbxContent>
                    <w:p w:rsidR="005E4BF6" w:rsidRPr="000C7138" w:rsidRDefault="005E4BF6">
                      <w:pPr>
                        <w:rPr>
                          <w:b/>
                          <w:bCs/>
                          <w:sz w:val="23"/>
                          <w:szCs w:val="23"/>
                        </w:rPr>
                      </w:pPr>
                      <w:r w:rsidRPr="000C7138">
                        <w:rPr>
                          <w:b/>
                          <w:bCs/>
                          <w:sz w:val="23"/>
                          <w:szCs w:val="23"/>
                        </w:rPr>
                        <w:t>Die Terrakottaarmee &amp; Das Vermächtnis des Ewigen Kaisers</w:t>
                      </w:r>
                    </w:p>
                    <w:p w:rsidR="005E4BF6" w:rsidRDefault="005E4BF6">
                      <w:pPr>
                        <w:rPr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Wann</w:t>
                      </w:r>
                      <w:r>
                        <w:rPr>
                          <w:sz w:val="22"/>
                          <w:szCs w:val="22"/>
                        </w:rPr>
                        <w:t>: 07.03. – 13.09.2020</w:t>
                      </w:r>
                    </w:p>
                    <w:p w:rsidR="005E4BF6" w:rsidRDefault="005E4BF6">
                      <w:pPr>
                        <w:rPr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Wo:</w:t>
                      </w:r>
                      <w:r>
                        <w:rPr>
                          <w:sz w:val="22"/>
                          <w:szCs w:val="22"/>
                        </w:rPr>
                        <w:t xml:space="preserve"> Blautal-Center, </w:t>
                      </w:r>
                      <w:proofErr w:type="spellStart"/>
                      <w:r>
                        <w:rPr>
                          <w:sz w:val="22"/>
                          <w:szCs w:val="22"/>
                        </w:rPr>
                        <w:t>Blaubeurer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Straße 95, </w:t>
                      </w:r>
                      <w:r w:rsidR="000C7138">
                        <w:rPr>
                          <w:sz w:val="22"/>
                          <w:szCs w:val="22"/>
                        </w:rPr>
                        <w:t>89077 Ulm</w:t>
                      </w:r>
                    </w:p>
                    <w:p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Öffnungszeiten:</w:t>
                      </w:r>
                      <w:r>
                        <w:rPr>
                          <w:sz w:val="22"/>
                          <w:szCs w:val="22"/>
                        </w:rPr>
                        <w:t xml:space="preserve"> Mittwoch – Sonntag, 10:00 – 18:00 Uhr (letzter Einlass 17:00 Uhr) </w:t>
                      </w:r>
                    </w:p>
                    <w:p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  <w:r w:rsidRPr="000C7138">
                        <w:rPr>
                          <w:b/>
                          <w:bCs/>
                          <w:sz w:val="22"/>
                          <w:szCs w:val="22"/>
                          <w:highlight w:val="yellow"/>
                        </w:rPr>
                        <w:t xml:space="preserve">Tickets </w:t>
                      </w:r>
                      <w:r w:rsidRPr="000C7138">
                        <w:rPr>
                          <w:sz w:val="22"/>
                          <w:szCs w:val="22"/>
                          <w:highlight w:val="yellow"/>
                        </w:rPr>
                        <w:t>ab sofort bei</w:t>
                      </w:r>
                      <w:bookmarkStart w:id="1" w:name="_GoBack"/>
                      <w:bookmarkEnd w:id="1"/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Homepage und weitere Informationen unter </w:t>
                      </w:r>
                      <w:r w:rsidRPr="000C7138">
                        <w:rPr>
                          <w:b/>
                          <w:bCs/>
                          <w:sz w:val="22"/>
                          <w:szCs w:val="22"/>
                        </w:rPr>
                        <w:t>www.terrakottaarmee.de</w:t>
                      </w:r>
                    </w:p>
                    <w:p w:rsidR="000C7138" w:rsidRDefault="000C7138">
                      <w:pPr>
                        <w:rPr>
                          <w:sz w:val="22"/>
                          <w:szCs w:val="22"/>
                        </w:rPr>
                      </w:pPr>
                    </w:p>
                    <w:p w:rsidR="000C7138" w:rsidRPr="005E4BF6" w:rsidRDefault="000C7138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Seit 1987 </w:t>
      </w:r>
      <w:proofErr w:type="spellStart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>gehört</w:t>
      </w:r>
      <w:proofErr w:type="spellEnd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die Grabanlage des Ewigen Kaisers zum UNESCO-Weltkulturerbe. Dabei ist bis heute erst ein kleiner Teil des Areals </w:t>
      </w:r>
      <w:proofErr w:type="spellStart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>archäologisch</w:t>
      </w:r>
      <w:proofErr w:type="spellEnd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 erschlossen – auch die Grabkammer Qin Shi Huang Dis selbst ist noch immer </w:t>
      </w:r>
      <w:proofErr w:type="spellStart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>ungeöffnet</w:t>
      </w:r>
      <w:proofErr w:type="spellEnd"/>
      <w:r w:rsidR="005E4BF6" w:rsidRPr="005E4BF6">
        <w:rPr>
          <w:rFonts w:ascii="Calibri" w:eastAsia="Times New Roman" w:hAnsi="Calibri" w:cs="Calibri"/>
          <w:sz w:val="22"/>
          <w:szCs w:val="22"/>
          <w:lang w:eastAsia="de-DE"/>
        </w:rPr>
        <w:t xml:space="preserve">. </w:t>
      </w:r>
    </w:p>
    <w:p w14:paraId="72818545" w14:textId="77777777" w:rsidR="00A070CB" w:rsidRPr="005E4BF6" w:rsidRDefault="00A070CB" w:rsidP="005E4BF6">
      <w:pPr>
        <w:jc w:val="both"/>
        <w:rPr>
          <w:rFonts w:ascii="Calibri" w:hAnsi="Calibri" w:cs="Calibri"/>
          <w:b/>
          <w:bCs/>
        </w:rPr>
      </w:pPr>
    </w:p>
    <w:sectPr w:rsidR="00A070CB" w:rsidRPr="005E4BF6" w:rsidSect="0043185D">
      <w:headerReference w:type="default" r:id="rId11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2B02D4" w14:textId="77777777" w:rsidR="001E43BC" w:rsidRDefault="001E43BC" w:rsidP="00A070CB">
      <w:r>
        <w:separator/>
      </w:r>
    </w:p>
  </w:endnote>
  <w:endnote w:type="continuationSeparator" w:id="0">
    <w:p w14:paraId="35186059" w14:textId="77777777" w:rsidR="001E43BC" w:rsidRDefault="001E43BC" w:rsidP="00A07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8C991A" w14:textId="77777777" w:rsidR="001E43BC" w:rsidRDefault="001E43BC" w:rsidP="00A070CB">
      <w:r>
        <w:separator/>
      </w:r>
    </w:p>
  </w:footnote>
  <w:footnote w:type="continuationSeparator" w:id="0">
    <w:p w14:paraId="79DA563B" w14:textId="77777777" w:rsidR="001E43BC" w:rsidRDefault="001E43BC" w:rsidP="00A070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5FF025" w14:textId="77777777" w:rsidR="00A070CB" w:rsidRDefault="00A070CB" w:rsidP="00A070CB">
    <w:pPr>
      <w:pStyle w:val="Kopfzeile"/>
      <w:jc w:val="center"/>
    </w:pPr>
    <w:r>
      <w:rPr>
        <w:rFonts w:ascii="Helvetica" w:hAnsi="Helvetica" w:cs="Helvetica"/>
        <w:noProof/>
      </w:rPr>
      <w:drawing>
        <wp:inline distT="0" distB="0" distL="0" distR="0" wp14:anchorId="2CC18BCE" wp14:editId="181D398D">
          <wp:extent cx="2849526" cy="1196587"/>
          <wp:effectExtent l="0" t="0" r="0" b="0"/>
          <wp:docPr id="1" name="Bild 1" descr="Ein Bild, das Text, Buch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A_Logo_ORIGINAL-positiv_NEW4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8680" cy="1208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DD11D1"/>
    <w:multiLevelType w:val="multilevel"/>
    <w:tmpl w:val="7116D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0CB"/>
    <w:rsid w:val="00007FA0"/>
    <w:rsid w:val="000C7138"/>
    <w:rsid w:val="001E43BC"/>
    <w:rsid w:val="00352572"/>
    <w:rsid w:val="0043185D"/>
    <w:rsid w:val="004E1C5B"/>
    <w:rsid w:val="005E4BF6"/>
    <w:rsid w:val="00924E00"/>
    <w:rsid w:val="00935B71"/>
    <w:rsid w:val="009574B3"/>
    <w:rsid w:val="00A070CB"/>
    <w:rsid w:val="00A65944"/>
    <w:rsid w:val="00A87A28"/>
    <w:rsid w:val="00DE45F5"/>
    <w:rsid w:val="00FA4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C8AD1"/>
  <w15:chartTrackingRefBased/>
  <w15:docId w15:val="{0D7B90C1-2EA1-E144-9CEA-C32A11CAA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070C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070CB"/>
  </w:style>
  <w:style w:type="paragraph" w:styleId="Fuzeile">
    <w:name w:val="footer"/>
    <w:basedOn w:val="Standard"/>
    <w:link w:val="FuzeileZchn"/>
    <w:uiPriority w:val="99"/>
    <w:unhideWhenUsed/>
    <w:rsid w:val="00A070C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070CB"/>
  </w:style>
  <w:style w:type="paragraph" w:styleId="StandardWeb">
    <w:name w:val="Normal (Web)"/>
    <w:basedOn w:val="Standard"/>
    <w:uiPriority w:val="99"/>
    <w:semiHidden/>
    <w:unhideWhenUsed/>
    <w:rsid w:val="00A070C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27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2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53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0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8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5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4F6D7B71AFD6D4F920406D06DA8F4CB" ma:contentTypeVersion="8" ma:contentTypeDescription="Ein neues Dokument erstellen." ma:contentTypeScope="" ma:versionID="68add1bdb98d820b9fcff0d89fab054b">
  <xsd:schema xmlns:xsd="http://www.w3.org/2001/XMLSchema" xmlns:xs="http://www.w3.org/2001/XMLSchema" xmlns:p="http://schemas.microsoft.com/office/2006/metadata/properties" xmlns:ns2="4b55f625-2a3a-4d94-b104-517eea75bd8d" targetNamespace="http://schemas.microsoft.com/office/2006/metadata/properties" ma:root="true" ma:fieldsID="44e066bf8aeb45000190bfc878da8f6e" ns2:_="">
    <xsd:import namespace="4b55f625-2a3a-4d94-b104-517eea75bd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55f625-2a3a-4d94-b104-517eea75b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228F0F9-7419-46E7-BB87-4F9CAA7742B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D720E7-00AB-4B0D-A2E5-2549447501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FF15F0-6948-4C31-A1C0-41A632372C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55f625-2a3a-4d94-b104-517eea75bd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CF88199-D0BA-574E-90CE-46FB8903C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Scholz</dc:creator>
  <cp:keywords/>
  <dc:description/>
  <cp:lastModifiedBy>Michael Scholz</cp:lastModifiedBy>
  <cp:revision>2</cp:revision>
  <dcterms:created xsi:type="dcterms:W3CDTF">2019-12-09T14:39:00Z</dcterms:created>
  <dcterms:modified xsi:type="dcterms:W3CDTF">2019-12-09T15:20:00Z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0x010100C4F6D7B71AFD6D4F920406D06DA8F4CB</vt:lpwstr>
  </property>
</Properties>
</file>