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B782E8" w14:textId="77777777" w:rsidR="002D26E0" w:rsidRPr="00656F20" w:rsidRDefault="002D26E0" w:rsidP="002D26E0">
      <w:pPr>
        <w:spacing w:before="100" w:beforeAutospacing="1" w:after="100" w:afterAutospacing="1" w:line="360" w:lineRule="auto"/>
        <w:outlineLvl w:val="0"/>
        <w:rPr>
          <w:spacing w:val="62"/>
          <w:sz w:val="32"/>
        </w:rPr>
      </w:pPr>
      <w:r w:rsidRPr="00F600FC">
        <w:rPr>
          <w:spacing w:val="62"/>
          <w:sz w:val="32"/>
        </w:rPr>
        <w:t>PRESSEINFORMATION</w:t>
      </w:r>
    </w:p>
    <w:p w14:paraId="6825D8F1" w14:textId="26CECF4D" w:rsidR="002D26E0" w:rsidRDefault="002D26E0" w:rsidP="002D26E0">
      <w:pPr>
        <w:spacing w:before="100" w:beforeAutospacing="1" w:after="100" w:afterAutospacing="1" w:line="360" w:lineRule="auto"/>
        <w:rPr>
          <w:b/>
          <w:sz w:val="28"/>
        </w:rPr>
      </w:pPr>
      <w:r>
        <w:t>Berlin, 2</w:t>
      </w:r>
      <w:r>
        <w:t>6</w:t>
      </w:r>
      <w:r>
        <w:t xml:space="preserve">. </w:t>
      </w:r>
      <w:r>
        <w:t>Novem</w:t>
      </w:r>
      <w:r>
        <w:t>ber 2018</w:t>
      </w:r>
      <w:r>
        <w:rPr>
          <w:b/>
          <w:sz w:val="28"/>
        </w:rPr>
        <w:t xml:space="preserve"> </w:t>
      </w:r>
    </w:p>
    <w:p w14:paraId="0F008D84" w14:textId="77777777" w:rsidR="002D26E0" w:rsidRPr="00D76A9A" w:rsidRDefault="002D26E0" w:rsidP="002D26E0">
      <w:pPr>
        <w:spacing w:before="100" w:beforeAutospacing="1" w:after="100" w:afterAutospacing="1" w:line="360" w:lineRule="auto"/>
        <w:ind w:right="-2126"/>
        <w:rPr>
          <w:b/>
          <w:sz w:val="28"/>
        </w:rPr>
      </w:pPr>
      <w:r>
        <w:rPr>
          <w:b/>
          <w:sz w:val="28"/>
        </w:rPr>
        <w:t xml:space="preserve">SIM-Karten-Management: </w:t>
      </w:r>
      <w:r>
        <w:rPr>
          <w:b/>
          <w:sz w:val="28"/>
        </w:rPr>
        <w:br/>
      </w:r>
      <w:r w:rsidRPr="00C51061">
        <w:rPr>
          <w:b/>
          <w:sz w:val="28"/>
        </w:rPr>
        <w:t>GWAdriga</w:t>
      </w:r>
      <w:r>
        <w:rPr>
          <w:b/>
          <w:sz w:val="28"/>
        </w:rPr>
        <w:t xml:space="preserve"> kooperiert mit </w:t>
      </w:r>
      <w:proofErr w:type="spellStart"/>
      <w:r>
        <w:rPr>
          <w:b/>
          <w:sz w:val="28"/>
        </w:rPr>
        <w:t>Telefónica</w:t>
      </w:r>
      <w:proofErr w:type="spellEnd"/>
      <w:r>
        <w:rPr>
          <w:b/>
          <w:sz w:val="28"/>
        </w:rPr>
        <w:t xml:space="preserve"> Deutschland</w:t>
      </w:r>
      <w:r w:rsidRPr="00344061">
        <w:rPr>
          <w:b/>
          <w:sz w:val="28"/>
        </w:rPr>
        <w:t xml:space="preserve"> </w:t>
      </w:r>
      <w:r w:rsidRPr="00344061">
        <w:rPr>
          <w:b/>
          <w:sz w:val="28"/>
        </w:rPr>
        <w:br/>
      </w:r>
      <w:r>
        <w:t>Optimale Integration in den Rollout-Prozess</w:t>
      </w:r>
    </w:p>
    <w:p w14:paraId="2341AD03" w14:textId="77777777" w:rsidR="002D26E0" w:rsidRDefault="002D26E0" w:rsidP="002D26E0">
      <w:pPr>
        <w:widowControl w:val="0"/>
        <w:autoSpaceDE w:val="0"/>
        <w:autoSpaceDN w:val="0"/>
        <w:adjustRightInd w:val="0"/>
        <w:spacing w:before="100" w:beforeAutospacing="1" w:after="100" w:afterAutospacing="1" w:line="360" w:lineRule="auto"/>
        <w:rPr>
          <w:b/>
          <w:sz w:val="20"/>
        </w:rPr>
      </w:pPr>
      <w:bookmarkStart w:id="0" w:name="_GoBack"/>
      <w:r>
        <w:rPr>
          <w:b/>
          <w:sz w:val="20"/>
        </w:rPr>
        <w:t xml:space="preserve">Der Berliner Full-Service-Anbieter GWAdriga setzt beim Smart-Meter-Rollout in Sachen SIM-Karten-Management auf eine enge Zusammenarbeit mit </w:t>
      </w:r>
      <w:proofErr w:type="spellStart"/>
      <w:r>
        <w:rPr>
          <w:b/>
          <w:sz w:val="20"/>
        </w:rPr>
        <w:t>Telefónica</w:t>
      </w:r>
      <w:proofErr w:type="spellEnd"/>
      <w:r>
        <w:rPr>
          <w:b/>
          <w:sz w:val="20"/>
        </w:rPr>
        <w:t xml:space="preserve"> Deutschland. Ausschlaggebend für die Entscheidung war das energiewirtschaftliche Know-how des Telekommunikationsunternehmens sowie die tiefe Integration in die Prozesse des Rollouts und der Gateway-Administration. </w:t>
      </w:r>
    </w:p>
    <w:p w14:paraId="29971E70" w14:textId="77777777" w:rsidR="002D26E0" w:rsidRPr="00407566" w:rsidRDefault="002D26E0" w:rsidP="002D26E0">
      <w:pPr>
        <w:widowControl w:val="0"/>
        <w:autoSpaceDE w:val="0"/>
        <w:autoSpaceDN w:val="0"/>
        <w:adjustRightInd w:val="0"/>
        <w:spacing w:before="100" w:beforeAutospacing="1" w:after="100" w:afterAutospacing="1" w:line="360" w:lineRule="auto"/>
        <w:rPr>
          <w:bCs/>
          <w:sz w:val="20"/>
        </w:rPr>
      </w:pPr>
      <w:r w:rsidRPr="00407566">
        <w:rPr>
          <w:bCs/>
          <w:sz w:val="20"/>
        </w:rPr>
        <w:t>„</w:t>
      </w:r>
      <w:proofErr w:type="spellStart"/>
      <w:r w:rsidRPr="00407566">
        <w:rPr>
          <w:bCs/>
          <w:sz w:val="20"/>
        </w:rPr>
        <w:t>Telef</w:t>
      </w:r>
      <w:r>
        <w:rPr>
          <w:bCs/>
          <w:sz w:val="20"/>
        </w:rPr>
        <w:t>ó</w:t>
      </w:r>
      <w:r w:rsidRPr="00407566">
        <w:rPr>
          <w:bCs/>
          <w:sz w:val="20"/>
        </w:rPr>
        <w:t>nica</w:t>
      </w:r>
      <w:proofErr w:type="spellEnd"/>
      <w:r w:rsidRPr="00407566">
        <w:rPr>
          <w:bCs/>
          <w:sz w:val="20"/>
        </w:rPr>
        <w:t xml:space="preserve"> </w:t>
      </w:r>
      <w:r>
        <w:rPr>
          <w:bCs/>
          <w:sz w:val="20"/>
        </w:rPr>
        <w:t xml:space="preserve">Deutschland </w:t>
      </w:r>
      <w:r w:rsidRPr="00407566">
        <w:rPr>
          <w:bCs/>
          <w:sz w:val="20"/>
        </w:rPr>
        <w:t xml:space="preserve">verfügt nicht nur über fundierte Erfahrungen im Energiemarkt, sondern arbeitet bereits seit längerem mit </w:t>
      </w:r>
      <w:r>
        <w:rPr>
          <w:bCs/>
          <w:sz w:val="20"/>
        </w:rPr>
        <w:t>den</w:t>
      </w:r>
      <w:r w:rsidRPr="00407566">
        <w:rPr>
          <w:bCs/>
          <w:sz w:val="20"/>
        </w:rPr>
        <w:t xml:space="preserve"> wichtigen Gateway-Herstellern an einer optimalen Gestaltung des Rollout-Prozesses“, erklärt Dr. </w:t>
      </w:r>
      <w:proofErr w:type="spellStart"/>
      <w:r w:rsidRPr="00407566">
        <w:rPr>
          <w:bCs/>
          <w:sz w:val="20"/>
        </w:rPr>
        <w:t>Ralfdieter</w:t>
      </w:r>
      <w:proofErr w:type="spellEnd"/>
      <w:r w:rsidRPr="00407566">
        <w:rPr>
          <w:bCs/>
          <w:sz w:val="20"/>
        </w:rPr>
        <w:t xml:space="preserve"> Füller, Geschäftsführer der GWAdriga GmbH &amp; Co. KG. Dabei bietet </w:t>
      </w:r>
      <w:proofErr w:type="spellStart"/>
      <w:r w:rsidRPr="00407566">
        <w:rPr>
          <w:bCs/>
          <w:sz w:val="20"/>
        </w:rPr>
        <w:t>Telef</w:t>
      </w:r>
      <w:r>
        <w:rPr>
          <w:bCs/>
          <w:sz w:val="20"/>
        </w:rPr>
        <w:t>ó</w:t>
      </w:r>
      <w:r w:rsidRPr="00407566">
        <w:rPr>
          <w:bCs/>
          <w:sz w:val="20"/>
        </w:rPr>
        <w:t>nica</w:t>
      </w:r>
      <w:proofErr w:type="spellEnd"/>
      <w:r w:rsidRPr="00407566">
        <w:rPr>
          <w:bCs/>
          <w:sz w:val="20"/>
        </w:rPr>
        <w:t xml:space="preserve"> </w:t>
      </w:r>
      <w:r>
        <w:rPr>
          <w:bCs/>
          <w:sz w:val="20"/>
        </w:rPr>
        <w:t xml:space="preserve">Deutschland </w:t>
      </w:r>
      <w:r w:rsidRPr="00407566">
        <w:rPr>
          <w:bCs/>
          <w:sz w:val="20"/>
        </w:rPr>
        <w:t>neben technischen Vorteilen auch vielfältige Verwaltungsmöglichkeiten</w:t>
      </w:r>
      <w:r>
        <w:rPr>
          <w:bCs/>
          <w:sz w:val="20"/>
        </w:rPr>
        <w:t xml:space="preserve"> im Rahmen des Kommunikationsmanagements</w:t>
      </w:r>
      <w:r w:rsidRPr="00AA0EF2">
        <w:rPr>
          <w:bCs/>
          <w:sz w:val="20"/>
        </w:rPr>
        <w:t xml:space="preserve">. „Das </w:t>
      </w:r>
      <w:proofErr w:type="spellStart"/>
      <w:r w:rsidRPr="00AA0EF2">
        <w:rPr>
          <w:bCs/>
          <w:sz w:val="20"/>
        </w:rPr>
        <w:t>Telefónica</w:t>
      </w:r>
      <w:proofErr w:type="spellEnd"/>
      <w:r w:rsidRPr="00AA0EF2">
        <w:rPr>
          <w:bCs/>
          <w:sz w:val="20"/>
        </w:rPr>
        <w:t>-</w:t>
      </w:r>
      <w:proofErr w:type="spellStart"/>
      <w:r w:rsidRPr="00AA0EF2">
        <w:rPr>
          <w:bCs/>
          <w:sz w:val="20"/>
        </w:rPr>
        <w:t>IoT</w:t>
      </w:r>
      <w:proofErr w:type="spellEnd"/>
      <w:r w:rsidRPr="00AA0EF2">
        <w:rPr>
          <w:bCs/>
          <w:sz w:val="20"/>
        </w:rPr>
        <w:t>-Portal</w:t>
      </w:r>
      <w:r w:rsidRPr="00407566">
        <w:rPr>
          <w:bCs/>
          <w:sz w:val="20"/>
        </w:rPr>
        <w:t xml:space="preserve"> ist sicherlich eine der besten Plattformen für das SIM-Karten-Management auf dem Markt. Damit wird die Abwicklung des Rollouts deutlich vereinfacht. Vor allem, wenn er richtig ins Rollen gekommen ist und große Stückzahlen an Gateways </w:t>
      </w:r>
      <w:r>
        <w:rPr>
          <w:bCs/>
          <w:sz w:val="20"/>
        </w:rPr>
        <w:t>verwaltet</w:t>
      </w:r>
      <w:r w:rsidRPr="00407566">
        <w:rPr>
          <w:bCs/>
          <w:sz w:val="20"/>
        </w:rPr>
        <w:t xml:space="preserve"> werden müssen“,</w:t>
      </w:r>
      <w:r>
        <w:rPr>
          <w:bCs/>
          <w:sz w:val="20"/>
        </w:rPr>
        <w:t xml:space="preserve"> so Füller weiter</w:t>
      </w:r>
      <w:r w:rsidRPr="00407566">
        <w:rPr>
          <w:bCs/>
          <w:sz w:val="20"/>
        </w:rPr>
        <w:t xml:space="preserve">. </w:t>
      </w:r>
      <w:r>
        <w:rPr>
          <w:bCs/>
          <w:sz w:val="20"/>
        </w:rPr>
        <w:t>„Dank unserer Erfahrungen aus Großbritannien mit einem Volumen von 24 Millionen SIM-Karten sehen wir uns bestens für den Rollout gerüstet und freuen uns, dass GWAdriga uns das Vertrauen schenkt“, sagt</w:t>
      </w:r>
      <w:r w:rsidRPr="00407566">
        <w:rPr>
          <w:bCs/>
          <w:sz w:val="20"/>
        </w:rPr>
        <w:t xml:space="preserve"> </w:t>
      </w:r>
      <w:r w:rsidRPr="00072FCD">
        <w:rPr>
          <w:bCs/>
          <w:sz w:val="20"/>
        </w:rPr>
        <w:t xml:space="preserve">Sven </w:t>
      </w:r>
      <w:proofErr w:type="spellStart"/>
      <w:r w:rsidRPr="00072FCD">
        <w:rPr>
          <w:bCs/>
          <w:sz w:val="20"/>
        </w:rPr>
        <w:t>Koltermann</w:t>
      </w:r>
      <w:proofErr w:type="spellEnd"/>
      <w:r w:rsidRPr="00072FCD">
        <w:rPr>
          <w:bCs/>
          <w:sz w:val="20"/>
        </w:rPr>
        <w:t xml:space="preserve">, Leader Energy </w:t>
      </w:r>
      <w:proofErr w:type="spellStart"/>
      <w:r w:rsidRPr="00072FCD">
        <w:rPr>
          <w:bCs/>
          <w:sz w:val="20"/>
        </w:rPr>
        <w:t>Sales</w:t>
      </w:r>
      <w:proofErr w:type="spellEnd"/>
      <w:r w:rsidRPr="00072FCD">
        <w:rPr>
          <w:bCs/>
          <w:sz w:val="20"/>
        </w:rPr>
        <w:t xml:space="preserve"> &amp; </w:t>
      </w:r>
      <w:proofErr w:type="spellStart"/>
      <w:r w:rsidRPr="00072FCD">
        <w:rPr>
          <w:bCs/>
          <w:sz w:val="20"/>
        </w:rPr>
        <w:t>Program</w:t>
      </w:r>
      <w:proofErr w:type="spellEnd"/>
      <w:r w:rsidRPr="00072FCD">
        <w:rPr>
          <w:bCs/>
          <w:sz w:val="20"/>
        </w:rPr>
        <w:t xml:space="preserve"> Lead Smart Energy</w:t>
      </w:r>
      <w:r w:rsidRPr="00581611">
        <w:rPr>
          <w:bCs/>
          <w:i/>
          <w:iCs/>
          <w:sz w:val="20"/>
        </w:rPr>
        <w:t xml:space="preserve"> </w:t>
      </w:r>
      <w:r w:rsidRPr="00072FCD">
        <w:rPr>
          <w:bCs/>
          <w:sz w:val="20"/>
        </w:rPr>
        <w:t>bei</w:t>
      </w:r>
      <w:r w:rsidRPr="00581611">
        <w:rPr>
          <w:bCs/>
          <w:i/>
          <w:iCs/>
          <w:sz w:val="20"/>
        </w:rPr>
        <w:t xml:space="preserve"> </w:t>
      </w:r>
      <w:proofErr w:type="spellStart"/>
      <w:r w:rsidRPr="00407566">
        <w:rPr>
          <w:bCs/>
          <w:sz w:val="20"/>
        </w:rPr>
        <w:t>Telef</w:t>
      </w:r>
      <w:r>
        <w:rPr>
          <w:bCs/>
          <w:sz w:val="20"/>
        </w:rPr>
        <w:t>ó</w:t>
      </w:r>
      <w:r w:rsidRPr="00407566">
        <w:rPr>
          <w:bCs/>
          <w:sz w:val="20"/>
        </w:rPr>
        <w:t>nica</w:t>
      </w:r>
      <w:proofErr w:type="spellEnd"/>
      <w:r w:rsidRPr="00407566">
        <w:rPr>
          <w:bCs/>
          <w:sz w:val="20"/>
        </w:rPr>
        <w:t xml:space="preserve"> </w:t>
      </w:r>
      <w:r>
        <w:rPr>
          <w:bCs/>
          <w:sz w:val="20"/>
        </w:rPr>
        <w:t>Deutschland</w:t>
      </w:r>
      <w:r w:rsidRPr="00407566">
        <w:rPr>
          <w:bCs/>
          <w:sz w:val="20"/>
        </w:rPr>
        <w:t xml:space="preserve">.  </w:t>
      </w:r>
    </w:p>
    <w:p w14:paraId="25777A11" w14:textId="77777777" w:rsidR="002D26E0" w:rsidRPr="00407566" w:rsidRDefault="002D26E0" w:rsidP="002D26E0">
      <w:pPr>
        <w:widowControl w:val="0"/>
        <w:autoSpaceDE w:val="0"/>
        <w:autoSpaceDN w:val="0"/>
        <w:adjustRightInd w:val="0"/>
        <w:spacing w:before="100" w:beforeAutospacing="1" w:after="100" w:afterAutospacing="1" w:line="360" w:lineRule="auto"/>
        <w:rPr>
          <w:bCs/>
          <w:sz w:val="20"/>
        </w:rPr>
      </w:pPr>
      <w:r>
        <w:rPr>
          <w:bCs/>
          <w:sz w:val="20"/>
        </w:rPr>
        <w:t xml:space="preserve">Technisch sprach vor allem die </w:t>
      </w:r>
      <w:proofErr w:type="spellStart"/>
      <w:r w:rsidRPr="00407566">
        <w:rPr>
          <w:bCs/>
          <w:sz w:val="20"/>
        </w:rPr>
        <w:t>für</w:t>
      </w:r>
      <w:proofErr w:type="spellEnd"/>
      <w:r w:rsidRPr="00407566">
        <w:rPr>
          <w:bCs/>
          <w:sz w:val="20"/>
        </w:rPr>
        <w:t xml:space="preserve"> </w:t>
      </w:r>
      <w:r>
        <w:rPr>
          <w:bCs/>
          <w:sz w:val="20"/>
        </w:rPr>
        <w:t xml:space="preserve">die </w:t>
      </w:r>
      <w:proofErr w:type="spellStart"/>
      <w:r>
        <w:rPr>
          <w:bCs/>
          <w:sz w:val="20"/>
        </w:rPr>
        <w:t>Machine</w:t>
      </w:r>
      <w:proofErr w:type="spellEnd"/>
      <w:r>
        <w:rPr>
          <w:bCs/>
          <w:sz w:val="20"/>
        </w:rPr>
        <w:t>-</w:t>
      </w:r>
      <w:proofErr w:type="spellStart"/>
      <w:r w:rsidRPr="00407566">
        <w:rPr>
          <w:bCs/>
          <w:sz w:val="20"/>
        </w:rPr>
        <w:t>to</w:t>
      </w:r>
      <w:proofErr w:type="spellEnd"/>
      <w:r w:rsidRPr="00407566">
        <w:rPr>
          <w:bCs/>
          <w:sz w:val="20"/>
        </w:rPr>
        <w:t>-</w:t>
      </w:r>
      <w:proofErr w:type="spellStart"/>
      <w:r w:rsidRPr="00407566">
        <w:rPr>
          <w:bCs/>
          <w:sz w:val="20"/>
        </w:rPr>
        <w:t>Machine</w:t>
      </w:r>
      <w:proofErr w:type="spellEnd"/>
      <w:r w:rsidRPr="00407566">
        <w:rPr>
          <w:bCs/>
          <w:sz w:val="20"/>
        </w:rPr>
        <w:t xml:space="preserve">-Kommunikation (M2M) optimierte </w:t>
      </w:r>
      <w:r>
        <w:rPr>
          <w:bCs/>
          <w:sz w:val="20"/>
        </w:rPr>
        <w:t xml:space="preserve">und international </w:t>
      </w:r>
      <w:proofErr w:type="spellStart"/>
      <w:r>
        <w:rPr>
          <w:bCs/>
          <w:sz w:val="20"/>
        </w:rPr>
        <w:t>roamingfähige</w:t>
      </w:r>
      <w:proofErr w:type="spellEnd"/>
      <w:r>
        <w:rPr>
          <w:bCs/>
          <w:sz w:val="20"/>
        </w:rPr>
        <w:t xml:space="preserve"> </w:t>
      </w:r>
      <w:r w:rsidRPr="00407566">
        <w:rPr>
          <w:bCs/>
          <w:sz w:val="20"/>
        </w:rPr>
        <w:t xml:space="preserve">SIM-Karte </w:t>
      </w:r>
      <w:r>
        <w:rPr>
          <w:bCs/>
          <w:sz w:val="20"/>
        </w:rPr>
        <w:t xml:space="preserve">für die Entscheidung zugunsten von </w:t>
      </w:r>
      <w:proofErr w:type="spellStart"/>
      <w:r w:rsidRPr="00407566">
        <w:rPr>
          <w:bCs/>
          <w:sz w:val="20"/>
        </w:rPr>
        <w:t>Telef</w:t>
      </w:r>
      <w:r>
        <w:rPr>
          <w:bCs/>
          <w:sz w:val="20"/>
        </w:rPr>
        <w:t>ó</w:t>
      </w:r>
      <w:r w:rsidRPr="00407566">
        <w:rPr>
          <w:bCs/>
          <w:sz w:val="20"/>
        </w:rPr>
        <w:t>nica</w:t>
      </w:r>
      <w:proofErr w:type="spellEnd"/>
      <w:r w:rsidRPr="00407566">
        <w:rPr>
          <w:bCs/>
          <w:sz w:val="20"/>
        </w:rPr>
        <w:t xml:space="preserve"> </w:t>
      </w:r>
      <w:r>
        <w:rPr>
          <w:bCs/>
          <w:sz w:val="20"/>
        </w:rPr>
        <w:t xml:space="preserve">Deutschland sowie das </w:t>
      </w:r>
      <w:proofErr w:type="gramStart"/>
      <w:r>
        <w:rPr>
          <w:bCs/>
          <w:sz w:val="20"/>
        </w:rPr>
        <w:t>Smart</w:t>
      </w:r>
      <w:proofErr w:type="gramEnd"/>
      <w:r>
        <w:rPr>
          <w:bCs/>
          <w:sz w:val="20"/>
        </w:rPr>
        <w:t xml:space="preserve"> Meter Gateway </w:t>
      </w:r>
      <w:proofErr w:type="spellStart"/>
      <w:r>
        <w:rPr>
          <w:bCs/>
          <w:sz w:val="20"/>
        </w:rPr>
        <w:t>Onboarding</w:t>
      </w:r>
      <w:proofErr w:type="spellEnd"/>
      <w:r>
        <w:rPr>
          <w:bCs/>
          <w:sz w:val="20"/>
        </w:rPr>
        <w:t>-Programm, durch welches die SIM-Karten optimal mit den Gateways funktionieren.</w:t>
      </w:r>
    </w:p>
    <w:bookmarkEnd w:id="0"/>
    <w:p w14:paraId="7392ADAC" w14:textId="77777777" w:rsidR="002D26E0" w:rsidRPr="00B034AA" w:rsidRDefault="002D26E0" w:rsidP="002D26E0">
      <w:pPr>
        <w:widowControl w:val="0"/>
        <w:autoSpaceDE w:val="0"/>
        <w:autoSpaceDN w:val="0"/>
        <w:adjustRightInd w:val="0"/>
        <w:spacing w:before="100" w:beforeAutospacing="1" w:after="100" w:afterAutospacing="1" w:line="360" w:lineRule="auto"/>
        <w:rPr>
          <w:bCs/>
          <w:sz w:val="20"/>
        </w:rPr>
      </w:pPr>
    </w:p>
    <w:tbl>
      <w:tblPr>
        <w:tblW w:w="9214" w:type="dxa"/>
        <w:tblCellMar>
          <w:left w:w="70" w:type="dxa"/>
          <w:right w:w="70" w:type="dxa"/>
        </w:tblCellMar>
        <w:tblLook w:val="0000" w:firstRow="0" w:lastRow="0" w:firstColumn="0" w:lastColumn="0" w:noHBand="0" w:noVBand="0"/>
      </w:tblPr>
      <w:tblGrid>
        <w:gridCol w:w="4253"/>
        <w:gridCol w:w="4961"/>
      </w:tblGrid>
      <w:tr w:rsidR="002D26E0" w:rsidRPr="003864F7" w14:paraId="4BF6B7B2" w14:textId="77777777" w:rsidTr="00E707A6">
        <w:trPr>
          <w:trHeight w:val="1283"/>
        </w:trPr>
        <w:tc>
          <w:tcPr>
            <w:tcW w:w="4253" w:type="dxa"/>
          </w:tcPr>
          <w:p w14:paraId="5D1D94F8" w14:textId="77777777" w:rsidR="002D26E0" w:rsidRPr="007812D5" w:rsidRDefault="002D26E0" w:rsidP="00E707A6">
            <w:pPr>
              <w:spacing w:before="100" w:beforeAutospacing="1" w:after="100" w:afterAutospacing="1" w:line="240" w:lineRule="auto"/>
              <w:ind w:left="-66"/>
              <w:rPr>
                <w:rFonts w:ascii="Arial" w:hAnsi="Arial" w:cs="Calibri"/>
                <w:sz w:val="16"/>
                <w:szCs w:val="26"/>
              </w:rPr>
            </w:pPr>
            <w:r w:rsidRPr="003864F7">
              <w:rPr>
                <w:rFonts w:ascii="Arial" w:hAnsi="Arial" w:cs="Calibri"/>
                <w:b/>
                <w:sz w:val="16"/>
                <w:szCs w:val="26"/>
              </w:rPr>
              <w:lastRenderedPageBreak/>
              <w:t>Weitere Informationen:</w:t>
            </w:r>
            <w:r w:rsidRPr="008A7267">
              <w:rPr>
                <w:rFonts w:ascii="OpenSans" w:hAnsi="OpenSans" w:cs="OpenSans"/>
                <w:color w:val="3F3F3F"/>
                <w:sz w:val="30"/>
                <w:szCs w:val="30"/>
                <w:lang w:bidi="th-TH"/>
              </w:rPr>
              <w:t xml:space="preserve"> </w:t>
            </w:r>
            <w:r w:rsidRPr="003864F7">
              <w:rPr>
                <w:rFonts w:ascii="Arial" w:hAnsi="Arial" w:cs="Calibri"/>
                <w:sz w:val="16"/>
                <w:szCs w:val="26"/>
              </w:rPr>
              <w:br/>
            </w:r>
            <w:r w:rsidRPr="00656F20">
              <w:rPr>
                <w:rFonts w:ascii="Arial" w:hAnsi="Arial" w:cs="Calibri"/>
                <w:sz w:val="16"/>
                <w:szCs w:val="26"/>
              </w:rPr>
              <w:t>GWAdriga GmbH &amp; Co.</w:t>
            </w:r>
            <w:r>
              <w:rPr>
                <w:rFonts w:ascii="Arial" w:hAnsi="Arial" w:cs="Calibri"/>
                <w:sz w:val="16"/>
                <w:szCs w:val="26"/>
              </w:rPr>
              <w:t xml:space="preserve"> </w:t>
            </w:r>
            <w:r w:rsidRPr="00656F20">
              <w:rPr>
                <w:rFonts w:ascii="Arial" w:hAnsi="Arial" w:cs="Calibri"/>
                <w:sz w:val="16"/>
                <w:szCs w:val="26"/>
              </w:rPr>
              <w:t>KG</w:t>
            </w:r>
            <w:r>
              <w:rPr>
                <w:rFonts w:ascii="Arial" w:hAnsi="Arial" w:cs="Calibri"/>
                <w:sz w:val="16"/>
                <w:szCs w:val="26"/>
              </w:rPr>
              <w:t xml:space="preserve"> – Dr. </w:t>
            </w:r>
            <w:proofErr w:type="spellStart"/>
            <w:r w:rsidRPr="007812D5">
              <w:rPr>
                <w:rFonts w:ascii="Arial" w:hAnsi="Arial" w:cs="Calibri"/>
                <w:sz w:val="16"/>
                <w:szCs w:val="26"/>
              </w:rPr>
              <w:t>Micha</w:t>
            </w:r>
            <w:r w:rsidRPr="00C77EC1">
              <w:rPr>
                <w:rFonts w:ascii="Arial" w:hAnsi="Arial" w:cs="Calibri"/>
                <w:sz w:val="16"/>
                <w:szCs w:val="26"/>
              </w:rPr>
              <w:t>ł</w:t>
            </w:r>
            <w:proofErr w:type="spellEnd"/>
            <w:r w:rsidRPr="007812D5">
              <w:rPr>
                <w:rFonts w:ascii="Arial" w:hAnsi="Arial" w:cs="Calibri"/>
                <w:sz w:val="16"/>
                <w:szCs w:val="26"/>
              </w:rPr>
              <w:t xml:space="preserve"> </w:t>
            </w:r>
            <w:proofErr w:type="spellStart"/>
            <w:r w:rsidRPr="007812D5">
              <w:rPr>
                <w:rFonts w:ascii="Arial" w:hAnsi="Arial" w:cs="Calibri"/>
                <w:sz w:val="16"/>
                <w:szCs w:val="26"/>
              </w:rPr>
              <w:t>Sobótka</w:t>
            </w:r>
            <w:proofErr w:type="spellEnd"/>
            <w:r>
              <w:rPr>
                <w:rFonts w:ascii="Arial" w:hAnsi="Arial" w:cs="Calibri"/>
                <w:sz w:val="16"/>
                <w:szCs w:val="26"/>
              </w:rPr>
              <w:br/>
            </w:r>
            <w:r>
              <w:rPr>
                <w:rFonts w:ascii="Arial" w:hAnsi="Arial" w:cs="Calibri"/>
                <w:bCs/>
                <w:sz w:val="16"/>
                <w:szCs w:val="26"/>
              </w:rPr>
              <w:t>Kurfürstendamm 33 – 10719 Berlin</w:t>
            </w:r>
            <w:r>
              <w:rPr>
                <w:rFonts w:ascii="Arial" w:hAnsi="Arial" w:cs="Calibri"/>
                <w:bCs/>
                <w:sz w:val="16"/>
                <w:szCs w:val="26"/>
              </w:rPr>
              <w:br/>
              <w:t>Tel.:</w:t>
            </w:r>
            <w:r w:rsidRPr="00B6021A">
              <w:rPr>
                <w:rFonts w:ascii="Arial" w:hAnsi="Arial" w:cs="Calibri"/>
                <w:bCs/>
                <w:sz w:val="16"/>
                <w:szCs w:val="26"/>
              </w:rPr>
              <w:t xml:space="preserve"> +49 30 959 99 09-0</w:t>
            </w:r>
            <w:r>
              <w:rPr>
                <w:rFonts w:ascii="Arial" w:hAnsi="Arial" w:cs="Calibri"/>
                <w:bCs/>
                <w:sz w:val="16"/>
                <w:szCs w:val="26"/>
              </w:rPr>
              <w:br/>
              <w:t>info</w:t>
            </w:r>
            <w:r w:rsidRPr="0079185F">
              <w:rPr>
                <w:rFonts w:ascii="Arial" w:hAnsi="Arial" w:cs="Calibri"/>
                <w:bCs/>
                <w:sz w:val="16"/>
                <w:szCs w:val="26"/>
              </w:rPr>
              <w:t>@gwadriga.de</w:t>
            </w:r>
            <w:r>
              <w:rPr>
                <w:rFonts w:ascii="Arial" w:hAnsi="Arial" w:cs="Calibri"/>
                <w:bCs/>
                <w:sz w:val="16"/>
                <w:szCs w:val="26"/>
              </w:rPr>
              <w:br/>
            </w:r>
            <w:hyperlink r:id="rId7" w:history="1">
              <w:r w:rsidRPr="00241253">
                <w:rPr>
                  <w:rFonts w:ascii="Arial" w:hAnsi="Arial" w:cs="Calibri"/>
                  <w:bCs/>
                  <w:sz w:val="16"/>
                  <w:szCs w:val="26"/>
                </w:rPr>
                <w:t>www.gwadriga.de</w:t>
              </w:r>
            </w:hyperlink>
            <w:r>
              <w:rPr>
                <w:rFonts w:ascii="Arial" w:hAnsi="Arial" w:cs="Calibri"/>
                <w:bCs/>
                <w:sz w:val="16"/>
                <w:szCs w:val="26"/>
              </w:rPr>
              <w:br/>
            </w:r>
            <w:r w:rsidRPr="004C670F">
              <w:rPr>
                <w:rFonts w:ascii="Arial" w:hAnsi="Arial" w:cs="Calibri"/>
                <w:sz w:val="16"/>
                <w:szCs w:val="26"/>
              </w:rPr>
              <w:t>twitter.com/GWAdriga</w:t>
            </w:r>
            <w:r>
              <w:rPr>
                <w:rFonts w:ascii="Arial" w:hAnsi="Arial" w:cs="Calibri"/>
                <w:sz w:val="16"/>
                <w:szCs w:val="26"/>
              </w:rPr>
              <w:br/>
            </w:r>
            <w:r w:rsidRPr="00EC0F1A">
              <w:rPr>
                <w:rFonts w:ascii="Arial" w:hAnsi="Arial" w:cs="Calibri"/>
                <w:sz w:val="16"/>
                <w:szCs w:val="26"/>
              </w:rPr>
              <w:t>www.xing.com/companies/gwadrigagmbh</w:t>
            </w:r>
          </w:p>
        </w:tc>
        <w:tc>
          <w:tcPr>
            <w:tcW w:w="4961" w:type="dxa"/>
          </w:tcPr>
          <w:p w14:paraId="52E8E71A" w14:textId="77777777" w:rsidR="002D26E0" w:rsidRPr="003864F7" w:rsidRDefault="002D26E0" w:rsidP="00E707A6">
            <w:pPr>
              <w:spacing w:before="100" w:beforeAutospacing="1" w:after="100" w:afterAutospacing="1"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r>
            <w:r w:rsidRPr="00FA1DEE">
              <w:rPr>
                <w:rFonts w:ascii="Arial" w:hAnsi="Arial" w:cs="Calibri"/>
                <w:sz w:val="16"/>
                <w:szCs w:val="26"/>
              </w:rPr>
              <w:t>Press’n’Relations GmbH</w:t>
            </w:r>
            <w:r>
              <w:rPr>
                <w:rFonts w:ascii="Arial" w:hAnsi="Arial" w:cs="Calibri"/>
                <w:sz w:val="16"/>
                <w:szCs w:val="26"/>
              </w:rPr>
              <w:t xml:space="preserve"> – Uwe Pagel</w:t>
            </w:r>
            <w:r>
              <w:rPr>
                <w:rFonts w:ascii="Arial" w:hAnsi="Arial" w:cs="Calibri"/>
                <w:sz w:val="16"/>
                <w:szCs w:val="26"/>
              </w:rPr>
              <w:br/>
            </w:r>
            <w:r w:rsidRPr="00FA1DEE">
              <w:rPr>
                <w:rFonts w:ascii="Arial" w:hAnsi="Arial" w:cs="Calibri"/>
                <w:sz w:val="16"/>
                <w:szCs w:val="26"/>
              </w:rPr>
              <w:t>Magirusstraße 33 – D-89077 Ulm</w:t>
            </w:r>
            <w:r>
              <w:rPr>
                <w:rFonts w:ascii="Arial" w:hAnsi="Arial" w:cs="Calibri"/>
                <w:sz w:val="16"/>
                <w:szCs w:val="26"/>
              </w:rPr>
              <w:br/>
              <w:t>Tel.: +49 731 962 87-29</w:t>
            </w:r>
            <w:r>
              <w:rPr>
                <w:rFonts w:ascii="Arial" w:hAnsi="Arial" w:cs="Calibri"/>
                <w:sz w:val="16"/>
                <w:szCs w:val="26"/>
              </w:rPr>
              <w:br/>
            </w:r>
            <w:hyperlink r:id="rId8" w:history="1">
              <w:r w:rsidRPr="003864F7">
                <w:rPr>
                  <w:rFonts w:ascii="Arial" w:hAnsi="Arial" w:cs="Calibri"/>
                  <w:sz w:val="16"/>
                  <w:szCs w:val="26"/>
                </w:rPr>
                <w:t>upa@press-n-relations.de</w:t>
              </w:r>
            </w:hyperlink>
            <w:r>
              <w:rPr>
                <w:rFonts w:ascii="Arial" w:hAnsi="Arial" w:cs="Calibri"/>
                <w:sz w:val="16"/>
                <w:szCs w:val="26"/>
              </w:rPr>
              <w:br/>
              <w:t>www.press-n-relations.com</w:t>
            </w:r>
          </w:p>
        </w:tc>
      </w:tr>
    </w:tbl>
    <w:p w14:paraId="52F20D0B" w14:textId="77777777" w:rsidR="002D26E0" w:rsidRDefault="002D26E0" w:rsidP="002D26E0">
      <w:pPr>
        <w:spacing w:line="240" w:lineRule="auto"/>
        <w:rPr>
          <w:rFonts w:ascii="Arial" w:hAnsi="Arial" w:cs="Calibri"/>
          <w:b/>
          <w:sz w:val="16"/>
          <w:szCs w:val="26"/>
        </w:rPr>
      </w:pPr>
    </w:p>
    <w:p w14:paraId="2AEB2F9F" w14:textId="77777777" w:rsidR="002D26E0" w:rsidRPr="00352927" w:rsidRDefault="002D26E0" w:rsidP="002D26E0">
      <w:pPr>
        <w:spacing w:line="240" w:lineRule="auto"/>
        <w:rPr>
          <w:rFonts w:ascii="Arial" w:hAnsi="Arial" w:cs="Calibri"/>
          <w:b/>
          <w:sz w:val="16"/>
          <w:szCs w:val="26"/>
        </w:rPr>
      </w:pPr>
      <w:r w:rsidRPr="00352927">
        <w:rPr>
          <w:rFonts w:ascii="Arial" w:hAnsi="Arial" w:cs="Calibri"/>
          <w:b/>
          <w:sz w:val="16"/>
          <w:szCs w:val="26"/>
        </w:rPr>
        <w:t>GWAdriga</w:t>
      </w:r>
    </w:p>
    <w:p w14:paraId="1B8EAB53" w14:textId="77777777" w:rsidR="002D26E0" w:rsidRPr="00D776E6" w:rsidRDefault="002D26E0" w:rsidP="002D26E0">
      <w:pPr>
        <w:spacing w:line="240" w:lineRule="auto"/>
        <w:rPr>
          <w:rFonts w:ascii="Arial" w:hAnsi="Arial" w:cs="Calibri"/>
          <w:sz w:val="16"/>
          <w:szCs w:val="26"/>
        </w:rPr>
      </w:pPr>
      <w:r w:rsidRPr="00D776E6">
        <w:rPr>
          <w:rFonts w:ascii="Arial" w:hAnsi="Arial" w:cs="Calibri"/>
          <w:sz w:val="16"/>
          <w:szCs w:val="26"/>
        </w:rPr>
        <w:t xml:space="preserve">GWAdriga mit Sitz in Berlin ist Full-Service-Dienstleister für die Gateway-Administration und das Messdatenmanagement. Darüber hinaus entwickelt GWAdriga datenbasierte Mehrwertangebote für die Energiewirtschaft, etwa für das CLS-Management oder das Mehrsparten-Metering. Kernzielgruppe sind mittlere und große Versorgungsunternehmen, Filialisten und die Wohnungswirtschaft. Mit mehr als 4,1 Mio. Zählpunkten und 550.000 intelligenten Messsystemen verfügt GWAdriga über ein Mengengerüst, das einen wirtschaftlichen Betrieb der Smart-Meter-Gateway-Administration erlaubt. Zusätzlich profitieren die Kunden von einer starken Einkaufsgemeinschaft. GWAdriga wurde 2016 von EWE, </w:t>
      </w:r>
      <w:proofErr w:type="spellStart"/>
      <w:r w:rsidRPr="00D776E6">
        <w:rPr>
          <w:rFonts w:ascii="Arial" w:hAnsi="Arial" w:cs="Calibri"/>
          <w:sz w:val="16"/>
          <w:szCs w:val="26"/>
        </w:rPr>
        <w:t>RheinEnergie</w:t>
      </w:r>
      <w:proofErr w:type="spellEnd"/>
      <w:r w:rsidRPr="00D776E6">
        <w:rPr>
          <w:rFonts w:ascii="Arial" w:hAnsi="Arial" w:cs="Calibri"/>
          <w:sz w:val="16"/>
          <w:szCs w:val="26"/>
        </w:rPr>
        <w:t xml:space="preserve"> und Westfalen Weser Netz gegründet. Die verwendeten IT-Systeme werden von der BTC AG geliefert, einem IT-Unternehmen, das ebenfalls fest in der Energiewirtschaft verwurzelt ist.</w:t>
      </w:r>
    </w:p>
    <w:p w14:paraId="4B4F4A58" w14:textId="77777777" w:rsidR="002D26E0" w:rsidRDefault="002D26E0" w:rsidP="002D26E0"/>
    <w:p w14:paraId="3BE3FED7" w14:textId="77777777" w:rsidR="002D26E0" w:rsidRPr="00771044" w:rsidRDefault="002D26E0" w:rsidP="002D26E0">
      <w:pPr>
        <w:spacing w:line="240" w:lineRule="auto"/>
        <w:rPr>
          <w:rFonts w:ascii="Arial" w:hAnsi="Arial" w:cs="Calibri"/>
          <w:b/>
          <w:sz w:val="16"/>
          <w:szCs w:val="26"/>
        </w:rPr>
      </w:pPr>
      <w:proofErr w:type="spellStart"/>
      <w:r w:rsidRPr="00771044">
        <w:rPr>
          <w:rFonts w:ascii="Arial" w:hAnsi="Arial" w:cs="Calibri"/>
          <w:b/>
          <w:sz w:val="16"/>
          <w:szCs w:val="26"/>
        </w:rPr>
        <w:t>Telefónica</w:t>
      </w:r>
      <w:proofErr w:type="spellEnd"/>
      <w:r w:rsidRPr="00771044">
        <w:rPr>
          <w:rFonts w:ascii="Arial" w:hAnsi="Arial" w:cs="Calibri"/>
          <w:b/>
          <w:sz w:val="16"/>
          <w:szCs w:val="26"/>
        </w:rPr>
        <w:t xml:space="preserve"> Deutschland</w:t>
      </w:r>
    </w:p>
    <w:p w14:paraId="34B45506" w14:textId="77777777" w:rsidR="002D26E0" w:rsidRPr="00771044" w:rsidRDefault="002D26E0" w:rsidP="002D26E0">
      <w:pPr>
        <w:spacing w:line="240" w:lineRule="auto"/>
        <w:rPr>
          <w:rFonts w:ascii="Arial" w:hAnsi="Arial" w:cs="Calibri"/>
          <w:sz w:val="16"/>
          <w:szCs w:val="26"/>
        </w:rPr>
      </w:pPr>
      <w:proofErr w:type="spellStart"/>
      <w:r w:rsidRPr="00771044">
        <w:rPr>
          <w:rFonts w:ascii="Arial" w:hAnsi="Arial" w:cs="Calibri"/>
          <w:sz w:val="16"/>
          <w:szCs w:val="26"/>
        </w:rPr>
        <w:t>Telefónica</w:t>
      </w:r>
      <w:proofErr w:type="spellEnd"/>
      <w:r w:rsidRPr="00771044">
        <w:rPr>
          <w:rFonts w:ascii="Arial" w:hAnsi="Arial" w:cs="Calibri"/>
          <w:sz w:val="16"/>
          <w:szCs w:val="26"/>
        </w:rPr>
        <w:t xml:space="preserve"> Deutschland bietet Telekommunikationsdienste für Privat- und Geschäftskunden sowie innovative digitale Produkte und Services im Bereich Internet der Dinge und Datenanalyse. Mit insgesamt 49,4 Millionen Kundenanschlüssen (Stand: 30.06.2018) ist das Unternehmen einer der führenden integrierten Telekommunikationsanbieter in Deutschland. Allein im Mobilfunk betreut </w:t>
      </w:r>
      <w:proofErr w:type="spellStart"/>
      <w:r w:rsidRPr="00771044">
        <w:rPr>
          <w:rFonts w:ascii="Arial" w:hAnsi="Arial" w:cs="Calibri"/>
          <w:sz w:val="16"/>
          <w:szCs w:val="26"/>
        </w:rPr>
        <w:t>Telefónica</w:t>
      </w:r>
      <w:proofErr w:type="spellEnd"/>
      <w:r w:rsidRPr="00771044">
        <w:rPr>
          <w:rFonts w:ascii="Arial" w:hAnsi="Arial" w:cs="Calibri"/>
          <w:sz w:val="16"/>
          <w:szCs w:val="26"/>
        </w:rPr>
        <w:t xml:space="preserve"> Deutschland mehr als 45,2 Millionen Anschlüsse – kein Netzbetreiber verbindet hierzulande mehr Menschen. Bis 2022 will das Unternehmen zum „Mobile Customer &amp; Digital Champion“ werden, dem bevorzugten Partner der Kunden im deutschen Mobilfunkmarkt, der ihnen mobile Freiheit in der digitalen Welt ermöglicht. Unter der Kernmarke O2 sowie diversen Zweit- und Partnermarken vertreibt das Unternehmen Post- und Prepaid-Mobilfunkprodukte mit innovativen mobilen Datendiensten. Basis hierfür ist das auf einer leistungsfähigen GSM-, UMTS- und LTE-Infrastruktur basierende </w:t>
      </w:r>
      <w:hyperlink r:id="rId9" w:history="1">
        <w:r w:rsidRPr="00771044">
          <w:rPr>
            <w:rFonts w:ascii="Arial" w:hAnsi="Arial" w:cs="Calibri"/>
            <w:sz w:val="16"/>
            <w:szCs w:val="26"/>
          </w:rPr>
          <w:t>Mobilfunknetz</w:t>
        </w:r>
      </w:hyperlink>
      <w:r w:rsidRPr="00771044">
        <w:rPr>
          <w:rFonts w:ascii="Arial" w:hAnsi="Arial" w:cs="Calibri"/>
          <w:sz w:val="16"/>
          <w:szCs w:val="26"/>
        </w:rPr>
        <w:t xml:space="preserve">. </w:t>
      </w:r>
      <w:proofErr w:type="spellStart"/>
      <w:r w:rsidRPr="00771044">
        <w:rPr>
          <w:rFonts w:ascii="Arial" w:hAnsi="Arial" w:cs="Calibri"/>
          <w:sz w:val="16"/>
          <w:szCs w:val="26"/>
        </w:rPr>
        <w:t>Telefónica</w:t>
      </w:r>
      <w:proofErr w:type="spellEnd"/>
      <w:r w:rsidRPr="00771044">
        <w:rPr>
          <w:rFonts w:ascii="Arial" w:hAnsi="Arial" w:cs="Calibri"/>
          <w:sz w:val="16"/>
          <w:szCs w:val="26"/>
        </w:rPr>
        <w:t xml:space="preserve"> Deutschland stellt zudem im </w:t>
      </w:r>
      <w:hyperlink r:id="rId10" w:history="1">
        <w:r w:rsidRPr="00771044">
          <w:rPr>
            <w:rFonts w:ascii="Arial" w:hAnsi="Arial" w:cs="Calibri"/>
            <w:sz w:val="16"/>
            <w:szCs w:val="26"/>
          </w:rPr>
          <w:t>Festnetzbereich</w:t>
        </w:r>
      </w:hyperlink>
      <w:r w:rsidRPr="00771044">
        <w:rPr>
          <w:rFonts w:ascii="Arial" w:hAnsi="Arial" w:cs="Calibri"/>
          <w:sz w:val="16"/>
          <w:szCs w:val="26"/>
        </w:rPr>
        <w:t xml:space="preserve"> Telefonie- und Highspeed-Internet-Produkte wie VDSL zur Verfügung. Die </w:t>
      </w:r>
      <w:proofErr w:type="spellStart"/>
      <w:r w:rsidRPr="00771044">
        <w:rPr>
          <w:rFonts w:ascii="Arial" w:hAnsi="Arial" w:cs="Calibri"/>
          <w:sz w:val="16"/>
          <w:szCs w:val="26"/>
        </w:rPr>
        <w:t>Telefónica</w:t>
      </w:r>
      <w:proofErr w:type="spellEnd"/>
      <w:r w:rsidRPr="00771044">
        <w:rPr>
          <w:rFonts w:ascii="Arial" w:hAnsi="Arial" w:cs="Calibri"/>
          <w:sz w:val="16"/>
          <w:szCs w:val="26"/>
        </w:rPr>
        <w:t xml:space="preserve"> Deutschland Holding AG ist seit 2012 im Prime Standard an der Frankfurter Wertpapierbörse (</w:t>
      </w:r>
      <w:proofErr w:type="spellStart"/>
      <w:r w:rsidRPr="00771044">
        <w:rPr>
          <w:rFonts w:ascii="Arial" w:hAnsi="Arial" w:cs="Calibri"/>
          <w:sz w:val="16"/>
          <w:szCs w:val="26"/>
        </w:rPr>
        <w:t>TecDAX</w:t>
      </w:r>
      <w:proofErr w:type="spellEnd"/>
      <w:r w:rsidRPr="00771044">
        <w:rPr>
          <w:rFonts w:ascii="Arial" w:hAnsi="Arial" w:cs="Calibri"/>
          <w:sz w:val="16"/>
          <w:szCs w:val="26"/>
        </w:rPr>
        <w:t xml:space="preserve">) notiert. Im Geschäftsjahr 2017 erwirtschaftete das Unternehmen mit knapp 9.300 Mitarbeitern einen Umsatz von 7,3 Milliarden Euro. Das Unternehmen gehört mehrheitlich zum spanischen Telekommunikationskonzern </w:t>
      </w:r>
      <w:proofErr w:type="spellStart"/>
      <w:r w:rsidRPr="00771044">
        <w:rPr>
          <w:rFonts w:ascii="Arial" w:hAnsi="Arial" w:cs="Calibri"/>
          <w:sz w:val="16"/>
          <w:szCs w:val="26"/>
        </w:rPr>
        <w:t>Telefónica</w:t>
      </w:r>
      <w:proofErr w:type="spellEnd"/>
      <w:r w:rsidRPr="00771044">
        <w:rPr>
          <w:rFonts w:ascii="Arial" w:hAnsi="Arial" w:cs="Calibri"/>
          <w:sz w:val="16"/>
          <w:szCs w:val="26"/>
        </w:rPr>
        <w:t xml:space="preserve"> S.A. mit Sitz in Madrid. </w:t>
      </w:r>
      <w:proofErr w:type="gramStart"/>
      <w:r w:rsidRPr="00771044">
        <w:rPr>
          <w:rFonts w:ascii="Arial" w:hAnsi="Arial" w:cs="Calibri"/>
          <w:sz w:val="16"/>
          <w:szCs w:val="26"/>
        </w:rPr>
        <w:t>Mit einer Präsenz</w:t>
      </w:r>
      <w:proofErr w:type="gramEnd"/>
      <w:r w:rsidRPr="00771044">
        <w:rPr>
          <w:rFonts w:ascii="Arial" w:hAnsi="Arial" w:cs="Calibri"/>
          <w:sz w:val="16"/>
          <w:szCs w:val="26"/>
        </w:rPr>
        <w:t xml:space="preserve"> in 21 Ländern und einer Kundenbasis von fast 350 Millionen Anschlüssen gehört die Gruppe zu den größten Telekommunikationsanbietern der Welt.</w:t>
      </w:r>
    </w:p>
    <w:p w14:paraId="052E95A2" w14:textId="77777777" w:rsidR="002D26E0" w:rsidRPr="007B30A2" w:rsidRDefault="002D26E0" w:rsidP="002D26E0">
      <w:pPr>
        <w:spacing w:before="100" w:beforeAutospacing="1" w:after="100" w:afterAutospacing="1" w:line="360" w:lineRule="auto"/>
        <w:ind w:right="-2126"/>
      </w:pPr>
    </w:p>
    <w:p w14:paraId="7AD8CD51" w14:textId="610F2D52" w:rsidR="00A73196" w:rsidRPr="002D26E0" w:rsidRDefault="00A73196" w:rsidP="002D26E0"/>
    <w:sectPr w:rsidR="00A73196" w:rsidRPr="002D26E0" w:rsidSect="00867D0A">
      <w:headerReference w:type="default" r:id="rId11"/>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BF9928" w14:textId="77777777" w:rsidR="00E7783F" w:rsidRDefault="00E7783F">
      <w:pPr>
        <w:spacing w:line="240" w:lineRule="auto"/>
      </w:pPr>
      <w:r>
        <w:separator/>
      </w:r>
    </w:p>
  </w:endnote>
  <w:endnote w:type="continuationSeparator" w:id="0">
    <w:p w14:paraId="3D67502A" w14:textId="77777777" w:rsidR="00E7783F" w:rsidRDefault="00E7783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 Univers 45 Light">
    <w:altName w:val="Arial"/>
    <w:panose1 w:val="020B0604020202020204"/>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OpenSans">
    <w:altName w:val="Calibri"/>
    <w:panose1 w:val="020B0604020202020204"/>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AF1F74" w14:textId="77777777" w:rsidR="00E7783F" w:rsidRDefault="00E7783F">
      <w:pPr>
        <w:spacing w:line="240" w:lineRule="auto"/>
      </w:pPr>
      <w:r>
        <w:separator/>
      </w:r>
    </w:p>
  </w:footnote>
  <w:footnote w:type="continuationSeparator" w:id="0">
    <w:p w14:paraId="263A30D5" w14:textId="77777777" w:rsidR="00E7783F" w:rsidRDefault="00E7783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9340D" w14:textId="6C50C02D" w:rsidR="00BF2705" w:rsidRDefault="00304583" w:rsidP="003F13E4">
    <w:pPr>
      <w:pStyle w:val="Kopfzeile"/>
      <w:tabs>
        <w:tab w:val="clear" w:pos="9072"/>
        <w:tab w:val="right" w:pos="9639"/>
      </w:tabs>
      <w:ind w:right="-2267"/>
      <w:jc w:val="right"/>
    </w:pPr>
    <w:r>
      <w:rPr>
        <w:noProof/>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3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E09"/>
    <w:rsid w:val="00003414"/>
    <w:rsid w:val="00015E02"/>
    <w:rsid w:val="00020D70"/>
    <w:rsid w:val="00021EB3"/>
    <w:rsid w:val="0002211F"/>
    <w:rsid w:val="00024D51"/>
    <w:rsid w:val="0004067C"/>
    <w:rsid w:val="00053574"/>
    <w:rsid w:val="0005543D"/>
    <w:rsid w:val="00060B5E"/>
    <w:rsid w:val="00065508"/>
    <w:rsid w:val="0006708C"/>
    <w:rsid w:val="00072FCD"/>
    <w:rsid w:val="00090034"/>
    <w:rsid w:val="0009135A"/>
    <w:rsid w:val="000925D2"/>
    <w:rsid w:val="000A02C3"/>
    <w:rsid w:val="000B2CC2"/>
    <w:rsid w:val="000B32E1"/>
    <w:rsid w:val="000B70F9"/>
    <w:rsid w:val="000B7343"/>
    <w:rsid w:val="000C1B4C"/>
    <w:rsid w:val="000C21DC"/>
    <w:rsid w:val="000C24BA"/>
    <w:rsid w:val="000E1EC1"/>
    <w:rsid w:val="000E4C40"/>
    <w:rsid w:val="000E4CF8"/>
    <w:rsid w:val="000F1B8E"/>
    <w:rsid w:val="00102119"/>
    <w:rsid w:val="001068FE"/>
    <w:rsid w:val="001156A7"/>
    <w:rsid w:val="00127506"/>
    <w:rsid w:val="00137135"/>
    <w:rsid w:val="001516FC"/>
    <w:rsid w:val="001745E2"/>
    <w:rsid w:val="00174D88"/>
    <w:rsid w:val="00184FEC"/>
    <w:rsid w:val="0019393E"/>
    <w:rsid w:val="001A15F6"/>
    <w:rsid w:val="001A7856"/>
    <w:rsid w:val="001A7887"/>
    <w:rsid w:val="001B03BE"/>
    <w:rsid w:val="001B3FD3"/>
    <w:rsid w:val="001B72B0"/>
    <w:rsid w:val="001C2CC2"/>
    <w:rsid w:val="001D217F"/>
    <w:rsid w:val="001D7784"/>
    <w:rsid w:val="001E6A0D"/>
    <w:rsid w:val="001F1670"/>
    <w:rsid w:val="002038A2"/>
    <w:rsid w:val="00205C70"/>
    <w:rsid w:val="00207126"/>
    <w:rsid w:val="002203D0"/>
    <w:rsid w:val="002210CA"/>
    <w:rsid w:val="00224BEC"/>
    <w:rsid w:val="002264B4"/>
    <w:rsid w:val="00241253"/>
    <w:rsid w:val="00241BD9"/>
    <w:rsid w:val="002460DC"/>
    <w:rsid w:val="00263140"/>
    <w:rsid w:val="002649C0"/>
    <w:rsid w:val="00264B6B"/>
    <w:rsid w:val="00270260"/>
    <w:rsid w:val="00271453"/>
    <w:rsid w:val="00275814"/>
    <w:rsid w:val="00276BAB"/>
    <w:rsid w:val="0028567C"/>
    <w:rsid w:val="002913B8"/>
    <w:rsid w:val="002A1320"/>
    <w:rsid w:val="002A256B"/>
    <w:rsid w:val="002B1DAC"/>
    <w:rsid w:val="002D26E0"/>
    <w:rsid w:val="002E3FAD"/>
    <w:rsid w:val="002E580B"/>
    <w:rsid w:val="002E655F"/>
    <w:rsid w:val="002E7DE9"/>
    <w:rsid w:val="002F7A9C"/>
    <w:rsid w:val="003025C2"/>
    <w:rsid w:val="00304583"/>
    <w:rsid w:val="00313A08"/>
    <w:rsid w:val="00330403"/>
    <w:rsid w:val="0033656B"/>
    <w:rsid w:val="00344E8A"/>
    <w:rsid w:val="00347CA1"/>
    <w:rsid w:val="00352927"/>
    <w:rsid w:val="0035372D"/>
    <w:rsid w:val="00365F14"/>
    <w:rsid w:val="00372108"/>
    <w:rsid w:val="003774D9"/>
    <w:rsid w:val="003774DC"/>
    <w:rsid w:val="00383E6E"/>
    <w:rsid w:val="003864F7"/>
    <w:rsid w:val="00394C29"/>
    <w:rsid w:val="00397D1D"/>
    <w:rsid w:val="003A4AF3"/>
    <w:rsid w:val="003A6312"/>
    <w:rsid w:val="003B393F"/>
    <w:rsid w:val="003C54B3"/>
    <w:rsid w:val="003D7627"/>
    <w:rsid w:val="003E05C7"/>
    <w:rsid w:val="003E4BF2"/>
    <w:rsid w:val="003F13E4"/>
    <w:rsid w:val="004016CE"/>
    <w:rsid w:val="004022D9"/>
    <w:rsid w:val="00407566"/>
    <w:rsid w:val="00415A09"/>
    <w:rsid w:val="00415B29"/>
    <w:rsid w:val="0042053D"/>
    <w:rsid w:val="0044230A"/>
    <w:rsid w:val="00473487"/>
    <w:rsid w:val="00477D69"/>
    <w:rsid w:val="00483692"/>
    <w:rsid w:val="004A17BC"/>
    <w:rsid w:val="004A3941"/>
    <w:rsid w:val="004A77C5"/>
    <w:rsid w:val="004B0AA6"/>
    <w:rsid w:val="004B4D08"/>
    <w:rsid w:val="004C670F"/>
    <w:rsid w:val="004D2955"/>
    <w:rsid w:val="004D46EE"/>
    <w:rsid w:val="004D6233"/>
    <w:rsid w:val="004D6A64"/>
    <w:rsid w:val="00523C66"/>
    <w:rsid w:val="00533039"/>
    <w:rsid w:val="00533A4B"/>
    <w:rsid w:val="005354C8"/>
    <w:rsid w:val="00540996"/>
    <w:rsid w:val="00545F62"/>
    <w:rsid w:val="00547500"/>
    <w:rsid w:val="00562908"/>
    <w:rsid w:val="00581611"/>
    <w:rsid w:val="005A11DF"/>
    <w:rsid w:val="005B37AB"/>
    <w:rsid w:val="005B5953"/>
    <w:rsid w:val="005B69F7"/>
    <w:rsid w:val="005D3477"/>
    <w:rsid w:val="005F2463"/>
    <w:rsid w:val="005F250F"/>
    <w:rsid w:val="00611E7D"/>
    <w:rsid w:val="00632160"/>
    <w:rsid w:val="00633703"/>
    <w:rsid w:val="00636C9D"/>
    <w:rsid w:val="00641EDF"/>
    <w:rsid w:val="00655AD6"/>
    <w:rsid w:val="00656F20"/>
    <w:rsid w:val="006627B3"/>
    <w:rsid w:val="00662F6E"/>
    <w:rsid w:val="00665380"/>
    <w:rsid w:val="006733B7"/>
    <w:rsid w:val="006A7362"/>
    <w:rsid w:val="006B33FD"/>
    <w:rsid w:val="006D20AB"/>
    <w:rsid w:val="006D569E"/>
    <w:rsid w:val="006E614B"/>
    <w:rsid w:val="006F0204"/>
    <w:rsid w:val="006F7CD4"/>
    <w:rsid w:val="0070509A"/>
    <w:rsid w:val="00712FA5"/>
    <w:rsid w:val="00714910"/>
    <w:rsid w:val="0072054B"/>
    <w:rsid w:val="007402A6"/>
    <w:rsid w:val="0075007A"/>
    <w:rsid w:val="007551CD"/>
    <w:rsid w:val="0076074E"/>
    <w:rsid w:val="00766BD6"/>
    <w:rsid w:val="007775E9"/>
    <w:rsid w:val="007812D5"/>
    <w:rsid w:val="00781E34"/>
    <w:rsid w:val="0079185F"/>
    <w:rsid w:val="007969B6"/>
    <w:rsid w:val="007A3809"/>
    <w:rsid w:val="007B30A2"/>
    <w:rsid w:val="007B7FB5"/>
    <w:rsid w:val="007C461C"/>
    <w:rsid w:val="007D2EE4"/>
    <w:rsid w:val="007D693B"/>
    <w:rsid w:val="0081268C"/>
    <w:rsid w:val="0081410E"/>
    <w:rsid w:val="008156E5"/>
    <w:rsid w:val="00817376"/>
    <w:rsid w:val="00841FA4"/>
    <w:rsid w:val="008454F2"/>
    <w:rsid w:val="00862D3E"/>
    <w:rsid w:val="00867D0A"/>
    <w:rsid w:val="008A42F2"/>
    <w:rsid w:val="008A7267"/>
    <w:rsid w:val="008B142A"/>
    <w:rsid w:val="008B668B"/>
    <w:rsid w:val="008C6156"/>
    <w:rsid w:val="008D1B03"/>
    <w:rsid w:val="008E1FE1"/>
    <w:rsid w:val="008E2A3C"/>
    <w:rsid w:val="008E41CF"/>
    <w:rsid w:val="008E5CB3"/>
    <w:rsid w:val="00903C4E"/>
    <w:rsid w:val="00911985"/>
    <w:rsid w:val="00927781"/>
    <w:rsid w:val="00930DE2"/>
    <w:rsid w:val="00946981"/>
    <w:rsid w:val="0095002B"/>
    <w:rsid w:val="00953D67"/>
    <w:rsid w:val="00957FDF"/>
    <w:rsid w:val="009949EC"/>
    <w:rsid w:val="00994D7E"/>
    <w:rsid w:val="00994FB5"/>
    <w:rsid w:val="009A3CF3"/>
    <w:rsid w:val="009D0E09"/>
    <w:rsid w:val="009F1089"/>
    <w:rsid w:val="00A14D38"/>
    <w:rsid w:val="00A20007"/>
    <w:rsid w:val="00A42328"/>
    <w:rsid w:val="00A512FE"/>
    <w:rsid w:val="00A558AF"/>
    <w:rsid w:val="00A6793E"/>
    <w:rsid w:val="00A73196"/>
    <w:rsid w:val="00A74E33"/>
    <w:rsid w:val="00A81E50"/>
    <w:rsid w:val="00A93818"/>
    <w:rsid w:val="00AA0B8F"/>
    <w:rsid w:val="00AA7058"/>
    <w:rsid w:val="00AD03F4"/>
    <w:rsid w:val="00AD632D"/>
    <w:rsid w:val="00B034AA"/>
    <w:rsid w:val="00B03CE5"/>
    <w:rsid w:val="00B10D1F"/>
    <w:rsid w:val="00B205C8"/>
    <w:rsid w:val="00B27C58"/>
    <w:rsid w:val="00B34C8D"/>
    <w:rsid w:val="00B370DB"/>
    <w:rsid w:val="00B40D3F"/>
    <w:rsid w:val="00B4364E"/>
    <w:rsid w:val="00B67B84"/>
    <w:rsid w:val="00B86B99"/>
    <w:rsid w:val="00B90BE4"/>
    <w:rsid w:val="00B93F6C"/>
    <w:rsid w:val="00BD1B79"/>
    <w:rsid w:val="00BD4A34"/>
    <w:rsid w:val="00BE2AC9"/>
    <w:rsid w:val="00BE2F91"/>
    <w:rsid w:val="00BE7E74"/>
    <w:rsid w:val="00BF2705"/>
    <w:rsid w:val="00BF33DF"/>
    <w:rsid w:val="00C01F35"/>
    <w:rsid w:val="00C07597"/>
    <w:rsid w:val="00C112B2"/>
    <w:rsid w:val="00C115A1"/>
    <w:rsid w:val="00C168D2"/>
    <w:rsid w:val="00C222A3"/>
    <w:rsid w:val="00C22804"/>
    <w:rsid w:val="00C25E21"/>
    <w:rsid w:val="00C30B6E"/>
    <w:rsid w:val="00C31A4D"/>
    <w:rsid w:val="00C34E55"/>
    <w:rsid w:val="00C45216"/>
    <w:rsid w:val="00C51061"/>
    <w:rsid w:val="00C5706E"/>
    <w:rsid w:val="00C6472E"/>
    <w:rsid w:val="00C75D65"/>
    <w:rsid w:val="00C86034"/>
    <w:rsid w:val="00C919C6"/>
    <w:rsid w:val="00CA6FF5"/>
    <w:rsid w:val="00CB1582"/>
    <w:rsid w:val="00CD15B6"/>
    <w:rsid w:val="00CE70B7"/>
    <w:rsid w:val="00CF66BF"/>
    <w:rsid w:val="00D21B9C"/>
    <w:rsid w:val="00D220C7"/>
    <w:rsid w:val="00D26D10"/>
    <w:rsid w:val="00D3093D"/>
    <w:rsid w:val="00D32ADD"/>
    <w:rsid w:val="00D33421"/>
    <w:rsid w:val="00D3372D"/>
    <w:rsid w:val="00D44597"/>
    <w:rsid w:val="00D45C5F"/>
    <w:rsid w:val="00D46106"/>
    <w:rsid w:val="00D50992"/>
    <w:rsid w:val="00D51201"/>
    <w:rsid w:val="00D53569"/>
    <w:rsid w:val="00D65121"/>
    <w:rsid w:val="00D731E8"/>
    <w:rsid w:val="00D76A9A"/>
    <w:rsid w:val="00D776E6"/>
    <w:rsid w:val="00D921AA"/>
    <w:rsid w:val="00D93DC8"/>
    <w:rsid w:val="00DA01D6"/>
    <w:rsid w:val="00DC5EBB"/>
    <w:rsid w:val="00DD08D4"/>
    <w:rsid w:val="00DD5A37"/>
    <w:rsid w:val="00DE3FF2"/>
    <w:rsid w:val="00DF16EC"/>
    <w:rsid w:val="00DF372A"/>
    <w:rsid w:val="00DF410D"/>
    <w:rsid w:val="00E02F73"/>
    <w:rsid w:val="00E05512"/>
    <w:rsid w:val="00E14934"/>
    <w:rsid w:val="00E15AA0"/>
    <w:rsid w:val="00E224E8"/>
    <w:rsid w:val="00E604AF"/>
    <w:rsid w:val="00E651F1"/>
    <w:rsid w:val="00E7783F"/>
    <w:rsid w:val="00E77ACB"/>
    <w:rsid w:val="00E84B0A"/>
    <w:rsid w:val="00E9408D"/>
    <w:rsid w:val="00E94DB3"/>
    <w:rsid w:val="00EC0F1A"/>
    <w:rsid w:val="00EC402F"/>
    <w:rsid w:val="00ED454E"/>
    <w:rsid w:val="00EF16AC"/>
    <w:rsid w:val="00EF3AA3"/>
    <w:rsid w:val="00F02EF8"/>
    <w:rsid w:val="00F111AE"/>
    <w:rsid w:val="00F1701B"/>
    <w:rsid w:val="00F179AA"/>
    <w:rsid w:val="00F21D00"/>
    <w:rsid w:val="00F607D6"/>
    <w:rsid w:val="00F64526"/>
    <w:rsid w:val="00F76505"/>
    <w:rsid w:val="00F83625"/>
    <w:rsid w:val="00F86E49"/>
    <w:rsid w:val="00F9192E"/>
    <w:rsid w:val="00FA2496"/>
    <w:rsid w:val="00FB14EF"/>
    <w:rsid w:val="00FC5655"/>
    <w:rsid w:val="00FC6873"/>
    <w:rsid w:val="00FD5DD0"/>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3">
    <w:name w:val="heading 3"/>
    <w:basedOn w:val="Standard"/>
    <w:next w:val="Standard"/>
    <w:link w:val="berschrift3Zchn"/>
    <w:rsid w:val="001B3FD3"/>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 w:type="character" w:customStyle="1" w:styleId="berschrift3Zchn">
    <w:name w:val="Überschrift 3 Zchn"/>
    <w:basedOn w:val="Absatz-Standardschriftart"/>
    <w:link w:val="berschrift3"/>
    <w:rsid w:val="001B3FD3"/>
    <w:rPr>
      <w:rFonts w:asciiTheme="majorHAnsi" w:eastAsiaTheme="majorEastAsia" w:hAnsiTheme="majorHAnsi" w:cstheme="majorBidi"/>
      <w:color w:val="243F60" w:themeColor="accent1" w:themeShade="7F"/>
      <w:sz w:val="24"/>
      <w:szCs w:val="24"/>
    </w:rPr>
  </w:style>
  <w:style w:type="paragraph" w:styleId="StandardWeb">
    <w:name w:val="Normal (Web)"/>
    <w:basedOn w:val="Standard"/>
    <w:semiHidden/>
    <w:unhideWhenUsed/>
    <w:rsid w:val="00407566"/>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313949605">
      <w:bodyDiv w:val="1"/>
      <w:marLeft w:val="0"/>
      <w:marRight w:val="0"/>
      <w:marTop w:val="0"/>
      <w:marBottom w:val="0"/>
      <w:divBdr>
        <w:top w:val="none" w:sz="0" w:space="0" w:color="auto"/>
        <w:left w:val="none" w:sz="0" w:space="0" w:color="auto"/>
        <w:bottom w:val="none" w:sz="0" w:space="0" w:color="auto"/>
        <w:right w:val="none" w:sz="0" w:space="0" w:color="auto"/>
      </w:divBdr>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932054240">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386638943">
      <w:bodyDiv w:val="1"/>
      <w:marLeft w:val="0"/>
      <w:marRight w:val="0"/>
      <w:marTop w:val="0"/>
      <w:marBottom w:val="0"/>
      <w:divBdr>
        <w:top w:val="none" w:sz="0" w:space="0" w:color="auto"/>
        <w:left w:val="none" w:sz="0" w:space="0" w:color="auto"/>
        <w:bottom w:val="none" w:sz="0" w:space="0" w:color="auto"/>
        <w:right w:val="none" w:sz="0" w:space="0" w:color="auto"/>
      </w:divBdr>
      <w:divsChild>
        <w:div w:id="205260626">
          <w:marLeft w:val="0"/>
          <w:marRight w:val="0"/>
          <w:marTop w:val="0"/>
          <w:marBottom w:val="0"/>
          <w:divBdr>
            <w:top w:val="none" w:sz="0" w:space="0" w:color="auto"/>
            <w:left w:val="none" w:sz="0" w:space="0" w:color="auto"/>
            <w:bottom w:val="none" w:sz="0" w:space="0" w:color="auto"/>
            <w:right w:val="none" w:sz="0" w:space="0" w:color="auto"/>
          </w:divBdr>
          <w:divsChild>
            <w:div w:id="808206541">
              <w:marLeft w:val="0"/>
              <w:marRight w:val="0"/>
              <w:marTop w:val="0"/>
              <w:marBottom w:val="0"/>
              <w:divBdr>
                <w:top w:val="none" w:sz="0" w:space="0" w:color="auto"/>
                <w:left w:val="none" w:sz="0" w:space="0" w:color="auto"/>
                <w:bottom w:val="none" w:sz="0" w:space="0" w:color="auto"/>
                <w:right w:val="none" w:sz="0" w:space="0" w:color="auto"/>
              </w:divBdr>
              <w:divsChild>
                <w:div w:id="2018581967">
                  <w:marLeft w:val="0"/>
                  <w:marRight w:val="0"/>
                  <w:marTop w:val="0"/>
                  <w:marBottom w:val="0"/>
                  <w:divBdr>
                    <w:top w:val="none" w:sz="0" w:space="0" w:color="auto"/>
                    <w:left w:val="none" w:sz="0" w:space="0" w:color="auto"/>
                    <w:bottom w:val="none" w:sz="0" w:space="0" w:color="auto"/>
                    <w:right w:val="none" w:sz="0" w:space="0" w:color="auto"/>
                  </w:divBdr>
                  <w:divsChild>
                    <w:div w:id="568341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0653781">
      <w:bodyDiv w:val="1"/>
      <w:marLeft w:val="0"/>
      <w:marRight w:val="0"/>
      <w:marTop w:val="0"/>
      <w:marBottom w:val="0"/>
      <w:divBdr>
        <w:top w:val="none" w:sz="0" w:space="0" w:color="auto"/>
        <w:left w:val="none" w:sz="0" w:space="0" w:color="auto"/>
        <w:bottom w:val="none" w:sz="0" w:space="0" w:color="auto"/>
        <w:right w:val="none" w:sz="0" w:space="0" w:color="auto"/>
      </w:divBdr>
      <w:divsChild>
        <w:div w:id="151877239">
          <w:marLeft w:val="0"/>
          <w:marRight w:val="0"/>
          <w:marTop w:val="0"/>
          <w:marBottom w:val="0"/>
          <w:divBdr>
            <w:top w:val="none" w:sz="0" w:space="0" w:color="auto"/>
            <w:left w:val="none" w:sz="0" w:space="0" w:color="auto"/>
            <w:bottom w:val="none" w:sz="0" w:space="0" w:color="auto"/>
            <w:right w:val="none" w:sz="0" w:space="0" w:color="auto"/>
          </w:divBdr>
          <w:divsChild>
            <w:div w:id="1050614749">
              <w:marLeft w:val="0"/>
              <w:marRight w:val="0"/>
              <w:marTop w:val="0"/>
              <w:marBottom w:val="0"/>
              <w:divBdr>
                <w:top w:val="none" w:sz="0" w:space="0" w:color="auto"/>
                <w:left w:val="none" w:sz="0" w:space="0" w:color="auto"/>
                <w:bottom w:val="none" w:sz="0" w:space="0" w:color="auto"/>
                <w:right w:val="none" w:sz="0" w:space="0" w:color="auto"/>
              </w:divBdr>
              <w:divsChild>
                <w:div w:id="1662806192">
                  <w:marLeft w:val="0"/>
                  <w:marRight w:val="0"/>
                  <w:marTop w:val="0"/>
                  <w:marBottom w:val="0"/>
                  <w:divBdr>
                    <w:top w:val="none" w:sz="0" w:space="0" w:color="auto"/>
                    <w:left w:val="none" w:sz="0" w:space="0" w:color="auto"/>
                    <w:bottom w:val="none" w:sz="0" w:space="0" w:color="auto"/>
                    <w:right w:val="none" w:sz="0" w:space="0" w:color="auto"/>
                  </w:divBdr>
                  <w:divsChild>
                    <w:div w:id="933827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593231">
      <w:bodyDiv w:val="1"/>
      <w:marLeft w:val="0"/>
      <w:marRight w:val="0"/>
      <w:marTop w:val="0"/>
      <w:marBottom w:val="0"/>
      <w:divBdr>
        <w:top w:val="none" w:sz="0" w:space="0" w:color="auto"/>
        <w:left w:val="none" w:sz="0" w:space="0" w:color="auto"/>
        <w:bottom w:val="none" w:sz="0" w:space="0" w:color="auto"/>
        <w:right w:val="none" w:sz="0" w:space="0" w:color="auto"/>
      </w:divBdr>
      <w:divsChild>
        <w:div w:id="1592664526">
          <w:marLeft w:val="0"/>
          <w:marRight w:val="0"/>
          <w:marTop w:val="0"/>
          <w:marBottom w:val="0"/>
          <w:divBdr>
            <w:top w:val="none" w:sz="0" w:space="0" w:color="auto"/>
            <w:left w:val="none" w:sz="0" w:space="0" w:color="auto"/>
            <w:bottom w:val="none" w:sz="0" w:space="0" w:color="auto"/>
            <w:right w:val="none" w:sz="0" w:space="0" w:color="auto"/>
          </w:divBdr>
          <w:divsChild>
            <w:div w:id="779185996">
              <w:marLeft w:val="0"/>
              <w:marRight w:val="0"/>
              <w:marTop w:val="0"/>
              <w:marBottom w:val="0"/>
              <w:divBdr>
                <w:top w:val="none" w:sz="0" w:space="0" w:color="auto"/>
                <w:left w:val="none" w:sz="0" w:space="0" w:color="auto"/>
                <w:bottom w:val="none" w:sz="0" w:space="0" w:color="auto"/>
                <w:right w:val="none" w:sz="0" w:space="0" w:color="auto"/>
              </w:divBdr>
              <w:divsChild>
                <w:div w:id="453641147">
                  <w:marLeft w:val="0"/>
                  <w:marRight w:val="0"/>
                  <w:marTop w:val="0"/>
                  <w:marBottom w:val="0"/>
                  <w:divBdr>
                    <w:top w:val="none" w:sz="0" w:space="0" w:color="auto"/>
                    <w:left w:val="none" w:sz="0" w:space="0" w:color="auto"/>
                    <w:bottom w:val="none" w:sz="0" w:space="0" w:color="auto"/>
                    <w:right w:val="none" w:sz="0" w:space="0" w:color="auto"/>
                  </w:divBdr>
                  <w:divsChild>
                    <w:div w:id="36333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gwadriga.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telefonica.de/netze/festnetz.html" TargetMode="External"/><Relationship Id="rId4" Type="http://schemas.openxmlformats.org/officeDocument/2006/relationships/webSettings" Target="webSettings.xml"/><Relationship Id="rId9" Type="http://schemas.openxmlformats.org/officeDocument/2006/relationships/hyperlink" Target="https://www.telefonica.de/netze/mobilfunknetz.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683</Words>
  <Characters>4310</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4984</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4</cp:revision>
  <cp:lastPrinted>2018-09-19T13:04:00Z</cp:lastPrinted>
  <dcterms:created xsi:type="dcterms:W3CDTF">2018-10-23T11:51:00Z</dcterms:created>
  <dcterms:modified xsi:type="dcterms:W3CDTF">2018-11-26T12:05:00Z</dcterms:modified>
</cp:coreProperties>
</file>