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88FFF" w14:textId="3386F508" w:rsidR="00CE307F" w:rsidRPr="00996BBB" w:rsidRDefault="00CE307F" w:rsidP="00996BBB">
      <w:pPr>
        <w:spacing w:line="360" w:lineRule="auto"/>
        <w:rPr>
          <w:b/>
          <w:bCs/>
        </w:rPr>
      </w:pPr>
      <w:r w:rsidRPr="00996BBB">
        <w:rPr>
          <w:b/>
          <w:bCs/>
        </w:rPr>
        <w:t xml:space="preserve">edna-Presserundgang E-world 2025 </w:t>
      </w:r>
      <w:r w:rsidR="00996BBB" w:rsidRPr="00996BBB">
        <w:rPr>
          <w:b/>
          <w:bCs/>
        </w:rPr>
        <w:t>–</w:t>
      </w:r>
      <w:r w:rsidRPr="00996BBB">
        <w:rPr>
          <w:b/>
          <w:bCs/>
        </w:rPr>
        <w:t xml:space="preserve"> Mittwoch</w:t>
      </w:r>
      <w:r w:rsidR="00996BBB" w:rsidRPr="00996BBB">
        <w:rPr>
          <w:b/>
          <w:bCs/>
        </w:rPr>
        <w:t xml:space="preserve"> 12. Februar 2025 von 15 bis 16 Uhr</w:t>
      </w:r>
    </w:p>
    <w:p w14:paraId="733C44E1" w14:textId="77777777" w:rsidR="005B53F6" w:rsidRDefault="005B53F6" w:rsidP="00996BBB">
      <w:pPr>
        <w:spacing w:line="360" w:lineRule="auto"/>
        <w:rPr>
          <w:b/>
          <w:bCs/>
        </w:rPr>
      </w:pPr>
    </w:p>
    <w:p w14:paraId="6C95C426" w14:textId="7D424ACB" w:rsidR="00996BBB" w:rsidRPr="005B53F6" w:rsidRDefault="00996BBB" w:rsidP="00996BBB">
      <w:pPr>
        <w:spacing w:line="360" w:lineRule="auto"/>
        <w:rPr>
          <w:b/>
          <w:bCs/>
          <w:sz w:val="28"/>
          <w:szCs w:val="28"/>
        </w:rPr>
      </w:pPr>
      <w:r w:rsidRPr="005B53F6">
        <w:rPr>
          <w:b/>
          <w:bCs/>
          <w:sz w:val="28"/>
          <w:szCs w:val="28"/>
        </w:rPr>
        <w:t>KI in der Praxis der Energiewirtschaft</w:t>
      </w:r>
    </w:p>
    <w:p w14:paraId="1FB9BD83" w14:textId="77777777" w:rsidR="00996BBB" w:rsidRPr="00996BBB" w:rsidRDefault="00996BBB" w:rsidP="00996BBB">
      <w:pPr>
        <w:spacing w:line="360" w:lineRule="auto"/>
        <w:rPr>
          <w:b/>
          <w:bCs/>
        </w:rPr>
      </w:pPr>
    </w:p>
    <w:p w14:paraId="501AF4B7" w14:textId="784F2DCE" w:rsidR="00996BBB" w:rsidRPr="002444CC" w:rsidRDefault="002444CC" w:rsidP="00996BBB">
      <w:pPr>
        <w:spacing w:line="360" w:lineRule="auto"/>
        <w:rPr>
          <w:sz w:val="22"/>
          <w:szCs w:val="22"/>
        </w:rPr>
      </w:pPr>
      <w:r w:rsidRPr="002444CC">
        <w:rPr>
          <w:b/>
          <w:bCs/>
          <w:sz w:val="22"/>
          <w:szCs w:val="22"/>
        </w:rPr>
        <w:t>Stationen</w:t>
      </w:r>
      <w:r w:rsidR="00996BBB" w:rsidRPr="002444CC">
        <w:rPr>
          <w:b/>
          <w:bCs/>
          <w:sz w:val="22"/>
          <w:szCs w:val="22"/>
        </w:rPr>
        <w:t>:</w:t>
      </w:r>
    </w:p>
    <w:p w14:paraId="4574F926" w14:textId="77777777" w:rsidR="00996BBB" w:rsidRPr="002444CC" w:rsidRDefault="00996BBB" w:rsidP="00996BBB">
      <w:pPr>
        <w:spacing w:line="360" w:lineRule="auto"/>
        <w:rPr>
          <w:sz w:val="22"/>
          <w:szCs w:val="22"/>
        </w:rPr>
      </w:pPr>
    </w:p>
    <w:p w14:paraId="0591925D" w14:textId="60449F86" w:rsidR="00CE307F" w:rsidRPr="002444CC" w:rsidRDefault="00996BBB" w:rsidP="00996BBB">
      <w:pPr>
        <w:pStyle w:val="Listenabsatz"/>
        <w:numPr>
          <w:ilvl w:val="0"/>
          <w:numId w:val="1"/>
        </w:numPr>
        <w:spacing w:line="360" w:lineRule="auto"/>
        <w:rPr>
          <w:b/>
          <w:bCs/>
          <w:sz w:val="22"/>
          <w:szCs w:val="22"/>
        </w:rPr>
      </w:pPr>
      <w:r w:rsidRPr="002444CC">
        <w:rPr>
          <w:b/>
          <w:bCs/>
          <w:sz w:val="22"/>
          <w:szCs w:val="22"/>
        </w:rPr>
        <w:t>Fraunhofer IOSB-AST</w:t>
      </w:r>
    </w:p>
    <w:p w14:paraId="39CBCBB2" w14:textId="77777777" w:rsidR="00996BBB" w:rsidRPr="002444CC" w:rsidRDefault="00996BBB" w:rsidP="00996BBB">
      <w:pPr>
        <w:spacing w:line="360" w:lineRule="auto"/>
        <w:ind w:left="360"/>
        <w:rPr>
          <w:sz w:val="22"/>
          <w:szCs w:val="22"/>
        </w:rPr>
      </w:pPr>
    </w:p>
    <w:p w14:paraId="7490E8CF" w14:textId="6828F024" w:rsidR="00CE307F" w:rsidRPr="002444CC" w:rsidRDefault="00CE307F" w:rsidP="00996BBB">
      <w:pPr>
        <w:spacing w:line="360" w:lineRule="auto"/>
        <w:rPr>
          <w:b/>
          <w:bCs/>
          <w:sz w:val="22"/>
          <w:szCs w:val="22"/>
        </w:rPr>
      </w:pPr>
      <w:r w:rsidRPr="002444CC">
        <w:rPr>
          <w:b/>
          <w:bCs/>
          <w:sz w:val="22"/>
          <w:szCs w:val="22"/>
        </w:rPr>
        <w:t>Wie künstliche Intelligenz klassische Prognoseansätze in Energiewirtschaft revolutioniert – Use Case Day-Ahead-Differenzzeitreihenprognose für die Albwerk GmbH &amp; Co. KG</w:t>
      </w:r>
    </w:p>
    <w:p w14:paraId="76403353" w14:textId="77777777" w:rsidR="00CE307F" w:rsidRPr="002444CC" w:rsidRDefault="00CE307F" w:rsidP="00996BBB">
      <w:pPr>
        <w:spacing w:line="360" w:lineRule="auto"/>
        <w:rPr>
          <w:sz w:val="22"/>
          <w:szCs w:val="22"/>
        </w:rPr>
      </w:pPr>
      <w:r w:rsidRPr="002444CC">
        <w:rPr>
          <w:sz w:val="22"/>
          <w:szCs w:val="22"/>
        </w:rPr>
        <w:t xml:space="preserve"> </w:t>
      </w:r>
    </w:p>
    <w:p w14:paraId="17FDE72C" w14:textId="77777777" w:rsidR="00CE307F" w:rsidRPr="002444CC" w:rsidRDefault="00CE307F" w:rsidP="00996BBB">
      <w:pPr>
        <w:spacing w:line="360" w:lineRule="auto"/>
        <w:rPr>
          <w:sz w:val="22"/>
          <w:szCs w:val="22"/>
        </w:rPr>
      </w:pPr>
      <w:r w:rsidRPr="002444CC">
        <w:rPr>
          <w:sz w:val="22"/>
          <w:szCs w:val="22"/>
        </w:rPr>
        <w:t>Verteilnetzbetreiber sind nach § 12 Absatz 3 der Stromnetzzugangsverordnung (StromNZV) verpflichtet, einen sogenannten Differenzbilanzkreis zu führen, in dem zu jeder Viertelstunde für alle Einspeisungen und Verbräuche die Abweichung zwischen geplanter und tatsächlicher Energiemenge bilanziert wird. Energieexperten des Fraunhofer IOSB-AST konnten nun bei der Albwerk GmbH &amp; Co. KG die Day-Ahead-Prognose für diese Zeitreihe, als Schattenprognose im Vergleich zum bisherigen Dienstleister, um rund 40 Prozent bezogen auf den mittleren absoluten Fehler (MAE) verbessern.</w:t>
      </w:r>
    </w:p>
    <w:p w14:paraId="43C5A420" w14:textId="77777777" w:rsidR="00CE307F" w:rsidRPr="002444CC" w:rsidRDefault="00CE307F" w:rsidP="00996BBB">
      <w:pPr>
        <w:spacing w:line="360" w:lineRule="auto"/>
        <w:rPr>
          <w:sz w:val="22"/>
          <w:szCs w:val="22"/>
        </w:rPr>
      </w:pPr>
      <w:r w:rsidRPr="002444CC">
        <w:rPr>
          <w:sz w:val="22"/>
          <w:szCs w:val="22"/>
        </w:rPr>
        <w:t>Zunächst wurden dafür in einer Kurzstudie die charakteristischen Eigenschaften des Differenzbilanzkreises bestimmt. Wesentliche Einflussfaktoren sind beispielsweise die Außentemperatur und die Globalstrahlung, da im untersuchten Netzgebiet eine hohe Anzahl an PV-Anlagen installiert ist. Anschließend wurde ein optimiertes Prognosemodell erstellt, das auf KI-Technologien basiert, sodass insbesondere nicht-lineare Charakteristiken der sogenannten Differenzbilanzaggregat-Zeitreihe (DBA) berücksichtigt werden.</w:t>
      </w:r>
    </w:p>
    <w:p w14:paraId="103649A7" w14:textId="77777777" w:rsidR="00CE307F" w:rsidRPr="002444CC" w:rsidRDefault="00CE307F" w:rsidP="00996BBB">
      <w:pPr>
        <w:spacing w:line="360" w:lineRule="auto"/>
        <w:rPr>
          <w:sz w:val="22"/>
          <w:szCs w:val="22"/>
        </w:rPr>
      </w:pPr>
      <w:r w:rsidRPr="002444CC">
        <w:rPr>
          <w:sz w:val="22"/>
          <w:szCs w:val="22"/>
        </w:rPr>
        <w:t xml:space="preserve"> </w:t>
      </w:r>
    </w:p>
    <w:p w14:paraId="0DB43FF9" w14:textId="77777777" w:rsidR="00CE307F" w:rsidRPr="002444CC" w:rsidRDefault="00CE307F" w:rsidP="00996BBB">
      <w:pPr>
        <w:spacing w:line="360" w:lineRule="auto"/>
        <w:rPr>
          <w:sz w:val="22"/>
          <w:szCs w:val="22"/>
        </w:rPr>
      </w:pPr>
      <w:r w:rsidRPr="002444CC">
        <w:rPr>
          <w:sz w:val="22"/>
          <w:szCs w:val="22"/>
        </w:rPr>
        <w:t>„Für die Erstellung des Prognosemodells war es wichtig, das Verhalten der DBA-Zeitreihe im Netzgebiet des Albwerks zu verstehen. Mithilfe unserer Analysetools konnten wir zum Beispiel tageszeitliche Muster sowie spezifische Kalendereffekte in den Zeitreihen identifizieren und somit die Modellparameter demensprechend konfigurieren“, erklärt Tom Bender, Prognoseexperte am Fraunhofer IOSB-AST.</w:t>
      </w:r>
    </w:p>
    <w:p w14:paraId="5706DEB1" w14:textId="77777777" w:rsidR="00CE307F" w:rsidRPr="002444CC" w:rsidRDefault="00CE307F" w:rsidP="00996BBB">
      <w:pPr>
        <w:spacing w:line="360" w:lineRule="auto"/>
        <w:rPr>
          <w:sz w:val="22"/>
          <w:szCs w:val="22"/>
        </w:rPr>
      </w:pPr>
      <w:r w:rsidRPr="002444CC">
        <w:rPr>
          <w:sz w:val="22"/>
          <w:szCs w:val="22"/>
        </w:rPr>
        <w:t xml:space="preserve"> </w:t>
      </w:r>
    </w:p>
    <w:p w14:paraId="3D99FEB9" w14:textId="77777777" w:rsidR="00CE307F" w:rsidRPr="002444CC" w:rsidRDefault="00CE307F" w:rsidP="00996BBB">
      <w:pPr>
        <w:spacing w:line="360" w:lineRule="auto"/>
        <w:rPr>
          <w:sz w:val="22"/>
          <w:szCs w:val="22"/>
        </w:rPr>
      </w:pPr>
      <w:r w:rsidRPr="002444CC">
        <w:rPr>
          <w:sz w:val="22"/>
          <w:szCs w:val="22"/>
        </w:rPr>
        <w:t xml:space="preserve">Die genaue Vorhersage der sogenannten Differenzzeitreihe wird mit wachsendem Ausbau der erneuerbaren Energien immer schwieriger, da bei der Prognose über das Standardlastprofil aktuelle </w:t>
      </w:r>
      <w:r w:rsidRPr="002444CC">
        <w:rPr>
          <w:sz w:val="22"/>
          <w:szCs w:val="22"/>
        </w:rPr>
        <w:lastRenderedPageBreak/>
        <w:t>Trends wie der Eigenverbrauch mittels Photovoltaik weitestgehend unberücksichtigt bleiben bzw. nur mit einem hohen zeitlichen Verzug abgebildet werden können. Andererseits bleibt das Standardlastprofil das Mittel der Wahl, solange noch kein großflächiger Smart-Meter-Rollout in Deutschland abgeschlossen ist. Betriebswirtschaftlich bedeutsam ist die Day-Ahead-Prognose für den Differenzbilanzkreis, da Differenzen zwischen vorhergesagten Werten und realem Verbrauch durch teure Ausgleichenergie kompensiert werden müssen.</w:t>
      </w:r>
    </w:p>
    <w:p w14:paraId="57CDD18D" w14:textId="77777777" w:rsidR="00CE307F" w:rsidRPr="002444CC" w:rsidRDefault="00CE307F" w:rsidP="00996BBB">
      <w:pPr>
        <w:spacing w:line="360" w:lineRule="auto"/>
        <w:rPr>
          <w:sz w:val="22"/>
          <w:szCs w:val="22"/>
        </w:rPr>
      </w:pPr>
      <w:r w:rsidRPr="002444CC">
        <w:rPr>
          <w:sz w:val="22"/>
          <w:szCs w:val="22"/>
        </w:rPr>
        <w:t xml:space="preserve"> </w:t>
      </w:r>
    </w:p>
    <w:p w14:paraId="0DECFFF8" w14:textId="77777777" w:rsidR="00CE307F" w:rsidRPr="002444CC" w:rsidRDefault="00CE307F" w:rsidP="00996BBB">
      <w:pPr>
        <w:spacing w:line="360" w:lineRule="auto"/>
        <w:rPr>
          <w:sz w:val="22"/>
          <w:szCs w:val="22"/>
        </w:rPr>
      </w:pPr>
      <w:r w:rsidRPr="002444CC">
        <w:rPr>
          <w:sz w:val="22"/>
          <w:szCs w:val="22"/>
        </w:rPr>
        <w:t>Seit Anfang 2024 wird die Fraunhofer-Prognoselösung im Testbetrieb beim Albwerk eingesetzt und die Prognosegüte verglichen und bewertet. Dabei wird täglich eine entsprechende Day-Ahead-Prognose für den Kunden generiert.</w:t>
      </w:r>
    </w:p>
    <w:p w14:paraId="5824763A" w14:textId="77777777" w:rsidR="00CE307F" w:rsidRPr="002444CC" w:rsidRDefault="00CE307F" w:rsidP="00996BBB">
      <w:pPr>
        <w:spacing w:line="360" w:lineRule="auto"/>
        <w:rPr>
          <w:sz w:val="22"/>
          <w:szCs w:val="22"/>
        </w:rPr>
      </w:pPr>
      <w:r w:rsidRPr="002444CC">
        <w:rPr>
          <w:sz w:val="22"/>
          <w:szCs w:val="22"/>
        </w:rPr>
        <w:t xml:space="preserve"> </w:t>
      </w:r>
    </w:p>
    <w:p w14:paraId="09D88490" w14:textId="77777777" w:rsidR="00CE307F" w:rsidRDefault="00CE307F" w:rsidP="00996BBB">
      <w:pPr>
        <w:spacing w:line="360" w:lineRule="auto"/>
        <w:rPr>
          <w:sz w:val="22"/>
          <w:szCs w:val="22"/>
        </w:rPr>
      </w:pPr>
      <w:r w:rsidRPr="002444CC">
        <w:rPr>
          <w:sz w:val="22"/>
          <w:szCs w:val="22"/>
        </w:rPr>
        <w:t>„Im bisherigen Analysezeitraum führte die ‚Schatten’-Day-Ahead-Prognose des Fraunhofer Instituts sowohl zu einer geringeren absoluten Ausgleichsenergiemenge als auch zu einer Senkung der entsprechenden Ausgleichsenergiekosten“, sagt Frank Dieterle, Leiter Energiewirtschaft, Albwerk GmbH &amp; Co. KG.</w:t>
      </w:r>
    </w:p>
    <w:p w14:paraId="100156C1" w14:textId="77777777" w:rsidR="005B53F6" w:rsidRPr="002444CC" w:rsidRDefault="005B53F6" w:rsidP="00996BBB">
      <w:pPr>
        <w:spacing w:line="360" w:lineRule="auto"/>
        <w:rPr>
          <w:sz w:val="22"/>
          <w:szCs w:val="22"/>
        </w:rPr>
      </w:pPr>
    </w:p>
    <w:p w14:paraId="0AD9F95C" w14:textId="77777777" w:rsidR="00996BBB" w:rsidRPr="002444CC" w:rsidRDefault="00996BBB">
      <w:pPr>
        <w:spacing w:line="360" w:lineRule="auto"/>
        <w:rPr>
          <w:sz w:val="22"/>
          <w:szCs w:val="22"/>
        </w:rPr>
      </w:pPr>
    </w:p>
    <w:p w14:paraId="2F78F0DC" w14:textId="77777777" w:rsidR="001E1335" w:rsidRPr="002444CC" w:rsidRDefault="001E1335" w:rsidP="001E1335">
      <w:pPr>
        <w:pStyle w:val="Listenabsatz"/>
        <w:numPr>
          <w:ilvl w:val="0"/>
          <w:numId w:val="1"/>
        </w:numPr>
        <w:spacing w:line="360" w:lineRule="auto"/>
        <w:rPr>
          <w:b/>
          <w:bCs/>
          <w:sz w:val="22"/>
          <w:szCs w:val="22"/>
        </w:rPr>
      </w:pPr>
      <w:r w:rsidRPr="002444CC">
        <w:rPr>
          <w:b/>
          <w:bCs/>
          <w:sz w:val="22"/>
          <w:szCs w:val="22"/>
        </w:rPr>
        <w:t>Kraftwerk Software Gruppe</w:t>
      </w:r>
    </w:p>
    <w:p w14:paraId="4DBCE49D" w14:textId="77777777" w:rsidR="001E1335" w:rsidRPr="002444CC" w:rsidRDefault="001E1335" w:rsidP="001E1335">
      <w:pPr>
        <w:spacing w:line="360" w:lineRule="auto"/>
        <w:rPr>
          <w:sz w:val="22"/>
          <w:szCs w:val="22"/>
        </w:rPr>
      </w:pPr>
    </w:p>
    <w:p w14:paraId="629B39D1" w14:textId="77777777" w:rsidR="001E1335" w:rsidRPr="002444CC" w:rsidRDefault="001E1335" w:rsidP="001E1335">
      <w:pPr>
        <w:spacing w:line="360" w:lineRule="auto"/>
        <w:rPr>
          <w:b/>
          <w:bCs/>
          <w:sz w:val="22"/>
          <w:szCs w:val="22"/>
        </w:rPr>
      </w:pPr>
      <w:r w:rsidRPr="002444CC">
        <w:rPr>
          <w:b/>
          <w:bCs/>
          <w:sz w:val="22"/>
          <w:szCs w:val="22"/>
        </w:rPr>
        <w:t>KI im operativen Netzbetrieb</w:t>
      </w:r>
    </w:p>
    <w:p w14:paraId="7805FE82" w14:textId="77777777" w:rsidR="001E1335" w:rsidRDefault="001E1335" w:rsidP="001E1335">
      <w:pPr>
        <w:spacing w:line="360" w:lineRule="auto"/>
        <w:rPr>
          <w:sz w:val="22"/>
          <w:szCs w:val="22"/>
        </w:rPr>
      </w:pPr>
      <w:r w:rsidRPr="002444CC">
        <w:rPr>
          <w:sz w:val="22"/>
          <w:szCs w:val="22"/>
        </w:rPr>
        <w:t>Das Praxisbeispiel zeigt, wie künstliche Intelligenz in mobilen Anwendungen den Monteur im Feld unterstützen und seine Arbeit erleichtern kann.</w:t>
      </w:r>
    </w:p>
    <w:p w14:paraId="1901BD89" w14:textId="77777777" w:rsidR="001E1335" w:rsidRDefault="001E1335" w:rsidP="001E1335">
      <w:pPr>
        <w:spacing w:line="360" w:lineRule="auto"/>
        <w:rPr>
          <w:sz w:val="22"/>
          <w:szCs w:val="22"/>
        </w:rPr>
      </w:pPr>
    </w:p>
    <w:p w14:paraId="72D0F16E" w14:textId="77777777" w:rsidR="001E1335" w:rsidRPr="001972D6" w:rsidRDefault="001E1335" w:rsidP="001E1335">
      <w:pPr>
        <w:spacing w:line="360" w:lineRule="auto"/>
        <w:rPr>
          <w:sz w:val="22"/>
          <w:szCs w:val="22"/>
        </w:rPr>
      </w:pPr>
      <w:r w:rsidRPr="001972D6">
        <w:rPr>
          <w:sz w:val="22"/>
          <w:szCs w:val="22"/>
        </w:rPr>
        <w:t>Beispiele für den praktischen Einsatz im Feld</w:t>
      </w:r>
      <w:r>
        <w:rPr>
          <w:sz w:val="22"/>
          <w:szCs w:val="22"/>
        </w:rPr>
        <w:t xml:space="preserve"> sind:</w:t>
      </w:r>
    </w:p>
    <w:p w14:paraId="54CAFFCC" w14:textId="77777777" w:rsidR="001E1335" w:rsidRPr="001972D6" w:rsidRDefault="001E1335" w:rsidP="001E1335">
      <w:pPr>
        <w:numPr>
          <w:ilvl w:val="0"/>
          <w:numId w:val="3"/>
        </w:numPr>
        <w:spacing w:line="360" w:lineRule="auto"/>
        <w:rPr>
          <w:sz w:val="22"/>
          <w:szCs w:val="22"/>
        </w:rPr>
      </w:pPr>
      <w:r w:rsidRPr="001972D6">
        <w:rPr>
          <w:sz w:val="22"/>
          <w:szCs w:val="22"/>
        </w:rPr>
        <w:t>Recherche in großen Datenmengen</w:t>
      </w:r>
    </w:p>
    <w:p w14:paraId="0AC41219" w14:textId="77777777" w:rsidR="001E1335" w:rsidRPr="001972D6" w:rsidRDefault="001E1335" w:rsidP="001E1335">
      <w:pPr>
        <w:numPr>
          <w:ilvl w:val="0"/>
          <w:numId w:val="3"/>
        </w:numPr>
        <w:spacing w:line="360" w:lineRule="auto"/>
        <w:rPr>
          <w:sz w:val="22"/>
          <w:szCs w:val="22"/>
        </w:rPr>
      </w:pPr>
      <w:r w:rsidRPr="001972D6">
        <w:rPr>
          <w:sz w:val="22"/>
          <w:szCs w:val="22"/>
        </w:rPr>
        <w:t>Prüfung von Fotos auf DSGVO-Compliance</w:t>
      </w:r>
    </w:p>
    <w:p w14:paraId="1EF70C85" w14:textId="77777777" w:rsidR="001E1335" w:rsidRPr="001972D6" w:rsidRDefault="001E1335" w:rsidP="001E1335">
      <w:pPr>
        <w:numPr>
          <w:ilvl w:val="0"/>
          <w:numId w:val="3"/>
        </w:numPr>
        <w:spacing w:line="360" w:lineRule="auto"/>
        <w:rPr>
          <w:sz w:val="22"/>
          <w:szCs w:val="22"/>
        </w:rPr>
      </w:pPr>
      <w:r w:rsidRPr="001972D6">
        <w:rPr>
          <w:sz w:val="22"/>
          <w:szCs w:val="22"/>
        </w:rPr>
        <w:t>Erfassung von Zählerständen</w:t>
      </w:r>
    </w:p>
    <w:p w14:paraId="06A81014" w14:textId="77777777" w:rsidR="001E1335" w:rsidRDefault="001E1335" w:rsidP="001E1335">
      <w:pPr>
        <w:spacing w:line="360" w:lineRule="auto"/>
        <w:rPr>
          <w:sz w:val="22"/>
          <w:szCs w:val="22"/>
        </w:rPr>
      </w:pPr>
      <w:r w:rsidRPr="002444CC">
        <w:rPr>
          <w:sz w:val="22"/>
          <w:szCs w:val="22"/>
        </w:rPr>
        <w:t xml:space="preserve"> </w:t>
      </w:r>
    </w:p>
    <w:p w14:paraId="787D86DC" w14:textId="77777777" w:rsidR="001E1335" w:rsidRDefault="001E1335" w:rsidP="001E1335">
      <w:pPr>
        <w:spacing w:line="360" w:lineRule="auto"/>
        <w:rPr>
          <w:sz w:val="22"/>
          <w:szCs w:val="22"/>
        </w:rPr>
      </w:pPr>
      <w:r>
        <w:rPr>
          <w:sz w:val="22"/>
          <w:szCs w:val="22"/>
        </w:rPr>
        <w:t>Dabei ist eine Verbindung zu zentralen, öffentlichen KI-Systemen häufig nicht gewünscht und im Feld oft nicht möglich. Dieser scheinbare Nachteil ist jedoch gerade im sensiblen Umfeld kritischer Infrastrukturen von Vorteil. Denn e</w:t>
      </w:r>
      <w:r w:rsidRPr="001972D6">
        <w:rPr>
          <w:sz w:val="22"/>
          <w:szCs w:val="22"/>
        </w:rPr>
        <w:t>ingespielte Daten fließen nicht automatisch in den Datenbestand zentraler, öffentlicher KI-Systeme ein. Ein Plus für Datenschutz und Informationssicherheit.</w:t>
      </w:r>
    </w:p>
    <w:p w14:paraId="02AB9D96" w14:textId="77777777" w:rsidR="001E1335" w:rsidRDefault="001E1335" w:rsidP="001E1335">
      <w:pPr>
        <w:spacing w:line="360" w:lineRule="auto"/>
        <w:rPr>
          <w:sz w:val="22"/>
          <w:szCs w:val="22"/>
        </w:rPr>
      </w:pPr>
    </w:p>
    <w:p w14:paraId="0CC93A1E" w14:textId="77777777" w:rsidR="001E1335" w:rsidRDefault="001E1335" w:rsidP="001E1335">
      <w:pPr>
        <w:spacing w:line="360" w:lineRule="auto"/>
        <w:rPr>
          <w:sz w:val="22"/>
          <w:szCs w:val="22"/>
        </w:rPr>
      </w:pPr>
      <w:r w:rsidRPr="001972D6">
        <w:rPr>
          <w:b/>
          <w:bCs/>
          <w:sz w:val="22"/>
          <w:szCs w:val="22"/>
        </w:rPr>
        <w:lastRenderedPageBreak/>
        <w:t xml:space="preserve">KI als Recherchehelfer: </w:t>
      </w:r>
      <w:r w:rsidRPr="001972D6">
        <w:rPr>
          <w:sz w:val="22"/>
          <w:szCs w:val="22"/>
        </w:rPr>
        <w:t>Monteure können auf ihren mobilen Geräten ohne Internetanbindung Fragen</w:t>
      </w:r>
      <w:r>
        <w:rPr>
          <w:sz w:val="22"/>
          <w:szCs w:val="22"/>
        </w:rPr>
        <w:t xml:space="preserve"> </w:t>
      </w:r>
      <w:r w:rsidRPr="001972D6">
        <w:rPr>
          <w:sz w:val="22"/>
          <w:szCs w:val="22"/>
        </w:rPr>
        <w:t>z. B. über Vorgehensweisen stellen und erhalten eine Antwort mit Verweis auf die jeweiligen Quellen.</w:t>
      </w:r>
      <w:r>
        <w:rPr>
          <w:sz w:val="22"/>
          <w:szCs w:val="22"/>
        </w:rPr>
        <w:t xml:space="preserve"> Über die KI sind solche Abfragen auch multilingual möglich, d.h. der Monteur stellt die Fragen und erhält die Antworten wahlweise auf Deutsch oder in seiner Muttersprache.</w:t>
      </w:r>
    </w:p>
    <w:p w14:paraId="1EC75457" w14:textId="77777777" w:rsidR="001E1335" w:rsidRDefault="001E1335" w:rsidP="001E1335">
      <w:pPr>
        <w:spacing w:line="360" w:lineRule="auto"/>
        <w:rPr>
          <w:b/>
          <w:bCs/>
          <w:sz w:val="22"/>
          <w:szCs w:val="22"/>
        </w:rPr>
      </w:pPr>
    </w:p>
    <w:p w14:paraId="5FFB43FE" w14:textId="77777777" w:rsidR="001E1335" w:rsidRPr="001972D6" w:rsidRDefault="001E1335" w:rsidP="001E1335">
      <w:pPr>
        <w:spacing w:line="360" w:lineRule="auto"/>
        <w:rPr>
          <w:sz w:val="22"/>
          <w:szCs w:val="22"/>
        </w:rPr>
      </w:pPr>
      <w:r w:rsidRPr="001972D6">
        <w:rPr>
          <w:b/>
          <w:bCs/>
          <w:sz w:val="22"/>
          <w:szCs w:val="22"/>
        </w:rPr>
        <w:t>KI als Aufpasser gegen Compliance-Verstöße:</w:t>
      </w:r>
      <w:r>
        <w:rPr>
          <w:sz w:val="22"/>
          <w:szCs w:val="22"/>
        </w:rPr>
        <w:t xml:space="preserve"> We</w:t>
      </w:r>
      <w:r w:rsidRPr="001972D6">
        <w:rPr>
          <w:sz w:val="22"/>
          <w:szCs w:val="22"/>
        </w:rPr>
        <w:t>nn Monteure Dokumentationsfotos anfertigen, sind dabei verschiedene Regeln zu beachten. Unter</w:t>
      </w:r>
      <w:r>
        <w:rPr>
          <w:sz w:val="22"/>
          <w:szCs w:val="22"/>
        </w:rPr>
        <w:t xml:space="preserve"> </w:t>
      </w:r>
      <w:r w:rsidRPr="001972D6">
        <w:rPr>
          <w:sz w:val="22"/>
          <w:szCs w:val="22"/>
        </w:rPr>
        <w:t>andere</w:t>
      </w:r>
      <w:r>
        <w:rPr>
          <w:sz w:val="22"/>
          <w:szCs w:val="22"/>
        </w:rPr>
        <w:t>m</w:t>
      </w:r>
      <w:r w:rsidRPr="001972D6">
        <w:rPr>
          <w:sz w:val="22"/>
          <w:szCs w:val="22"/>
        </w:rPr>
        <w:t xml:space="preserve"> dürfen die Rechte Dritter nicht dadurch </w:t>
      </w:r>
      <w:r>
        <w:rPr>
          <w:sz w:val="22"/>
          <w:szCs w:val="22"/>
        </w:rPr>
        <w:t xml:space="preserve"> </w:t>
      </w:r>
      <w:r w:rsidRPr="001972D6">
        <w:rPr>
          <w:sz w:val="22"/>
          <w:szCs w:val="22"/>
        </w:rPr>
        <w:t>verletzt werden, dass sie versehentlich auf Fotos zu sehen sind. KI kann das überwachen.</w:t>
      </w:r>
    </w:p>
    <w:p w14:paraId="456C5348" w14:textId="77777777" w:rsidR="001E1335" w:rsidRPr="001972D6" w:rsidRDefault="001E1335" w:rsidP="001E1335">
      <w:pPr>
        <w:spacing w:line="360" w:lineRule="auto"/>
        <w:rPr>
          <w:sz w:val="22"/>
          <w:szCs w:val="22"/>
        </w:rPr>
      </w:pPr>
    </w:p>
    <w:p w14:paraId="67C3D7E1" w14:textId="77777777" w:rsidR="001E1335" w:rsidRDefault="001E1335" w:rsidP="001E1335">
      <w:pPr>
        <w:spacing w:line="360" w:lineRule="auto"/>
        <w:rPr>
          <w:sz w:val="22"/>
          <w:szCs w:val="22"/>
        </w:rPr>
      </w:pPr>
      <w:r w:rsidRPr="001972D6">
        <w:rPr>
          <w:b/>
          <w:bCs/>
          <w:sz w:val="22"/>
          <w:szCs w:val="22"/>
        </w:rPr>
        <w:t>KI extrahiert Daten aus Fotos und anderen Quellen</w:t>
      </w:r>
      <w:r>
        <w:rPr>
          <w:b/>
          <w:bCs/>
          <w:sz w:val="22"/>
          <w:szCs w:val="22"/>
        </w:rPr>
        <w:t>:</w:t>
      </w:r>
      <w:r w:rsidRPr="001972D6">
        <w:rPr>
          <w:sz w:val="22"/>
          <w:szCs w:val="22"/>
        </w:rPr>
        <w:t xml:space="preserve"> Im operativen Netzbetrieb werden häufig Dokumentationsfotos gemacht. Diese zeigen Informationen, die dank KI nicht mehr zusätzlich erfasst werden müssen. So erkennt KI in Fotos von Energiezählern Serialnummern und Zählerstände oder liest</w:t>
      </w:r>
      <w:r>
        <w:rPr>
          <w:sz w:val="22"/>
          <w:szCs w:val="22"/>
        </w:rPr>
        <w:t xml:space="preserve"> </w:t>
      </w:r>
      <w:r w:rsidRPr="001972D6">
        <w:rPr>
          <w:sz w:val="22"/>
          <w:szCs w:val="22"/>
        </w:rPr>
        <w:t>aus dem Foto eines KVS die Bezeichnungen der Abgänge heraus.</w:t>
      </w:r>
    </w:p>
    <w:p w14:paraId="5F3DD410" w14:textId="77777777" w:rsidR="001E1335" w:rsidRDefault="001E1335" w:rsidP="001E1335">
      <w:pPr>
        <w:spacing w:line="360" w:lineRule="auto"/>
        <w:rPr>
          <w:sz w:val="22"/>
          <w:szCs w:val="22"/>
        </w:rPr>
      </w:pPr>
    </w:p>
    <w:p w14:paraId="61FD5748" w14:textId="77777777" w:rsidR="001E1335" w:rsidRDefault="001E1335" w:rsidP="001E1335">
      <w:pPr>
        <w:spacing w:line="360" w:lineRule="auto"/>
        <w:rPr>
          <w:sz w:val="22"/>
          <w:szCs w:val="22"/>
        </w:rPr>
      </w:pPr>
      <w:r w:rsidRPr="001972D6">
        <w:rPr>
          <w:sz w:val="22"/>
          <w:szCs w:val="22"/>
        </w:rPr>
        <w:t>Die Beispiele zeigen Einsatzfelder, denen die Europäische KI-Verordnung ein geringes Risiko zuschreibt. Daraus ergeben sich überschaubare Anforderungen an die jeweiligen Versorger:</w:t>
      </w:r>
    </w:p>
    <w:p w14:paraId="4F0A4D75" w14:textId="77777777" w:rsidR="001E1335" w:rsidRPr="001972D6" w:rsidRDefault="001E1335" w:rsidP="001E1335">
      <w:pPr>
        <w:spacing w:line="360" w:lineRule="auto"/>
        <w:rPr>
          <w:sz w:val="22"/>
          <w:szCs w:val="22"/>
        </w:rPr>
      </w:pPr>
    </w:p>
    <w:p w14:paraId="594A5559" w14:textId="77777777" w:rsidR="001E1335" w:rsidRPr="001972D6" w:rsidRDefault="001E1335" w:rsidP="001E1335">
      <w:pPr>
        <w:numPr>
          <w:ilvl w:val="0"/>
          <w:numId w:val="5"/>
        </w:numPr>
        <w:spacing w:line="360" w:lineRule="auto"/>
        <w:rPr>
          <w:sz w:val="22"/>
          <w:szCs w:val="22"/>
        </w:rPr>
      </w:pPr>
      <w:r w:rsidRPr="001972D6">
        <w:rPr>
          <w:sz w:val="22"/>
          <w:szCs w:val="22"/>
        </w:rPr>
        <w:t>Mitarbeiter müssen im Bereich KI-Kompetenz geschult werden.</w:t>
      </w:r>
    </w:p>
    <w:p w14:paraId="13B91AFD" w14:textId="77777777" w:rsidR="001E1335" w:rsidRPr="001972D6" w:rsidRDefault="001E1335" w:rsidP="001E1335">
      <w:pPr>
        <w:numPr>
          <w:ilvl w:val="0"/>
          <w:numId w:val="5"/>
        </w:numPr>
        <w:spacing w:line="360" w:lineRule="auto"/>
        <w:rPr>
          <w:sz w:val="22"/>
          <w:szCs w:val="22"/>
        </w:rPr>
      </w:pPr>
      <w:r w:rsidRPr="001972D6">
        <w:rPr>
          <w:sz w:val="22"/>
          <w:szCs w:val="22"/>
        </w:rPr>
        <w:t>Versorger müssen Ihre KI-Anwendungsfälle dokumentieren und regelmäßig eine Risikobewertung durchführen.</w:t>
      </w:r>
    </w:p>
    <w:p w14:paraId="3F4D25B7" w14:textId="77777777" w:rsidR="001E1335" w:rsidRDefault="001E1335" w:rsidP="001E1335">
      <w:pPr>
        <w:numPr>
          <w:ilvl w:val="0"/>
          <w:numId w:val="5"/>
        </w:numPr>
        <w:spacing w:line="360" w:lineRule="auto"/>
        <w:rPr>
          <w:sz w:val="22"/>
          <w:szCs w:val="22"/>
        </w:rPr>
      </w:pPr>
      <w:r w:rsidRPr="001972D6">
        <w:rPr>
          <w:sz w:val="22"/>
          <w:szCs w:val="22"/>
        </w:rPr>
        <w:t>Sie müssen Ihre Dokumentation auf Aufforderung vorlegen können.</w:t>
      </w:r>
    </w:p>
    <w:p w14:paraId="0DACB41A" w14:textId="77777777" w:rsidR="001E1335" w:rsidRDefault="001E1335" w:rsidP="001E1335">
      <w:pPr>
        <w:spacing w:line="360" w:lineRule="auto"/>
        <w:rPr>
          <w:sz w:val="22"/>
          <w:szCs w:val="22"/>
        </w:rPr>
      </w:pPr>
    </w:p>
    <w:p w14:paraId="7C1678B9" w14:textId="4712732F" w:rsidR="001972D6" w:rsidRPr="002444CC" w:rsidRDefault="001E1335" w:rsidP="00996BBB">
      <w:pPr>
        <w:spacing w:line="360" w:lineRule="auto"/>
        <w:rPr>
          <w:sz w:val="22"/>
          <w:szCs w:val="22"/>
        </w:rPr>
      </w:pPr>
      <w:r w:rsidRPr="001972D6">
        <w:rPr>
          <w:sz w:val="22"/>
          <w:szCs w:val="22"/>
        </w:rPr>
        <w:t xml:space="preserve">Ließe man KI z. B. direkt in die Netzsteuerung eingreifen, würde es sich um ein Hochrisiko-KI-System nach der KI-Verordnung handeln. </w:t>
      </w:r>
      <w:r>
        <w:rPr>
          <w:sz w:val="22"/>
          <w:szCs w:val="22"/>
        </w:rPr>
        <w:t xml:space="preserve"> </w:t>
      </w:r>
      <w:r w:rsidRPr="001972D6">
        <w:rPr>
          <w:sz w:val="22"/>
          <w:szCs w:val="22"/>
        </w:rPr>
        <w:t>In diesem Fall kämen erheblich höhere Prüfungs-, Dokumentations- und Meldepflichten auf die jeweiligen Versorger zu.</w:t>
      </w:r>
    </w:p>
    <w:p w14:paraId="37B4DEF7" w14:textId="77777777" w:rsidR="00B81D7A" w:rsidRDefault="00B81D7A" w:rsidP="00996BBB">
      <w:pPr>
        <w:spacing w:line="360" w:lineRule="auto"/>
        <w:rPr>
          <w:b/>
          <w:bCs/>
        </w:rPr>
      </w:pPr>
    </w:p>
    <w:p w14:paraId="4918F3AB" w14:textId="7AFCC4B7" w:rsidR="00B81D7A" w:rsidRPr="002444CC" w:rsidRDefault="00B81D7A" w:rsidP="00B81D7A">
      <w:pPr>
        <w:pStyle w:val="Listenabsatz"/>
        <w:numPr>
          <w:ilvl w:val="0"/>
          <w:numId w:val="1"/>
        </w:numPr>
        <w:spacing w:line="360" w:lineRule="auto"/>
        <w:rPr>
          <w:b/>
          <w:bCs/>
          <w:sz w:val="22"/>
          <w:szCs w:val="22"/>
        </w:rPr>
      </w:pPr>
      <w:r w:rsidRPr="002444CC">
        <w:rPr>
          <w:b/>
          <w:bCs/>
          <w:sz w:val="22"/>
          <w:szCs w:val="22"/>
        </w:rPr>
        <w:t>Volue</w:t>
      </w:r>
    </w:p>
    <w:p w14:paraId="3FE671AD" w14:textId="77777777" w:rsidR="00CB1586" w:rsidRDefault="00CB1586" w:rsidP="00B81D7A">
      <w:pPr>
        <w:spacing w:line="360" w:lineRule="auto"/>
      </w:pPr>
    </w:p>
    <w:p w14:paraId="08A72990" w14:textId="57AD9A17" w:rsidR="002444CC" w:rsidRPr="002444CC" w:rsidRDefault="00CB1586" w:rsidP="002444CC">
      <w:pPr>
        <w:spacing w:line="360" w:lineRule="auto"/>
        <w:rPr>
          <w:b/>
          <w:bCs/>
          <w:sz w:val="22"/>
          <w:szCs w:val="22"/>
        </w:rPr>
      </w:pPr>
      <w:r w:rsidRPr="002444CC">
        <w:rPr>
          <w:b/>
          <w:bCs/>
          <w:sz w:val="22"/>
          <w:szCs w:val="22"/>
        </w:rPr>
        <w:t>KI im Energie-Trading</w:t>
      </w:r>
      <w:r w:rsidR="002444CC" w:rsidRPr="002444CC">
        <w:rPr>
          <w:b/>
          <w:bCs/>
          <w:sz w:val="22"/>
          <w:szCs w:val="22"/>
        </w:rPr>
        <w:t>: Volue PowerBot stellt KI-gestütztes und risikobasiertes Trading-Modul vor</w:t>
      </w:r>
    </w:p>
    <w:p w14:paraId="4372F3E5" w14:textId="77777777" w:rsidR="002444CC" w:rsidRPr="002444CC" w:rsidRDefault="002444CC" w:rsidP="002444CC">
      <w:pPr>
        <w:spacing w:line="360" w:lineRule="auto"/>
        <w:rPr>
          <w:sz w:val="22"/>
          <w:szCs w:val="22"/>
        </w:rPr>
      </w:pPr>
    </w:p>
    <w:p w14:paraId="0FF21BB5" w14:textId="39FD3F52" w:rsidR="002444CC" w:rsidRDefault="002444CC" w:rsidP="002444CC">
      <w:pPr>
        <w:spacing w:line="360" w:lineRule="auto"/>
        <w:rPr>
          <w:sz w:val="22"/>
          <w:szCs w:val="22"/>
          <w:lang w:val="en-GB"/>
        </w:rPr>
      </w:pPr>
      <w:r w:rsidRPr="002444CC">
        <w:rPr>
          <w:sz w:val="22"/>
          <w:szCs w:val="22"/>
        </w:rPr>
        <w:t xml:space="preserve">PowerBot, ein Unternehmen der Volue-Gruppe, führt die nächste Generation eines risikobasierten und KI-getriebenen Handelsmodul für den Kurzfristhandel ein. Es erweitert das PowerBot-Portfolio um einen flexiblen, eigenständigen Ansatz für das kurzfristige Management von Unter- oder </w:t>
      </w:r>
      <w:r w:rsidRPr="002444CC">
        <w:rPr>
          <w:sz w:val="22"/>
          <w:szCs w:val="22"/>
        </w:rPr>
        <w:lastRenderedPageBreak/>
        <w:t xml:space="preserve">Überdeckungen. Das Modul ist Teil der ausgereiften PowerBot-Algorithmen-Landschaft, mit der die Teilnahme an Auktionen und dem kontinuierlichen Handel an den wichtigsten Europäischen Strommärkten möglich ist. </w:t>
      </w:r>
      <w:r w:rsidRPr="002444CC">
        <w:rPr>
          <w:sz w:val="22"/>
          <w:szCs w:val="22"/>
          <w:lang w:val="en-GB"/>
        </w:rPr>
        <w:t>Vorteile für Energiehändler sind:</w:t>
      </w:r>
    </w:p>
    <w:p w14:paraId="32CD5751" w14:textId="77777777" w:rsidR="001972D6" w:rsidRPr="002444CC" w:rsidRDefault="001972D6" w:rsidP="002444CC">
      <w:pPr>
        <w:spacing w:line="360" w:lineRule="auto"/>
        <w:rPr>
          <w:sz w:val="22"/>
          <w:szCs w:val="22"/>
        </w:rPr>
      </w:pPr>
    </w:p>
    <w:p w14:paraId="561DB08A" w14:textId="77777777" w:rsidR="002444CC" w:rsidRPr="002444CC" w:rsidRDefault="002444CC" w:rsidP="002444CC">
      <w:pPr>
        <w:numPr>
          <w:ilvl w:val="0"/>
          <w:numId w:val="2"/>
        </w:numPr>
        <w:spacing w:line="360" w:lineRule="auto"/>
        <w:rPr>
          <w:sz w:val="22"/>
          <w:szCs w:val="22"/>
        </w:rPr>
      </w:pPr>
      <w:r w:rsidRPr="002444CC">
        <w:rPr>
          <w:b/>
          <w:bCs/>
          <w:sz w:val="22"/>
          <w:szCs w:val="22"/>
        </w:rPr>
        <w:t>Automatisierte, risikoorientierte Entscheidungsfindung</w:t>
      </w:r>
      <w:r w:rsidRPr="002444CC">
        <w:rPr>
          <w:sz w:val="22"/>
          <w:szCs w:val="22"/>
        </w:rPr>
        <w:br/>
        <w:t>Das Modul bzw. die Plattform kann unabhängige Entscheidungen über die Handelshorizonte und die zu schließenden Positionen über verschiedene Kurzfristmärkte hinweg treffen. Eingeschlossen sind der Day-ahead-Markt, Intraday-Auktionen, der kontinuierliche Intraday-Handel und der Ausgleichsenergiemarkt.</w:t>
      </w:r>
    </w:p>
    <w:p w14:paraId="4C0A8A67" w14:textId="77777777" w:rsidR="002444CC" w:rsidRPr="002444CC" w:rsidRDefault="002444CC" w:rsidP="002444CC">
      <w:pPr>
        <w:numPr>
          <w:ilvl w:val="0"/>
          <w:numId w:val="2"/>
        </w:numPr>
        <w:spacing w:line="360" w:lineRule="auto"/>
        <w:rPr>
          <w:sz w:val="22"/>
          <w:szCs w:val="22"/>
        </w:rPr>
      </w:pPr>
      <w:r w:rsidRPr="002444CC">
        <w:rPr>
          <w:b/>
          <w:bCs/>
          <w:sz w:val="22"/>
          <w:szCs w:val="22"/>
        </w:rPr>
        <w:t>KI sagt Preisverteilung voraus</w:t>
      </w:r>
      <w:r w:rsidRPr="002444CC">
        <w:rPr>
          <w:sz w:val="22"/>
          <w:szCs w:val="22"/>
        </w:rPr>
        <w:br/>
        <w:t>Zugrunde liegt eine KI-gestützte Preisprognose. Nutzer können der von PowerBot mitgegebenen Prognoselösung vertrauen oder eine eigene einbinden. Die Prognosen sind dynamisch und werden zugunsten optimaler Handelsentscheidungen stets mit Echtzeitdaten abgeglichen.</w:t>
      </w:r>
    </w:p>
    <w:p w14:paraId="4B6C7D50" w14:textId="77777777" w:rsidR="002444CC" w:rsidRPr="002444CC" w:rsidRDefault="002444CC" w:rsidP="002444CC">
      <w:pPr>
        <w:numPr>
          <w:ilvl w:val="0"/>
          <w:numId w:val="2"/>
        </w:numPr>
        <w:spacing w:line="360" w:lineRule="auto"/>
        <w:rPr>
          <w:sz w:val="22"/>
          <w:szCs w:val="22"/>
        </w:rPr>
      </w:pPr>
      <w:r w:rsidRPr="002444CC">
        <w:rPr>
          <w:b/>
          <w:bCs/>
          <w:sz w:val="22"/>
          <w:szCs w:val="22"/>
        </w:rPr>
        <w:t>Optimierte Verteilung der Positionen über verschiedene Märkte</w:t>
      </w:r>
      <w:r w:rsidRPr="002444CC">
        <w:rPr>
          <w:sz w:val="22"/>
          <w:szCs w:val="22"/>
        </w:rPr>
        <w:t xml:space="preserve"> </w:t>
      </w:r>
      <w:r w:rsidRPr="002444CC">
        <w:rPr>
          <w:sz w:val="22"/>
          <w:szCs w:val="22"/>
        </w:rPr>
        <w:br/>
        <w:t>Anstatt auf den kontinuierlichen Handel am Intraday-Markt allein zu setzen, verteilt die Lösung die Positionen strategisch über verschiedene Kurzfristmärkte. Händler können so den Einfluss von Preisschwankungen verringern.</w:t>
      </w:r>
    </w:p>
    <w:p w14:paraId="1C10557C" w14:textId="77777777" w:rsidR="002444CC" w:rsidRPr="002444CC" w:rsidRDefault="002444CC" w:rsidP="002444CC">
      <w:pPr>
        <w:numPr>
          <w:ilvl w:val="0"/>
          <w:numId w:val="2"/>
        </w:numPr>
        <w:spacing w:line="360" w:lineRule="auto"/>
        <w:rPr>
          <w:sz w:val="22"/>
          <w:szCs w:val="22"/>
        </w:rPr>
      </w:pPr>
      <w:r w:rsidRPr="002444CC">
        <w:rPr>
          <w:b/>
          <w:bCs/>
          <w:sz w:val="22"/>
          <w:szCs w:val="22"/>
        </w:rPr>
        <w:t>Integrierte Vorhersage von Ungleichgewichten</w:t>
      </w:r>
      <w:r w:rsidRPr="002444CC">
        <w:rPr>
          <w:b/>
          <w:bCs/>
          <w:sz w:val="22"/>
          <w:szCs w:val="22"/>
        </w:rPr>
        <w:br/>
      </w:r>
      <w:r w:rsidRPr="002444CC">
        <w:rPr>
          <w:sz w:val="22"/>
          <w:szCs w:val="22"/>
        </w:rPr>
        <w:t>Typischerweise steigt die Gewissheit, welche Positionen zu schließen sind, je näher der letztmögliche Handelszeitpunkt kommt – zugleich verschlechtern sich allerdings meistens die Konditionen am Markt. Um solche „Last-Minute-Entscheidungen“ vermeiden zu können, bietet das neue Tool eine Vorhersage für die Über-/Unterdeckung und für die Marktpreise basierend auf aktuellen Echtzeitdaten und historischen Daten.</w:t>
      </w:r>
    </w:p>
    <w:p w14:paraId="39AC2D58" w14:textId="77777777" w:rsidR="002444CC" w:rsidRPr="002444CC" w:rsidRDefault="002444CC" w:rsidP="002444CC">
      <w:pPr>
        <w:numPr>
          <w:ilvl w:val="0"/>
          <w:numId w:val="2"/>
        </w:numPr>
        <w:spacing w:line="360" w:lineRule="auto"/>
        <w:rPr>
          <w:sz w:val="22"/>
          <w:szCs w:val="22"/>
        </w:rPr>
      </w:pPr>
      <w:r w:rsidRPr="002444CC">
        <w:rPr>
          <w:b/>
          <w:bCs/>
          <w:sz w:val="22"/>
          <w:szCs w:val="22"/>
        </w:rPr>
        <w:t>Demokratisierung des Kurzfristhandels</w:t>
      </w:r>
      <w:r w:rsidRPr="002444CC">
        <w:rPr>
          <w:sz w:val="22"/>
          <w:szCs w:val="22"/>
        </w:rPr>
        <w:br/>
        <w:t>Die neue Lösung reduziert die Komplexität des Portfoliomanagements und eröffnet kleineren Marktteilnehmern, unabhängig und ähnlich effizient wie die großen Player zu agieren.</w:t>
      </w:r>
    </w:p>
    <w:p w14:paraId="7BB92401" w14:textId="77777777" w:rsidR="002444CC" w:rsidRDefault="002444CC" w:rsidP="00B81D7A">
      <w:pPr>
        <w:spacing w:line="360" w:lineRule="auto"/>
      </w:pP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2444CC" w:rsidRPr="001E1335" w14:paraId="32EC57FD" w14:textId="77777777" w:rsidTr="00F647D1">
        <w:trPr>
          <w:trHeight w:val="1471"/>
        </w:trPr>
        <w:tc>
          <w:tcPr>
            <w:tcW w:w="5103" w:type="dxa"/>
            <w:tcBorders>
              <w:top w:val="nil"/>
              <w:left w:val="nil"/>
              <w:bottom w:val="nil"/>
              <w:right w:val="nil"/>
            </w:tcBorders>
            <w:shd w:val="clear" w:color="auto" w:fill="auto"/>
            <w:tcMar>
              <w:top w:w="80" w:type="dxa"/>
              <w:left w:w="80" w:type="dxa"/>
              <w:bottom w:w="80" w:type="dxa"/>
              <w:right w:w="80" w:type="dxa"/>
            </w:tcMar>
          </w:tcPr>
          <w:p w14:paraId="20E01616"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ind w:left="-78"/>
              <w:rPr>
                <w:rFonts w:asciiTheme="minorHAnsi" w:hAnsiTheme="minorHAnsi" w:cstheme="minorHAnsi"/>
                <w:b/>
                <w:bCs/>
                <w:i/>
                <w:iCs/>
                <w:sz w:val="16"/>
                <w:szCs w:val="16"/>
              </w:rPr>
            </w:pPr>
            <w:r w:rsidRPr="002444CC">
              <w:rPr>
                <w:rFonts w:asciiTheme="minorHAnsi" w:hAnsiTheme="minorHAnsi" w:cstheme="minorHAnsi"/>
                <w:b/>
                <w:bCs/>
                <w:i/>
                <w:iCs/>
                <w:sz w:val="16"/>
                <w:szCs w:val="16"/>
              </w:rPr>
              <w:t>Weitere Informationen:</w:t>
            </w:r>
          </w:p>
          <w:p w14:paraId="4FBC1525"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ind w:left="-78"/>
              <w:rPr>
                <w:rFonts w:asciiTheme="minorHAnsi" w:hAnsiTheme="minorHAnsi" w:cstheme="minorHAnsi"/>
                <w:b/>
                <w:bCs/>
                <w:sz w:val="16"/>
                <w:szCs w:val="16"/>
              </w:rPr>
            </w:pPr>
            <w:r w:rsidRPr="002444CC">
              <w:rPr>
                <w:rFonts w:asciiTheme="minorHAnsi" w:hAnsiTheme="minorHAnsi" w:cstheme="minorHAnsi"/>
                <w:b/>
                <w:bCs/>
                <w:sz w:val="16"/>
                <w:szCs w:val="16"/>
              </w:rPr>
              <w:t xml:space="preserve">edna Bundesverband Energiemarkt &amp; Kommunikation e.V. </w:t>
            </w:r>
          </w:p>
          <w:p w14:paraId="7D840D65"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ind w:left="-78"/>
              <w:rPr>
                <w:rFonts w:asciiTheme="minorHAnsi" w:hAnsiTheme="minorHAnsi" w:cstheme="minorHAnsi"/>
                <w:sz w:val="16"/>
                <w:szCs w:val="16"/>
              </w:rPr>
            </w:pPr>
            <w:r w:rsidRPr="002444CC">
              <w:rPr>
                <w:rFonts w:asciiTheme="minorHAnsi" w:hAnsiTheme="minorHAnsi" w:cstheme="minorHAnsi"/>
                <w:b/>
                <w:bCs/>
                <w:sz w:val="16"/>
                <w:szCs w:val="16"/>
              </w:rPr>
              <w:t xml:space="preserve">Richard Plum – </w:t>
            </w:r>
            <w:r w:rsidRPr="002444CC">
              <w:rPr>
                <w:rFonts w:asciiTheme="minorHAnsi" w:hAnsiTheme="minorHAnsi" w:cstheme="minorHAnsi"/>
                <w:sz w:val="16"/>
                <w:szCs w:val="16"/>
              </w:rPr>
              <w:t>c/o PSW Energy GmbH</w:t>
            </w:r>
            <w:r w:rsidRPr="002444CC">
              <w:rPr>
                <w:rFonts w:asciiTheme="minorHAnsi" w:hAnsiTheme="minorHAnsi" w:cstheme="minorHAnsi"/>
                <w:sz w:val="16"/>
                <w:szCs w:val="16"/>
              </w:rPr>
              <w:br/>
              <w:t>Michael-Ende-Str. 20 – 52499 Baesweiler</w:t>
            </w:r>
            <w:r w:rsidRPr="002444CC">
              <w:rPr>
                <w:rFonts w:asciiTheme="minorHAnsi" w:hAnsiTheme="minorHAnsi" w:cstheme="minorHAnsi"/>
                <w:sz w:val="16"/>
                <w:szCs w:val="16"/>
              </w:rPr>
              <w:br/>
              <w:t>Tel.: +49 173 437 2968</w:t>
            </w:r>
            <w:r w:rsidRPr="002444CC">
              <w:rPr>
                <w:rFonts w:asciiTheme="minorHAnsi" w:hAnsiTheme="minorHAnsi" w:cstheme="minorHAnsi"/>
              </w:rPr>
              <w:t xml:space="preserve"> </w:t>
            </w:r>
            <w:r w:rsidRPr="002444CC">
              <w:rPr>
                <w:rFonts w:asciiTheme="minorHAnsi" w:hAnsiTheme="minorHAnsi" w:cstheme="minorHAnsi"/>
                <w:sz w:val="16"/>
                <w:szCs w:val="16"/>
              </w:rPr>
              <w:br/>
            </w:r>
            <w:hyperlink r:id="rId7" w:history="1">
              <w:r w:rsidRPr="002444CC">
                <w:rPr>
                  <w:rStyle w:val="Hyperlink"/>
                  <w:rFonts w:asciiTheme="minorHAnsi" w:hAnsiTheme="minorHAnsi" w:cstheme="minorHAnsi"/>
                  <w:sz w:val="16"/>
                  <w:szCs w:val="16"/>
                </w:rPr>
                <w:t>richard.plum@edna-bundesverband.de</w:t>
              </w:r>
            </w:hyperlink>
            <w:r w:rsidRPr="002444CC">
              <w:rPr>
                <w:rFonts w:asciiTheme="minorHAnsi" w:hAnsiTheme="minorHAnsi" w:cstheme="minorHAnsi"/>
                <w:sz w:val="16"/>
                <w:szCs w:val="16"/>
              </w:rPr>
              <w:t xml:space="preserve"> – edna-</w:t>
            </w:r>
            <w:hyperlink r:id="rId8" w:history="1">
              <w:r w:rsidRPr="002444CC">
                <w:rPr>
                  <w:rStyle w:val="Hyperlink"/>
                  <w:rFonts w:asciiTheme="minorHAnsi" w:hAnsiTheme="minorHAnsi" w:cstheme="minorHAnsi"/>
                  <w:sz w:val="16"/>
                  <w:szCs w:val="16"/>
                </w:rPr>
                <w:t>bundesverband</w:t>
              </w:r>
            </w:hyperlink>
            <w:r w:rsidRPr="002444CC">
              <w:rPr>
                <w:rFonts w:asciiTheme="minorHAnsi" w:hAnsiTheme="minorHAnsi" w:cstheme="minorHAnsi"/>
                <w:sz w:val="16"/>
                <w:szCs w:val="16"/>
              </w:rPr>
              <w:t xml:space="preserve">.de </w:t>
            </w:r>
          </w:p>
          <w:p w14:paraId="4E02DD8B"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5EF9EF17"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b/>
                <w:bCs/>
                <w:i/>
                <w:iCs/>
                <w:sz w:val="16"/>
                <w:szCs w:val="16"/>
              </w:rPr>
            </w:pPr>
            <w:r w:rsidRPr="002444CC">
              <w:rPr>
                <w:rFonts w:asciiTheme="minorHAnsi" w:hAnsiTheme="minorHAnsi" w:cstheme="minorHAnsi"/>
                <w:b/>
                <w:bCs/>
                <w:i/>
                <w:iCs/>
                <w:sz w:val="16"/>
                <w:szCs w:val="16"/>
              </w:rPr>
              <w:t>Presse- und Öffentlichkeitsarbeit:</w:t>
            </w:r>
          </w:p>
          <w:p w14:paraId="35563E24"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b/>
                <w:bCs/>
                <w:sz w:val="16"/>
                <w:szCs w:val="16"/>
              </w:rPr>
            </w:pPr>
            <w:r w:rsidRPr="002444CC">
              <w:rPr>
                <w:rFonts w:asciiTheme="minorHAnsi" w:hAnsiTheme="minorHAnsi" w:cstheme="minorHAnsi"/>
                <w:b/>
                <w:bCs/>
                <w:sz w:val="16"/>
                <w:szCs w:val="16"/>
              </w:rPr>
              <w:t xml:space="preserve">Press'n’Relations GmbH - Uwe Pagel </w:t>
            </w:r>
          </w:p>
          <w:p w14:paraId="489ABD6D"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sz w:val="16"/>
                <w:szCs w:val="16"/>
              </w:rPr>
            </w:pPr>
            <w:r w:rsidRPr="002444CC">
              <w:rPr>
                <w:rFonts w:asciiTheme="minorHAnsi" w:hAnsiTheme="minorHAnsi" w:cstheme="minorHAnsi"/>
                <w:sz w:val="16"/>
                <w:szCs w:val="16"/>
              </w:rPr>
              <w:t>Magirus-Deutz-Str. 24 - D-89077 Ulm</w:t>
            </w:r>
          </w:p>
          <w:p w14:paraId="7361C9F9"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sz w:val="16"/>
                <w:szCs w:val="16"/>
              </w:rPr>
            </w:pPr>
            <w:r w:rsidRPr="002444CC">
              <w:rPr>
                <w:rFonts w:asciiTheme="minorHAnsi" w:hAnsiTheme="minorHAnsi" w:cstheme="minorHAnsi"/>
                <w:sz w:val="16"/>
                <w:szCs w:val="16"/>
              </w:rPr>
              <w:t xml:space="preserve">Tel.: +49 731 146 156-89 </w:t>
            </w:r>
          </w:p>
          <w:p w14:paraId="098E4B53" w14:textId="77777777" w:rsidR="002444CC" w:rsidRPr="002444CC" w:rsidRDefault="002444CC" w:rsidP="00F647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rPr>
                <w:rFonts w:asciiTheme="minorHAnsi" w:hAnsiTheme="minorHAnsi" w:cstheme="minorHAnsi"/>
                <w:color w:val="0000FF"/>
                <w:sz w:val="16"/>
                <w:szCs w:val="16"/>
                <w:u w:val="single" w:color="0000FF"/>
                <w:lang w:val="en-US"/>
              </w:rPr>
            </w:pPr>
            <w:r w:rsidRPr="002444CC">
              <w:rPr>
                <w:rFonts w:asciiTheme="minorHAnsi" w:hAnsiTheme="minorHAnsi" w:cstheme="minorHAnsi"/>
                <w:sz w:val="16"/>
                <w:szCs w:val="16"/>
                <w:lang w:val="en-US"/>
              </w:rPr>
              <w:t xml:space="preserve">upa@press-n-relations.de – </w:t>
            </w:r>
            <w:hyperlink r:id="rId9" w:history="1">
              <w:r w:rsidRPr="002444CC">
                <w:rPr>
                  <w:rStyle w:val="Hyperlink"/>
                  <w:rFonts w:asciiTheme="minorHAnsi" w:hAnsiTheme="minorHAnsi" w:cstheme="minorHAnsi"/>
                  <w:sz w:val="16"/>
                  <w:szCs w:val="16"/>
                  <w:lang w:val="en-US"/>
                </w:rPr>
                <w:t>press-n-relations.com</w:t>
              </w:r>
            </w:hyperlink>
          </w:p>
        </w:tc>
      </w:tr>
    </w:tbl>
    <w:p w14:paraId="2FF85E87" w14:textId="77777777" w:rsidR="002444CC" w:rsidRPr="003A6D08" w:rsidRDefault="002444CC" w:rsidP="005B53F6">
      <w:pPr>
        <w:ind w:right="794"/>
        <w:rPr>
          <w:sz w:val="16"/>
          <w:szCs w:val="16"/>
        </w:rPr>
      </w:pPr>
      <w:r w:rsidRPr="00D739B5">
        <w:rPr>
          <w:b/>
          <w:bCs/>
          <w:sz w:val="16"/>
          <w:szCs w:val="16"/>
        </w:rPr>
        <w:lastRenderedPageBreak/>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5B492A14" w14:textId="77777777" w:rsidR="002444CC" w:rsidRPr="00996BBB" w:rsidRDefault="002444CC" w:rsidP="00B81D7A">
      <w:pPr>
        <w:spacing w:line="360" w:lineRule="auto"/>
      </w:pPr>
    </w:p>
    <w:sectPr w:rsidR="002444CC" w:rsidRPr="00996BBB" w:rsidSect="00EC64AB">
      <w:headerReference w:type="default" r:id="rId10"/>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0F3E7" w14:textId="77777777" w:rsidR="00752467" w:rsidRDefault="00752467" w:rsidP="005B53F6">
      <w:r>
        <w:separator/>
      </w:r>
    </w:p>
  </w:endnote>
  <w:endnote w:type="continuationSeparator" w:id="0">
    <w:p w14:paraId="53FD1CF5" w14:textId="77777777" w:rsidR="00752467" w:rsidRDefault="00752467" w:rsidP="005B5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E6EF7" w14:textId="77777777" w:rsidR="00752467" w:rsidRDefault="00752467" w:rsidP="005B53F6">
      <w:r>
        <w:separator/>
      </w:r>
    </w:p>
  </w:footnote>
  <w:footnote w:type="continuationSeparator" w:id="0">
    <w:p w14:paraId="2A3E2A02" w14:textId="77777777" w:rsidR="00752467" w:rsidRDefault="00752467" w:rsidP="005B53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55B68" w14:textId="0F75D3C0" w:rsidR="005B53F6" w:rsidRDefault="005B53F6" w:rsidP="005B53F6">
    <w:pPr>
      <w:pStyle w:val="Kopfzeile"/>
      <w:jc w:val="right"/>
    </w:pPr>
    <w:r>
      <w:rPr>
        <w:rFonts w:ascii="Times New Roman" w:eastAsia="Times New Roman" w:hAnsi="Times New Roman"/>
        <w:noProof/>
        <w:lang w:eastAsia="de-DE" w:bidi="th-TH"/>
      </w:rPr>
      <w:drawing>
        <wp:inline distT="0" distB="0" distL="0" distR="0" wp14:anchorId="36492BB1" wp14:editId="38EB56F1">
          <wp:extent cx="1297258" cy="698045"/>
          <wp:effectExtent l="0" t="0" r="0" b="635"/>
          <wp:docPr id="3"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Schrift, Screenshot, Grafiken enthält.&#10;&#10;KI-generierte Inhalte können fehlerhaft sein."/>
                  <pic:cNvPicPr/>
                </pic:nvPicPr>
                <pic:blipFill>
                  <a:blip r:embed="rId1"/>
                  <a:stretch>
                    <a:fillRect/>
                  </a:stretch>
                </pic:blipFill>
                <pic:spPr>
                  <a:xfrm>
                    <a:off x="0" y="0"/>
                    <a:ext cx="1326340" cy="713694"/>
                  </a:xfrm>
                  <a:prstGeom prst="rect">
                    <a:avLst/>
                  </a:prstGeom>
                </pic:spPr>
              </pic:pic>
            </a:graphicData>
          </a:graphic>
        </wp:inline>
      </w:drawing>
    </w:r>
  </w:p>
  <w:p w14:paraId="63E41418" w14:textId="77777777" w:rsidR="005B53F6" w:rsidRDefault="005B53F6" w:rsidP="005B53F6">
    <w:pPr>
      <w:pStyle w:val="Kopfzeile"/>
      <w:jc w:val="right"/>
    </w:pPr>
  </w:p>
  <w:p w14:paraId="1E6F1728" w14:textId="77777777" w:rsidR="005B53F6" w:rsidRDefault="005B53F6" w:rsidP="005B53F6">
    <w:pPr>
      <w:pStyle w:val="Kopfzeil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3362"/>
    <w:multiLevelType w:val="multilevel"/>
    <w:tmpl w:val="F69E9218"/>
    <w:lvl w:ilvl="0">
      <w:start w:val="1"/>
      <w:numFmt w:val="bullet"/>
      <w:lvlText w:val=""/>
      <w:lvlJc w:val="left"/>
      <w:pPr>
        <w:tabs>
          <w:tab w:val="num" w:pos="720"/>
        </w:tabs>
        <w:ind w:left="720" w:hanging="360"/>
      </w:pPr>
      <w:rPr>
        <w:rFonts w:ascii="Symbol" w:hAnsi="Symbol" w:hint="default"/>
        <w:sz w:val="20"/>
        <w:lang w:val="de-D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7512A"/>
    <w:multiLevelType w:val="hybridMultilevel"/>
    <w:tmpl w:val="E7BE153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9C05449"/>
    <w:multiLevelType w:val="hybridMultilevel"/>
    <w:tmpl w:val="89C6DA8C"/>
    <w:lvl w:ilvl="0" w:tplc="DD3AA51A">
      <w:start w:val="1"/>
      <w:numFmt w:val="bullet"/>
      <w:lvlText w:val="•"/>
      <w:lvlJc w:val="left"/>
      <w:pPr>
        <w:tabs>
          <w:tab w:val="num" w:pos="720"/>
        </w:tabs>
        <w:ind w:left="720" w:hanging="360"/>
      </w:pPr>
      <w:rPr>
        <w:rFonts w:ascii="Arial" w:hAnsi="Arial" w:hint="default"/>
      </w:rPr>
    </w:lvl>
    <w:lvl w:ilvl="1" w:tplc="653AF01A" w:tentative="1">
      <w:start w:val="1"/>
      <w:numFmt w:val="bullet"/>
      <w:lvlText w:val="•"/>
      <w:lvlJc w:val="left"/>
      <w:pPr>
        <w:tabs>
          <w:tab w:val="num" w:pos="1440"/>
        </w:tabs>
        <w:ind w:left="1440" w:hanging="360"/>
      </w:pPr>
      <w:rPr>
        <w:rFonts w:ascii="Arial" w:hAnsi="Arial" w:hint="default"/>
      </w:rPr>
    </w:lvl>
    <w:lvl w:ilvl="2" w:tplc="DA626060" w:tentative="1">
      <w:start w:val="1"/>
      <w:numFmt w:val="bullet"/>
      <w:lvlText w:val="•"/>
      <w:lvlJc w:val="left"/>
      <w:pPr>
        <w:tabs>
          <w:tab w:val="num" w:pos="2160"/>
        </w:tabs>
        <w:ind w:left="2160" w:hanging="360"/>
      </w:pPr>
      <w:rPr>
        <w:rFonts w:ascii="Arial" w:hAnsi="Arial" w:hint="default"/>
      </w:rPr>
    </w:lvl>
    <w:lvl w:ilvl="3" w:tplc="E0FE0B3E" w:tentative="1">
      <w:start w:val="1"/>
      <w:numFmt w:val="bullet"/>
      <w:lvlText w:val="•"/>
      <w:lvlJc w:val="left"/>
      <w:pPr>
        <w:tabs>
          <w:tab w:val="num" w:pos="2880"/>
        </w:tabs>
        <w:ind w:left="2880" w:hanging="360"/>
      </w:pPr>
      <w:rPr>
        <w:rFonts w:ascii="Arial" w:hAnsi="Arial" w:hint="default"/>
      </w:rPr>
    </w:lvl>
    <w:lvl w:ilvl="4" w:tplc="8E5CFB9C" w:tentative="1">
      <w:start w:val="1"/>
      <w:numFmt w:val="bullet"/>
      <w:lvlText w:val="•"/>
      <w:lvlJc w:val="left"/>
      <w:pPr>
        <w:tabs>
          <w:tab w:val="num" w:pos="3600"/>
        </w:tabs>
        <w:ind w:left="3600" w:hanging="360"/>
      </w:pPr>
      <w:rPr>
        <w:rFonts w:ascii="Arial" w:hAnsi="Arial" w:hint="default"/>
      </w:rPr>
    </w:lvl>
    <w:lvl w:ilvl="5" w:tplc="3FB098D6" w:tentative="1">
      <w:start w:val="1"/>
      <w:numFmt w:val="bullet"/>
      <w:lvlText w:val="•"/>
      <w:lvlJc w:val="left"/>
      <w:pPr>
        <w:tabs>
          <w:tab w:val="num" w:pos="4320"/>
        </w:tabs>
        <w:ind w:left="4320" w:hanging="360"/>
      </w:pPr>
      <w:rPr>
        <w:rFonts w:ascii="Arial" w:hAnsi="Arial" w:hint="default"/>
      </w:rPr>
    </w:lvl>
    <w:lvl w:ilvl="6" w:tplc="CBDC2E60" w:tentative="1">
      <w:start w:val="1"/>
      <w:numFmt w:val="bullet"/>
      <w:lvlText w:val="•"/>
      <w:lvlJc w:val="left"/>
      <w:pPr>
        <w:tabs>
          <w:tab w:val="num" w:pos="5040"/>
        </w:tabs>
        <w:ind w:left="5040" w:hanging="360"/>
      </w:pPr>
      <w:rPr>
        <w:rFonts w:ascii="Arial" w:hAnsi="Arial" w:hint="default"/>
      </w:rPr>
    </w:lvl>
    <w:lvl w:ilvl="7" w:tplc="7BB8D096" w:tentative="1">
      <w:start w:val="1"/>
      <w:numFmt w:val="bullet"/>
      <w:lvlText w:val="•"/>
      <w:lvlJc w:val="left"/>
      <w:pPr>
        <w:tabs>
          <w:tab w:val="num" w:pos="5760"/>
        </w:tabs>
        <w:ind w:left="5760" w:hanging="360"/>
      </w:pPr>
      <w:rPr>
        <w:rFonts w:ascii="Arial" w:hAnsi="Arial" w:hint="default"/>
      </w:rPr>
    </w:lvl>
    <w:lvl w:ilvl="8" w:tplc="8AE6201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C515DD5"/>
    <w:multiLevelType w:val="hybridMultilevel"/>
    <w:tmpl w:val="1DB06032"/>
    <w:lvl w:ilvl="0" w:tplc="CB0C1448">
      <w:start w:val="1"/>
      <w:numFmt w:val="bullet"/>
      <w:lvlText w:val="•"/>
      <w:lvlJc w:val="left"/>
      <w:pPr>
        <w:tabs>
          <w:tab w:val="num" w:pos="720"/>
        </w:tabs>
        <w:ind w:left="720" w:hanging="360"/>
      </w:pPr>
      <w:rPr>
        <w:rFonts w:ascii="Arial" w:hAnsi="Arial" w:hint="default"/>
      </w:rPr>
    </w:lvl>
    <w:lvl w:ilvl="1" w:tplc="5342A0E4">
      <w:numFmt w:val="bullet"/>
      <w:lvlText w:val="•"/>
      <w:lvlJc w:val="left"/>
      <w:pPr>
        <w:tabs>
          <w:tab w:val="num" w:pos="1440"/>
        </w:tabs>
        <w:ind w:left="1440" w:hanging="360"/>
      </w:pPr>
      <w:rPr>
        <w:rFonts w:ascii="Arial" w:hAnsi="Arial" w:hint="default"/>
      </w:rPr>
    </w:lvl>
    <w:lvl w:ilvl="2" w:tplc="EDF8F05A" w:tentative="1">
      <w:start w:val="1"/>
      <w:numFmt w:val="bullet"/>
      <w:lvlText w:val="•"/>
      <w:lvlJc w:val="left"/>
      <w:pPr>
        <w:tabs>
          <w:tab w:val="num" w:pos="2160"/>
        </w:tabs>
        <w:ind w:left="2160" w:hanging="360"/>
      </w:pPr>
      <w:rPr>
        <w:rFonts w:ascii="Arial" w:hAnsi="Arial" w:hint="default"/>
      </w:rPr>
    </w:lvl>
    <w:lvl w:ilvl="3" w:tplc="70004A4C" w:tentative="1">
      <w:start w:val="1"/>
      <w:numFmt w:val="bullet"/>
      <w:lvlText w:val="•"/>
      <w:lvlJc w:val="left"/>
      <w:pPr>
        <w:tabs>
          <w:tab w:val="num" w:pos="2880"/>
        </w:tabs>
        <w:ind w:left="2880" w:hanging="360"/>
      </w:pPr>
      <w:rPr>
        <w:rFonts w:ascii="Arial" w:hAnsi="Arial" w:hint="default"/>
      </w:rPr>
    </w:lvl>
    <w:lvl w:ilvl="4" w:tplc="C61C9396" w:tentative="1">
      <w:start w:val="1"/>
      <w:numFmt w:val="bullet"/>
      <w:lvlText w:val="•"/>
      <w:lvlJc w:val="left"/>
      <w:pPr>
        <w:tabs>
          <w:tab w:val="num" w:pos="3600"/>
        </w:tabs>
        <w:ind w:left="3600" w:hanging="360"/>
      </w:pPr>
      <w:rPr>
        <w:rFonts w:ascii="Arial" w:hAnsi="Arial" w:hint="default"/>
      </w:rPr>
    </w:lvl>
    <w:lvl w:ilvl="5" w:tplc="60DE9C34" w:tentative="1">
      <w:start w:val="1"/>
      <w:numFmt w:val="bullet"/>
      <w:lvlText w:val="•"/>
      <w:lvlJc w:val="left"/>
      <w:pPr>
        <w:tabs>
          <w:tab w:val="num" w:pos="4320"/>
        </w:tabs>
        <w:ind w:left="4320" w:hanging="360"/>
      </w:pPr>
      <w:rPr>
        <w:rFonts w:ascii="Arial" w:hAnsi="Arial" w:hint="default"/>
      </w:rPr>
    </w:lvl>
    <w:lvl w:ilvl="6" w:tplc="05A02612" w:tentative="1">
      <w:start w:val="1"/>
      <w:numFmt w:val="bullet"/>
      <w:lvlText w:val="•"/>
      <w:lvlJc w:val="left"/>
      <w:pPr>
        <w:tabs>
          <w:tab w:val="num" w:pos="5040"/>
        </w:tabs>
        <w:ind w:left="5040" w:hanging="360"/>
      </w:pPr>
      <w:rPr>
        <w:rFonts w:ascii="Arial" w:hAnsi="Arial" w:hint="default"/>
      </w:rPr>
    </w:lvl>
    <w:lvl w:ilvl="7" w:tplc="C936BE34" w:tentative="1">
      <w:start w:val="1"/>
      <w:numFmt w:val="bullet"/>
      <w:lvlText w:val="•"/>
      <w:lvlJc w:val="left"/>
      <w:pPr>
        <w:tabs>
          <w:tab w:val="num" w:pos="5760"/>
        </w:tabs>
        <w:ind w:left="5760" w:hanging="360"/>
      </w:pPr>
      <w:rPr>
        <w:rFonts w:ascii="Arial" w:hAnsi="Arial" w:hint="default"/>
      </w:rPr>
    </w:lvl>
    <w:lvl w:ilvl="8" w:tplc="6480E9C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19242C6"/>
    <w:multiLevelType w:val="hybridMultilevel"/>
    <w:tmpl w:val="4998D6A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51960060">
    <w:abstractNumId w:val="4"/>
  </w:num>
  <w:num w:numId="2" w16cid:durableId="1218514940">
    <w:abstractNumId w:val="0"/>
  </w:num>
  <w:num w:numId="3" w16cid:durableId="211698400">
    <w:abstractNumId w:val="3"/>
  </w:num>
  <w:num w:numId="4" w16cid:durableId="990670359">
    <w:abstractNumId w:val="1"/>
  </w:num>
  <w:num w:numId="5" w16cid:durableId="7603011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07F"/>
    <w:rsid w:val="001972D6"/>
    <w:rsid w:val="001E1335"/>
    <w:rsid w:val="001E6BAB"/>
    <w:rsid w:val="00217935"/>
    <w:rsid w:val="002444CC"/>
    <w:rsid w:val="002A12B0"/>
    <w:rsid w:val="0031593B"/>
    <w:rsid w:val="003504D4"/>
    <w:rsid w:val="003B7C97"/>
    <w:rsid w:val="00470B50"/>
    <w:rsid w:val="004E7E71"/>
    <w:rsid w:val="005A146F"/>
    <w:rsid w:val="005B53F6"/>
    <w:rsid w:val="006C254C"/>
    <w:rsid w:val="006D0F18"/>
    <w:rsid w:val="00752467"/>
    <w:rsid w:val="007A77AC"/>
    <w:rsid w:val="0087654E"/>
    <w:rsid w:val="008D7397"/>
    <w:rsid w:val="008F2974"/>
    <w:rsid w:val="0098664B"/>
    <w:rsid w:val="00996BBB"/>
    <w:rsid w:val="009D7DE7"/>
    <w:rsid w:val="00A64C2C"/>
    <w:rsid w:val="00AB7AB3"/>
    <w:rsid w:val="00AC0A43"/>
    <w:rsid w:val="00B81D7A"/>
    <w:rsid w:val="00CB1586"/>
    <w:rsid w:val="00CE307F"/>
    <w:rsid w:val="00DC2B5B"/>
    <w:rsid w:val="00E8480E"/>
    <w:rsid w:val="00E922AB"/>
    <w:rsid w:val="00EC64AB"/>
    <w:rsid w:val="00EF06A9"/>
    <w:rsid w:val="00F45CD5"/>
    <w:rsid w:val="00F75EF1"/>
    <w:rsid w:val="00FF55C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A39144"/>
  <w14:defaultImageDpi w14:val="300"/>
  <w15:chartTrackingRefBased/>
  <w15:docId w15:val="{25642EAA-79E6-C049-99E4-58CD8E4AA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E30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CE30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CE307F"/>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CE307F"/>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CE307F"/>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CE307F"/>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E307F"/>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E307F"/>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E307F"/>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E307F"/>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CE307F"/>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CE307F"/>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CE307F"/>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CE307F"/>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CE307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E307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E307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E307F"/>
    <w:rPr>
      <w:rFonts w:eastAsiaTheme="majorEastAsia" w:cstheme="majorBidi"/>
      <w:color w:val="272727" w:themeColor="text1" w:themeTint="D8"/>
    </w:rPr>
  </w:style>
  <w:style w:type="paragraph" w:styleId="Titel">
    <w:name w:val="Title"/>
    <w:basedOn w:val="Standard"/>
    <w:next w:val="Standard"/>
    <w:link w:val="TitelZchn"/>
    <w:uiPriority w:val="10"/>
    <w:qFormat/>
    <w:rsid w:val="00CE307F"/>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E307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E307F"/>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E307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E307F"/>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CE307F"/>
    <w:rPr>
      <w:i/>
      <w:iCs/>
      <w:color w:val="404040" w:themeColor="text1" w:themeTint="BF"/>
    </w:rPr>
  </w:style>
  <w:style w:type="paragraph" w:styleId="Listenabsatz">
    <w:name w:val="List Paragraph"/>
    <w:basedOn w:val="Standard"/>
    <w:uiPriority w:val="34"/>
    <w:qFormat/>
    <w:rsid w:val="00CE307F"/>
    <w:pPr>
      <w:ind w:left="720"/>
      <w:contextualSpacing/>
    </w:pPr>
  </w:style>
  <w:style w:type="character" w:styleId="IntensiveHervorhebung">
    <w:name w:val="Intense Emphasis"/>
    <w:basedOn w:val="Absatz-Standardschriftart"/>
    <w:uiPriority w:val="21"/>
    <w:qFormat/>
    <w:rsid w:val="00CE307F"/>
    <w:rPr>
      <w:i/>
      <w:iCs/>
      <w:color w:val="2F5496" w:themeColor="accent1" w:themeShade="BF"/>
    </w:rPr>
  </w:style>
  <w:style w:type="paragraph" w:styleId="IntensivesZitat">
    <w:name w:val="Intense Quote"/>
    <w:basedOn w:val="Standard"/>
    <w:next w:val="Standard"/>
    <w:link w:val="IntensivesZitatZchn"/>
    <w:uiPriority w:val="30"/>
    <w:qFormat/>
    <w:rsid w:val="00CE30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CE307F"/>
    <w:rPr>
      <w:i/>
      <w:iCs/>
      <w:color w:val="2F5496" w:themeColor="accent1" w:themeShade="BF"/>
    </w:rPr>
  </w:style>
  <w:style w:type="character" w:styleId="IntensiverVerweis">
    <w:name w:val="Intense Reference"/>
    <w:basedOn w:val="Absatz-Standardschriftart"/>
    <w:uiPriority w:val="32"/>
    <w:qFormat/>
    <w:rsid w:val="00CE307F"/>
    <w:rPr>
      <w:b/>
      <w:bCs/>
      <w:smallCaps/>
      <w:color w:val="2F5496" w:themeColor="accent1" w:themeShade="BF"/>
      <w:spacing w:val="5"/>
    </w:rPr>
  </w:style>
  <w:style w:type="character" w:styleId="Hyperlink">
    <w:name w:val="Hyperlink"/>
    <w:uiPriority w:val="99"/>
    <w:unhideWhenUsed/>
    <w:rsid w:val="002444CC"/>
    <w:rPr>
      <w:color w:val="0000FF"/>
      <w:u w:val="single"/>
    </w:rPr>
  </w:style>
  <w:style w:type="table" w:customStyle="1" w:styleId="TableNormal">
    <w:name w:val="Table Normal"/>
    <w:rsid w:val="002444CC"/>
    <w:pPr>
      <w:pBdr>
        <w:top w:val="nil"/>
        <w:left w:val="nil"/>
        <w:bottom w:val="nil"/>
        <w:right w:val="nil"/>
        <w:between w:val="nil"/>
        <w:bar w:val="nil"/>
      </w:pBdr>
    </w:pPr>
    <w:rPr>
      <w:rFonts w:ascii="Times New Roman" w:eastAsia="Arial Unicode MS" w:hAnsi="Times New Roman" w:cs="Times New Roman"/>
      <w:kern w:val="0"/>
      <w:sz w:val="20"/>
      <w:szCs w:val="20"/>
      <w:bdr w:val="nil"/>
      <w:lang w:eastAsia="de-DE"/>
      <w14:ligatures w14:val="none"/>
    </w:rPr>
    <w:tblPr>
      <w:tblInd w:w="0" w:type="dxa"/>
      <w:tblCellMar>
        <w:top w:w="0" w:type="dxa"/>
        <w:left w:w="0" w:type="dxa"/>
        <w:bottom w:w="0" w:type="dxa"/>
        <w:right w:w="0" w:type="dxa"/>
      </w:tblCellMar>
    </w:tblPr>
  </w:style>
  <w:style w:type="paragraph" w:styleId="StandardWeb">
    <w:name w:val="Normal (Web)"/>
    <w:basedOn w:val="Standard"/>
    <w:uiPriority w:val="99"/>
    <w:semiHidden/>
    <w:unhideWhenUsed/>
    <w:rsid w:val="001972D6"/>
    <w:rPr>
      <w:rFonts w:ascii="Times New Roman" w:hAnsi="Times New Roman" w:cs="Times New Roman"/>
    </w:rPr>
  </w:style>
  <w:style w:type="paragraph" w:styleId="Kopfzeile">
    <w:name w:val="header"/>
    <w:basedOn w:val="Standard"/>
    <w:link w:val="KopfzeileZchn"/>
    <w:uiPriority w:val="99"/>
    <w:unhideWhenUsed/>
    <w:rsid w:val="005B53F6"/>
    <w:pPr>
      <w:tabs>
        <w:tab w:val="center" w:pos="4536"/>
        <w:tab w:val="right" w:pos="9072"/>
      </w:tabs>
    </w:pPr>
  </w:style>
  <w:style w:type="character" w:customStyle="1" w:styleId="KopfzeileZchn">
    <w:name w:val="Kopfzeile Zchn"/>
    <w:basedOn w:val="Absatz-Standardschriftart"/>
    <w:link w:val="Kopfzeile"/>
    <w:uiPriority w:val="99"/>
    <w:rsid w:val="005B53F6"/>
  </w:style>
  <w:style w:type="paragraph" w:styleId="Fuzeile">
    <w:name w:val="footer"/>
    <w:basedOn w:val="Standard"/>
    <w:link w:val="FuzeileZchn"/>
    <w:uiPriority w:val="99"/>
    <w:unhideWhenUsed/>
    <w:rsid w:val="005B53F6"/>
    <w:pPr>
      <w:tabs>
        <w:tab w:val="center" w:pos="4536"/>
        <w:tab w:val="right" w:pos="9072"/>
      </w:tabs>
    </w:pPr>
  </w:style>
  <w:style w:type="character" w:customStyle="1" w:styleId="FuzeileZchn">
    <w:name w:val="Fußzeile Zchn"/>
    <w:basedOn w:val="Absatz-Standardschriftart"/>
    <w:link w:val="Fuzeile"/>
    <w:uiPriority w:val="99"/>
    <w:rsid w:val="005B53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69457">
      <w:bodyDiv w:val="1"/>
      <w:marLeft w:val="0"/>
      <w:marRight w:val="0"/>
      <w:marTop w:val="0"/>
      <w:marBottom w:val="0"/>
      <w:divBdr>
        <w:top w:val="none" w:sz="0" w:space="0" w:color="auto"/>
        <w:left w:val="none" w:sz="0" w:space="0" w:color="auto"/>
        <w:bottom w:val="none" w:sz="0" w:space="0" w:color="auto"/>
        <w:right w:val="none" w:sz="0" w:space="0" w:color="auto"/>
      </w:divBdr>
      <w:divsChild>
        <w:div w:id="1621372189">
          <w:marLeft w:val="446"/>
          <w:marRight w:val="0"/>
          <w:marTop w:val="0"/>
          <w:marBottom w:val="0"/>
          <w:divBdr>
            <w:top w:val="none" w:sz="0" w:space="0" w:color="auto"/>
            <w:left w:val="none" w:sz="0" w:space="0" w:color="auto"/>
            <w:bottom w:val="none" w:sz="0" w:space="0" w:color="auto"/>
            <w:right w:val="none" w:sz="0" w:space="0" w:color="auto"/>
          </w:divBdr>
        </w:div>
        <w:div w:id="1115562415">
          <w:marLeft w:val="1166"/>
          <w:marRight w:val="0"/>
          <w:marTop w:val="100"/>
          <w:marBottom w:val="0"/>
          <w:divBdr>
            <w:top w:val="none" w:sz="0" w:space="0" w:color="auto"/>
            <w:left w:val="none" w:sz="0" w:space="0" w:color="auto"/>
            <w:bottom w:val="none" w:sz="0" w:space="0" w:color="auto"/>
            <w:right w:val="none" w:sz="0" w:space="0" w:color="auto"/>
          </w:divBdr>
        </w:div>
        <w:div w:id="597523512">
          <w:marLeft w:val="1166"/>
          <w:marRight w:val="0"/>
          <w:marTop w:val="100"/>
          <w:marBottom w:val="0"/>
          <w:divBdr>
            <w:top w:val="none" w:sz="0" w:space="0" w:color="auto"/>
            <w:left w:val="none" w:sz="0" w:space="0" w:color="auto"/>
            <w:bottom w:val="none" w:sz="0" w:space="0" w:color="auto"/>
            <w:right w:val="none" w:sz="0" w:space="0" w:color="auto"/>
          </w:divBdr>
        </w:div>
        <w:div w:id="1565986567">
          <w:marLeft w:val="1166"/>
          <w:marRight w:val="0"/>
          <w:marTop w:val="100"/>
          <w:marBottom w:val="0"/>
          <w:divBdr>
            <w:top w:val="none" w:sz="0" w:space="0" w:color="auto"/>
            <w:left w:val="none" w:sz="0" w:space="0" w:color="auto"/>
            <w:bottom w:val="none" w:sz="0" w:space="0" w:color="auto"/>
            <w:right w:val="none" w:sz="0" w:space="0" w:color="auto"/>
          </w:divBdr>
        </w:div>
      </w:divsChild>
    </w:div>
    <w:div w:id="179517005">
      <w:bodyDiv w:val="1"/>
      <w:marLeft w:val="0"/>
      <w:marRight w:val="0"/>
      <w:marTop w:val="0"/>
      <w:marBottom w:val="0"/>
      <w:divBdr>
        <w:top w:val="none" w:sz="0" w:space="0" w:color="auto"/>
        <w:left w:val="none" w:sz="0" w:space="0" w:color="auto"/>
        <w:bottom w:val="none" w:sz="0" w:space="0" w:color="auto"/>
        <w:right w:val="none" w:sz="0" w:space="0" w:color="auto"/>
      </w:divBdr>
    </w:div>
    <w:div w:id="219024060">
      <w:bodyDiv w:val="1"/>
      <w:marLeft w:val="0"/>
      <w:marRight w:val="0"/>
      <w:marTop w:val="0"/>
      <w:marBottom w:val="0"/>
      <w:divBdr>
        <w:top w:val="none" w:sz="0" w:space="0" w:color="auto"/>
        <w:left w:val="none" w:sz="0" w:space="0" w:color="auto"/>
        <w:bottom w:val="none" w:sz="0" w:space="0" w:color="auto"/>
        <w:right w:val="none" w:sz="0" w:space="0" w:color="auto"/>
      </w:divBdr>
    </w:div>
    <w:div w:id="372576580">
      <w:bodyDiv w:val="1"/>
      <w:marLeft w:val="0"/>
      <w:marRight w:val="0"/>
      <w:marTop w:val="0"/>
      <w:marBottom w:val="0"/>
      <w:divBdr>
        <w:top w:val="none" w:sz="0" w:space="0" w:color="auto"/>
        <w:left w:val="none" w:sz="0" w:space="0" w:color="auto"/>
        <w:bottom w:val="none" w:sz="0" w:space="0" w:color="auto"/>
        <w:right w:val="none" w:sz="0" w:space="0" w:color="auto"/>
      </w:divBdr>
    </w:div>
    <w:div w:id="572665716">
      <w:bodyDiv w:val="1"/>
      <w:marLeft w:val="0"/>
      <w:marRight w:val="0"/>
      <w:marTop w:val="0"/>
      <w:marBottom w:val="0"/>
      <w:divBdr>
        <w:top w:val="none" w:sz="0" w:space="0" w:color="auto"/>
        <w:left w:val="none" w:sz="0" w:space="0" w:color="auto"/>
        <w:bottom w:val="none" w:sz="0" w:space="0" w:color="auto"/>
        <w:right w:val="none" w:sz="0" w:space="0" w:color="auto"/>
      </w:divBdr>
      <w:divsChild>
        <w:div w:id="652754174">
          <w:marLeft w:val="446"/>
          <w:marRight w:val="0"/>
          <w:marTop w:val="0"/>
          <w:marBottom w:val="0"/>
          <w:divBdr>
            <w:top w:val="none" w:sz="0" w:space="0" w:color="auto"/>
            <w:left w:val="none" w:sz="0" w:space="0" w:color="auto"/>
            <w:bottom w:val="none" w:sz="0" w:space="0" w:color="auto"/>
            <w:right w:val="none" w:sz="0" w:space="0" w:color="auto"/>
          </w:divBdr>
        </w:div>
        <w:div w:id="262496391">
          <w:marLeft w:val="446"/>
          <w:marRight w:val="0"/>
          <w:marTop w:val="0"/>
          <w:marBottom w:val="0"/>
          <w:divBdr>
            <w:top w:val="none" w:sz="0" w:space="0" w:color="auto"/>
            <w:left w:val="none" w:sz="0" w:space="0" w:color="auto"/>
            <w:bottom w:val="none" w:sz="0" w:space="0" w:color="auto"/>
            <w:right w:val="none" w:sz="0" w:space="0" w:color="auto"/>
          </w:divBdr>
        </w:div>
        <w:div w:id="1033920162">
          <w:marLeft w:val="446"/>
          <w:marRight w:val="0"/>
          <w:marTop w:val="0"/>
          <w:marBottom w:val="0"/>
          <w:divBdr>
            <w:top w:val="none" w:sz="0" w:space="0" w:color="auto"/>
            <w:left w:val="none" w:sz="0" w:space="0" w:color="auto"/>
            <w:bottom w:val="none" w:sz="0" w:space="0" w:color="auto"/>
            <w:right w:val="none" w:sz="0" w:space="0" w:color="auto"/>
          </w:divBdr>
        </w:div>
      </w:divsChild>
    </w:div>
    <w:div w:id="684986904">
      <w:bodyDiv w:val="1"/>
      <w:marLeft w:val="0"/>
      <w:marRight w:val="0"/>
      <w:marTop w:val="0"/>
      <w:marBottom w:val="0"/>
      <w:divBdr>
        <w:top w:val="none" w:sz="0" w:space="0" w:color="auto"/>
        <w:left w:val="none" w:sz="0" w:space="0" w:color="auto"/>
        <w:bottom w:val="none" w:sz="0" w:space="0" w:color="auto"/>
        <w:right w:val="none" w:sz="0" w:space="0" w:color="auto"/>
      </w:divBdr>
    </w:div>
    <w:div w:id="914437838">
      <w:bodyDiv w:val="1"/>
      <w:marLeft w:val="0"/>
      <w:marRight w:val="0"/>
      <w:marTop w:val="0"/>
      <w:marBottom w:val="0"/>
      <w:divBdr>
        <w:top w:val="none" w:sz="0" w:space="0" w:color="auto"/>
        <w:left w:val="none" w:sz="0" w:space="0" w:color="auto"/>
        <w:bottom w:val="none" w:sz="0" w:space="0" w:color="auto"/>
        <w:right w:val="none" w:sz="0" w:space="0" w:color="auto"/>
      </w:divBdr>
    </w:div>
    <w:div w:id="1326129513">
      <w:bodyDiv w:val="1"/>
      <w:marLeft w:val="0"/>
      <w:marRight w:val="0"/>
      <w:marTop w:val="0"/>
      <w:marBottom w:val="0"/>
      <w:divBdr>
        <w:top w:val="none" w:sz="0" w:space="0" w:color="auto"/>
        <w:left w:val="none" w:sz="0" w:space="0" w:color="auto"/>
        <w:bottom w:val="none" w:sz="0" w:space="0" w:color="auto"/>
        <w:right w:val="none" w:sz="0" w:space="0" w:color="auto"/>
      </w:divBdr>
    </w:div>
    <w:div w:id="1456023594">
      <w:bodyDiv w:val="1"/>
      <w:marLeft w:val="0"/>
      <w:marRight w:val="0"/>
      <w:marTop w:val="0"/>
      <w:marBottom w:val="0"/>
      <w:divBdr>
        <w:top w:val="none" w:sz="0" w:space="0" w:color="auto"/>
        <w:left w:val="none" w:sz="0" w:space="0" w:color="auto"/>
        <w:bottom w:val="none" w:sz="0" w:space="0" w:color="auto"/>
        <w:right w:val="none" w:sz="0" w:space="0" w:color="auto"/>
      </w:divBdr>
    </w:div>
    <w:div w:id="154717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 TargetMode="External"/><Relationship Id="rId3" Type="http://schemas.openxmlformats.org/officeDocument/2006/relationships/settings" Target="settings.xml"/><Relationship Id="rId7" Type="http://schemas.openxmlformats.org/officeDocument/2006/relationships/hyperlink" Target="mailto:richard.plum@edna-bundesverband.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1247</Words>
  <Characters>7857</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2</cp:revision>
  <dcterms:created xsi:type="dcterms:W3CDTF">2025-02-12T09:41:00Z</dcterms:created>
  <dcterms:modified xsi:type="dcterms:W3CDTF">2025-02-12T09:41:00Z</dcterms:modified>
</cp:coreProperties>
</file>