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bookmarkStart w:id="0" w:name="_GoBack"/>
      <w:bookmarkEnd w:id="0"/>
      <w:r w:rsidRPr="00B2745D">
        <w:rPr>
          <w:b/>
        </w:rPr>
        <w:t xml:space="preserve">PRESSEINFORMATION </w:t>
      </w:r>
    </w:p>
    <w:p w14:paraId="333A9BD1" w14:textId="67D56AD4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E4396C">
        <w:rPr>
          <w:sz w:val="20"/>
        </w:rPr>
        <w:t>4</w:t>
      </w:r>
      <w:r w:rsidR="008B69E2" w:rsidRPr="00B2745D">
        <w:rPr>
          <w:sz w:val="20"/>
        </w:rPr>
        <w:t xml:space="preserve">. </w:t>
      </w:r>
      <w:r w:rsidR="00FD7393">
        <w:rPr>
          <w:sz w:val="20"/>
        </w:rPr>
        <w:t>Mai</w:t>
      </w:r>
      <w:r w:rsidRPr="00B2745D">
        <w:rPr>
          <w:sz w:val="20"/>
        </w:rPr>
        <w:t xml:space="preserve"> 201</w:t>
      </w:r>
      <w:r w:rsidR="00C21E2B">
        <w:rPr>
          <w:sz w:val="20"/>
        </w:rPr>
        <w:t>7</w:t>
      </w:r>
    </w:p>
    <w:p w14:paraId="52EF0119" w14:textId="77777777" w:rsidR="00E4396C" w:rsidRPr="00C040DB" w:rsidRDefault="00E4396C" w:rsidP="00E4396C">
      <w:pPr>
        <w:ind w:right="-1843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iMsys</w:t>
      </w:r>
      <w:proofErr w:type="spellEnd"/>
      <w:r>
        <w:rPr>
          <w:b/>
          <w:bCs/>
          <w:sz w:val="28"/>
          <w:szCs w:val="28"/>
        </w:rPr>
        <w:t>-Rollout: Die Abrechnung nicht vergessen</w:t>
      </w:r>
      <w:r w:rsidRPr="00B2745D">
        <w:rPr>
          <w:b/>
          <w:bCs/>
          <w:sz w:val="28"/>
          <w:szCs w:val="28"/>
        </w:rPr>
        <w:br/>
      </w:r>
      <w:r>
        <w:rPr>
          <w:rFonts w:cs="Arial"/>
          <w:b/>
          <w:bCs/>
          <w:szCs w:val="22"/>
        </w:rPr>
        <w:t>Wilken PRO mit neuen Dienstleistungen für Messstellenbetreiber</w:t>
      </w:r>
    </w:p>
    <w:p w14:paraId="3609F493" w14:textId="77777777" w:rsidR="00E4396C" w:rsidRDefault="00E4396C" w:rsidP="00E4396C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Mit dem Rollout der intelligenten Messsysteme (</w:t>
      </w:r>
      <w:proofErr w:type="spellStart"/>
      <w:r>
        <w:rPr>
          <w:rFonts w:cs="Helvetica"/>
          <w:b/>
          <w:bCs/>
          <w:sz w:val="20"/>
        </w:rPr>
        <w:t>iMsys</w:t>
      </w:r>
      <w:proofErr w:type="spellEnd"/>
      <w:r>
        <w:rPr>
          <w:rFonts w:cs="Helvetica"/>
          <w:b/>
          <w:bCs/>
          <w:sz w:val="20"/>
        </w:rPr>
        <w:t xml:space="preserve">) werden die Abrechnungsprozesse im Messstellenbetrieb deutlich komplexer als bisher. Denn nur, wenn mit dem Lieferanten ein entsprechender Vertrag besteht, kann die jeweilige Messstelle über ihn auch abgerechnet werden (§6 </w:t>
      </w:r>
      <w:proofErr w:type="spellStart"/>
      <w:r>
        <w:rPr>
          <w:rFonts w:cs="Helvetica"/>
          <w:b/>
          <w:bCs/>
          <w:sz w:val="20"/>
        </w:rPr>
        <w:t>MsBG</w:t>
      </w:r>
      <w:proofErr w:type="spellEnd"/>
      <w:r>
        <w:rPr>
          <w:rFonts w:cs="Helvetica"/>
          <w:b/>
          <w:bCs/>
          <w:sz w:val="20"/>
        </w:rPr>
        <w:t xml:space="preserve">). Die Wilken Software Group hat deswegen das neue </w:t>
      </w:r>
      <w:proofErr w:type="spellStart"/>
      <w:r>
        <w:rPr>
          <w:rFonts w:cs="Helvetica"/>
          <w:b/>
          <w:bCs/>
          <w:sz w:val="20"/>
        </w:rPr>
        <w:t>Full</w:t>
      </w:r>
      <w:proofErr w:type="spellEnd"/>
      <w:r>
        <w:rPr>
          <w:rFonts w:cs="Helvetica"/>
          <w:b/>
          <w:bCs/>
          <w:sz w:val="20"/>
        </w:rPr>
        <w:t>-Service-Paket „</w:t>
      </w:r>
      <w:proofErr w:type="spellStart"/>
      <w:r>
        <w:rPr>
          <w:rFonts w:cs="Helvetica"/>
          <w:b/>
          <w:bCs/>
          <w:sz w:val="20"/>
        </w:rPr>
        <w:t>iMSB</w:t>
      </w:r>
      <w:proofErr w:type="spellEnd"/>
      <w:r>
        <w:rPr>
          <w:rFonts w:cs="Helvetica"/>
          <w:b/>
          <w:bCs/>
          <w:sz w:val="20"/>
        </w:rPr>
        <w:t xml:space="preserve">-Abrechnung“ geschnürt, bei dem die Dienstleistungstochter Wilken PRO die Komplettabwicklung dieses Prozesses übernimmt. „Nach derzeitigen Prognosen muss bei </w:t>
      </w:r>
      <w:r w:rsidRPr="00475832">
        <w:rPr>
          <w:rFonts w:cs="Helvetica"/>
          <w:b/>
          <w:bCs/>
          <w:sz w:val="20"/>
        </w:rPr>
        <w:t xml:space="preserve">15 bis 20 Prozent der intelligenten Messsysteme </w:t>
      </w:r>
      <w:r>
        <w:rPr>
          <w:rFonts w:cs="Helvetica"/>
          <w:b/>
          <w:bCs/>
          <w:sz w:val="20"/>
        </w:rPr>
        <w:t xml:space="preserve">künftig </w:t>
      </w:r>
      <w:r w:rsidRPr="00475832">
        <w:rPr>
          <w:rFonts w:cs="Helvetica"/>
          <w:b/>
          <w:bCs/>
          <w:sz w:val="20"/>
        </w:rPr>
        <w:t xml:space="preserve">direkt mit dem Anschlussnehmer bzw. Anschlussnutzer </w:t>
      </w:r>
      <w:r>
        <w:rPr>
          <w:rFonts w:cs="Helvetica"/>
          <w:b/>
          <w:bCs/>
          <w:sz w:val="20"/>
        </w:rPr>
        <w:t xml:space="preserve">abgerechnet werden. </w:t>
      </w:r>
      <w:r w:rsidRPr="00475832">
        <w:rPr>
          <w:rFonts w:cs="Helvetica"/>
          <w:b/>
          <w:bCs/>
          <w:sz w:val="20"/>
        </w:rPr>
        <w:t xml:space="preserve">Zusätzlich wird der gesamte </w:t>
      </w:r>
      <w:r>
        <w:rPr>
          <w:rFonts w:cs="Helvetica"/>
          <w:b/>
          <w:bCs/>
          <w:sz w:val="20"/>
        </w:rPr>
        <w:t>Ablauf</w:t>
      </w:r>
      <w:r w:rsidRPr="00475832">
        <w:rPr>
          <w:rFonts w:cs="Helvetica"/>
          <w:b/>
          <w:bCs/>
          <w:sz w:val="20"/>
        </w:rPr>
        <w:t xml:space="preserve"> durch Aufspaltung des Zählpunkts in die neuen Messlokationen und Markt</w:t>
      </w:r>
      <w:r>
        <w:rPr>
          <w:rFonts w:cs="Helvetica"/>
          <w:b/>
          <w:bCs/>
          <w:sz w:val="20"/>
        </w:rPr>
        <w:t xml:space="preserve">lokationen nachhaltig verändert“, erklärt Christine </w:t>
      </w:r>
      <w:proofErr w:type="spellStart"/>
      <w:r>
        <w:rPr>
          <w:rFonts w:cs="Helvetica"/>
          <w:b/>
          <w:bCs/>
          <w:sz w:val="20"/>
        </w:rPr>
        <w:t>Tomschi</w:t>
      </w:r>
      <w:proofErr w:type="spellEnd"/>
      <w:r>
        <w:rPr>
          <w:rFonts w:cs="Helvetica"/>
          <w:b/>
          <w:bCs/>
          <w:sz w:val="20"/>
        </w:rPr>
        <w:t xml:space="preserve">, Geschäftsführerin der Willen PRO GmbH. Nicht nur für kleine und mittlere Stadtwerke bietet die Auslagerung der </w:t>
      </w:r>
      <w:proofErr w:type="spellStart"/>
      <w:r>
        <w:rPr>
          <w:rFonts w:cs="Helvetica"/>
          <w:b/>
          <w:bCs/>
          <w:sz w:val="20"/>
        </w:rPr>
        <w:t>iMSB</w:t>
      </w:r>
      <w:proofErr w:type="spellEnd"/>
      <w:r>
        <w:rPr>
          <w:rFonts w:cs="Helvetica"/>
          <w:b/>
          <w:bCs/>
          <w:sz w:val="20"/>
        </w:rPr>
        <w:t>-Abrechnung eine kostengünstige Alternative. Da die Lösung mandantenfähig ist, eignet sie sich insbesondere für den Einsatz in Stadtwerke-Kooperationen.</w:t>
      </w:r>
    </w:p>
    <w:p w14:paraId="36F872BC" w14:textId="77777777" w:rsidR="00E4396C" w:rsidRPr="008852F2" w:rsidRDefault="00E4396C" w:rsidP="00E4396C">
      <w:pPr>
        <w:rPr>
          <w:rFonts w:cs="Helvetica"/>
          <w:sz w:val="20"/>
        </w:rPr>
      </w:pPr>
      <w:r>
        <w:rPr>
          <w:rFonts w:cs="Helvetica"/>
          <w:sz w:val="20"/>
        </w:rPr>
        <w:t>Im Gesamtprozess</w:t>
      </w:r>
      <w:r w:rsidRPr="00333966">
        <w:rPr>
          <w:rFonts w:cs="Helvetica"/>
          <w:sz w:val="20"/>
        </w:rPr>
        <w:t xml:space="preserve"> ist </w:t>
      </w:r>
      <w:r>
        <w:rPr>
          <w:rFonts w:cs="Helvetica"/>
          <w:sz w:val="20"/>
        </w:rPr>
        <w:t xml:space="preserve">die </w:t>
      </w:r>
      <w:proofErr w:type="spellStart"/>
      <w:r>
        <w:rPr>
          <w:rFonts w:cs="Helvetica"/>
          <w:sz w:val="20"/>
        </w:rPr>
        <w:t>iMSB</w:t>
      </w:r>
      <w:proofErr w:type="spellEnd"/>
      <w:r>
        <w:rPr>
          <w:rFonts w:cs="Helvetica"/>
          <w:sz w:val="20"/>
        </w:rPr>
        <w:t>-Abrechnung</w:t>
      </w:r>
      <w:r w:rsidRPr="00333966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 xml:space="preserve">an </w:t>
      </w:r>
      <w:r w:rsidRPr="00333966">
        <w:rPr>
          <w:rFonts w:cs="Helvetica"/>
          <w:sz w:val="20"/>
        </w:rPr>
        <w:t>der Schnittstelle der Datenströme zwischen den klassischen Branchenlösungen für die Verteilnetzbetreiber und den neuen IT-Systemen für die Smart-Meter-Gateway-Administration (SMGA) angesiedelt</w:t>
      </w:r>
      <w:r>
        <w:rPr>
          <w:rFonts w:cs="Helvetica"/>
          <w:sz w:val="20"/>
        </w:rPr>
        <w:t>. Mithilfe der Wilken</w:t>
      </w:r>
      <w:r w:rsidRPr="00333966">
        <w:rPr>
          <w:rFonts w:cs="Helvetica"/>
          <w:sz w:val="20"/>
        </w:rPr>
        <w:t xml:space="preserve"> </w:t>
      </w:r>
      <w:proofErr w:type="spellStart"/>
      <w:r w:rsidRPr="00333966">
        <w:rPr>
          <w:rFonts w:cs="Helvetica"/>
          <w:sz w:val="20"/>
        </w:rPr>
        <w:t>Billing</w:t>
      </w:r>
      <w:proofErr w:type="spellEnd"/>
      <w:r w:rsidRPr="00333966">
        <w:rPr>
          <w:rFonts w:cs="Helvetica"/>
          <w:sz w:val="20"/>
        </w:rPr>
        <w:t>-Engine</w:t>
      </w:r>
      <w:r>
        <w:rPr>
          <w:rFonts w:cs="Helvetica"/>
          <w:sz w:val="20"/>
        </w:rPr>
        <w:t xml:space="preserve"> werden</w:t>
      </w:r>
      <w:r w:rsidRPr="00333966">
        <w:rPr>
          <w:rFonts w:cs="Helvetica"/>
          <w:sz w:val="20"/>
        </w:rPr>
        <w:t xml:space="preserve"> die Kosten für den Messstellenbetrieb je nach vorliegenden Verträgen entweder an den Lieferanten oder direkt an die Anschlussnehmer bzw. Anschlussnutzer we</w:t>
      </w:r>
      <w:r>
        <w:rPr>
          <w:rFonts w:cs="Helvetica"/>
          <w:sz w:val="20"/>
        </w:rPr>
        <w:t xml:space="preserve">iterberechnet. Dabei werden auch die Kosten für die </w:t>
      </w:r>
      <w:r w:rsidRPr="00333966">
        <w:rPr>
          <w:rFonts w:cs="Helvetica"/>
          <w:sz w:val="20"/>
        </w:rPr>
        <w:t xml:space="preserve">Kundenserviceprozesse </w:t>
      </w:r>
      <w:r>
        <w:rPr>
          <w:rFonts w:cs="Helvetica"/>
          <w:sz w:val="20"/>
        </w:rPr>
        <w:t>berücksichtigt</w:t>
      </w:r>
      <w:r w:rsidRPr="00333966">
        <w:rPr>
          <w:rFonts w:cs="Helvetica"/>
          <w:sz w:val="20"/>
        </w:rPr>
        <w:t>.</w:t>
      </w:r>
      <w:r>
        <w:rPr>
          <w:rFonts w:cs="Helvetica"/>
          <w:sz w:val="20"/>
        </w:rPr>
        <w:t xml:space="preserve"> Das </w:t>
      </w:r>
      <w:proofErr w:type="spellStart"/>
      <w:r>
        <w:rPr>
          <w:rFonts w:cs="Helvetica"/>
          <w:sz w:val="20"/>
        </w:rPr>
        <w:t>Full</w:t>
      </w:r>
      <w:proofErr w:type="spellEnd"/>
      <w:r>
        <w:rPr>
          <w:rFonts w:cs="Helvetica"/>
          <w:sz w:val="20"/>
        </w:rPr>
        <w:t xml:space="preserve">-Service-Paket für die Abwicklung umfasst zudem </w:t>
      </w:r>
      <w:r w:rsidRPr="00333966">
        <w:rPr>
          <w:rFonts w:cs="Helvetica"/>
          <w:sz w:val="20"/>
        </w:rPr>
        <w:t xml:space="preserve">die Marktkommunikation für die </w:t>
      </w:r>
      <w:proofErr w:type="spellStart"/>
      <w:r w:rsidRPr="00333966">
        <w:rPr>
          <w:rFonts w:cs="Helvetica"/>
          <w:sz w:val="20"/>
        </w:rPr>
        <w:t>WiM</w:t>
      </w:r>
      <w:proofErr w:type="spellEnd"/>
      <w:r w:rsidRPr="00333966">
        <w:rPr>
          <w:rFonts w:cs="Helvetica"/>
          <w:sz w:val="20"/>
        </w:rPr>
        <w:t>-Prozesse</w:t>
      </w:r>
      <w:r>
        <w:rPr>
          <w:rFonts w:cs="Helvetica"/>
          <w:sz w:val="20"/>
        </w:rPr>
        <w:t>.</w:t>
      </w:r>
      <w:r w:rsidRPr="00333966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Alle</w:t>
      </w:r>
      <w:r w:rsidRPr="00333966">
        <w:rPr>
          <w:rFonts w:cs="Helvetica"/>
          <w:sz w:val="20"/>
        </w:rPr>
        <w:t xml:space="preserve"> abrechnungsrelevanten Daten sowie alle für die MSB-Abrechnung erforderlichen Stammdaten werden aus den VNB- </w:t>
      </w:r>
      <w:r w:rsidRPr="00333966">
        <w:rPr>
          <w:rFonts w:cs="Helvetica"/>
          <w:sz w:val="20"/>
        </w:rPr>
        <w:lastRenderedPageBreak/>
        <w:t xml:space="preserve">Systemen der beteiligten Stadtwerke an das </w:t>
      </w:r>
      <w:proofErr w:type="spellStart"/>
      <w:r w:rsidRPr="00333966">
        <w:rPr>
          <w:rFonts w:cs="Helvetica"/>
          <w:sz w:val="20"/>
        </w:rPr>
        <w:t>iMSB</w:t>
      </w:r>
      <w:proofErr w:type="spellEnd"/>
      <w:r w:rsidRPr="00333966">
        <w:rPr>
          <w:rFonts w:cs="Helvetica"/>
          <w:sz w:val="20"/>
        </w:rPr>
        <w:t>-System</w:t>
      </w:r>
      <w:r>
        <w:rPr>
          <w:rFonts w:cs="Helvetica"/>
          <w:sz w:val="20"/>
        </w:rPr>
        <w:t xml:space="preserve"> der Wilken PRO</w:t>
      </w:r>
      <w:r w:rsidRPr="00333966">
        <w:rPr>
          <w:rFonts w:cs="Helvetica"/>
          <w:sz w:val="20"/>
        </w:rPr>
        <w:t xml:space="preserve"> übermittelt. Es unterstützt die Aufspaltung in Mess- und Marktlokation, denn erstere ist für die MSB-Abrechnung entscheidend, während die Marktlokation auf der Ebene der beteiligten Verteilnetzbetreiber verbleibt. Die Anforderungen des buchhalterischen Unbundlings werden </w:t>
      </w:r>
      <w:r>
        <w:rPr>
          <w:rFonts w:cs="Helvetica"/>
          <w:sz w:val="20"/>
        </w:rPr>
        <w:t>dabei vollständig erfüllt</w:t>
      </w:r>
      <w:r w:rsidRPr="00333966">
        <w:rPr>
          <w:rFonts w:cs="Helvetica"/>
          <w:sz w:val="20"/>
        </w:rPr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E4396C" w:rsidRPr="00B2745D" w14:paraId="1C98E3E1" w14:textId="77777777" w:rsidTr="00666FCF">
        <w:tc>
          <w:tcPr>
            <w:tcW w:w="4361" w:type="dxa"/>
            <w:shd w:val="clear" w:color="auto" w:fill="auto"/>
          </w:tcPr>
          <w:p w14:paraId="74566D23" w14:textId="77777777" w:rsidR="00E4396C" w:rsidRPr="00B2745D" w:rsidRDefault="00E4396C" w:rsidP="00666FCF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PRO GmbH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Christine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Tomschi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2A5C590" w14:textId="77777777" w:rsidR="00E4396C" w:rsidRPr="00B2745D" w:rsidRDefault="00E4396C" w:rsidP="00666FCF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34F1D4C" w14:textId="3B931439" w:rsidR="00E4396C" w:rsidRPr="00E4396C" w:rsidRDefault="00E4396C" w:rsidP="00E4396C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 Mit der Wilken PRO GmbH bietet die Wilken Software Group darüber hinaus Prozessdienstleistungen (Kundenservice, Abrechnung, Marktkommunikation, Zahlungs- und Forderungsmanagement) für Stadtwerke und Energielieferanten an.</w:t>
      </w:r>
    </w:p>
    <w:p w14:paraId="1DBF8A1C" w14:textId="66D24E61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4CEA8F" w14:textId="77777777" w:rsidR="006115F2" w:rsidRDefault="006115F2">
      <w:r>
        <w:separator/>
      </w:r>
    </w:p>
  </w:endnote>
  <w:endnote w:type="continuationSeparator" w:id="0">
    <w:p w14:paraId="78172509" w14:textId="77777777" w:rsidR="006115F2" w:rsidRDefault="00611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CC590A" w14:textId="77777777" w:rsidR="006115F2" w:rsidRDefault="006115F2">
      <w:r>
        <w:separator/>
      </w:r>
    </w:p>
  </w:footnote>
  <w:footnote w:type="continuationSeparator" w:id="0">
    <w:p w14:paraId="4AF7A90E" w14:textId="77777777" w:rsidR="006115F2" w:rsidRDefault="006115F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 w:bidi="th-TH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5D79"/>
    <w:rsid w:val="000F6D38"/>
    <w:rsid w:val="00102BB9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5DEE"/>
    <w:rsid w:val="00136E64"/>
    <w:rsid w:val="00152D07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2556E7"/>
    <w:rsid w:val="00272362"/>
    <w:rsid w:val="00275197"/>
    <w:rsid w:val="002A28CE"/>
    <w:rsid w:val="002A2F6F"/>
    <w:rsid w:val="002A325F"/>
    <w:rsid w:val="002B275A"/>
    <w:rsid w:val="002C1ACB"/>
    <w:rsid w:val="002C201B"/>
    <w:rsid w:val="002C40A1"/>
    <w:rsid w:val="002C5994"/>
    <w:rsid w:val="002D0338"/>
    <w:rsid w:val="002D19F2"/>
    <w:rsid w:val="002D1F28"/>
    <w:rsid w:val="002D28F5"/>
    <w:rsid w:val="002E1BC0"/>
    <w:rsid w:val="0031677D"/>
    <w:rsid w:val="003179A3"/>
    <w:rsid w:val="00324F5C"/>
    <w:rsid w:val="00333966"/>
    <w:rsid w:val="00333E51"/>
    <w:rsid w:val="003365AB"/>
    <w:rsid w:val="003467EA"/>
    <w:rsid w:val="00363C56"/>
    <w:rsid w:val="00366E84"/>
    <w:rsid w:val="0037633E"/>
    <w:rsid w:val="00376B33"/>
    <w:rsid w:val="0038387B"/>
    <w:rsid w:val="003A1A5E"/>
    <w:rsid w:val="003A1B6D"/>
    <w:rsid w:val="003A43A2"/>
    <w:rsid w:val="003A775C"/>
    <w:rsid w:val="003C2165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D81"/>
    <w:rsid w:val="00410CD5"/>
    <w:rsid w:val="004110F6"/>
    <w:rsid w:val="004127D7"/>
    <w:rsid w:val="00425A22"/>
    <w:rsid w:val="00425E5F"/>
    <w:rsid w:val="00432E47"/>
    <w:rsid w:val="00457490"/>
    <w:rsid w:val="00470089"/>
    <w:rsid w:val="004712B6"/>
    <w:rsid w:val="00475832"/>
    <w:rsid w:val="00477E0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79BE"/>
    <w:rsid w:val="0050632B"/>
    <w:rsid w:val="00511F1D"/>
    <w:rsid w:val="00513A25"/>
    <w:rsid w:val="00517604"/>
    <w:rsid w:val="00521E09"/>
    <w:rsid w:val="005246FF"/>
    <w:rsid w:val="00535049"/>
    <w:rsid w:val="00535FC2"/>
    <w:rsid w:val="00542FDF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3BF7"/>
    <w:rsid w:val="0058795D"/>
    <w:rsid w:val="005937FF"/>
    <w:rsid w:val="00595CF3"/>
    <w:rsid w:val="0059648C"/>
    <w:rsid w:val="005B630C"/>
    <w:rsid w:val="005D06AC"/>
    <w:rsid w:val="005D23B7"/>
    <w:rsid w:val="005E006B"/>
    <w:rsid w:val="005E0C32"/>
    <w:rsid w:val="005E6CA3"/>
    <w:rsid w:val="005F2C2F"/>
    <w:rsid w:val="005F375D"/>
    <w:rsid w:val="005F3918"/>
    <w:rsid w:val="005F48C4"/>
    <w:rsid w:val="00602C64"/>
    <w:rsid w:val="0060646D"/>
    <w:rsid w:val="006115F2"/>
    <w:rsid w:val="00614428"/>
    <w:rsid w:val="00617317"/>
    <w:rsid w:val="006205F9"/>
    <w:rsid w:val="00632098"/>
    <w:rsid w:val="00644E9F"/>
    <w:rsid w:val="00645730"/>
    <w:rsid w:val="006568C1"/>
    <w:rsid w:val="00667CBE"/>
    <w:rsid w:val="00675809"/>
    <w:rsid w:val="0067633A"/>
    <w:rsid w:val="00693603"/>
    <w:rsid w:val="006963F7"/>
    <w:rsid w:val="006A0673"/>
    <w:rsid w:val="006B0312"/>
    <w:rsid w:val="006B72FA"/>
    <w:rsid w:val="006E3F8E"/>
    <w:rsid w:val="006E468B"/>
    <w:rsid w:val="006E5937"/>
    <w:rsid w:val="006F6C95"/>
    <w:rsid w:val="00733F48"/>
    <w:rsid w:val="0073656F"/>
    <w:rsid w:val="007367F7"/>
    <w:rsid w:val="00737E3A"/>
    <w:rsid w:val="00741F98"/>
    <w:rsid w:val="00745BE5"/>
    <w:rsid w:val="00746812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B3944"/>
    <w:rsid w:val="007C1274"/>
    <w:rsid w:val="007C3EFB"/>
    <w:rsid w:val="007C5A78"/>
    <w:rsid w:val="007E040D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1F5A"/>
    <w:rsid w:val="0084392B"/>
    <w:rsid w:val="008474DE"/>
    <w:rsid w:val="00853823"/>
    <w:rsid w:val="00863D68"/>
    <w:rsid w:val="0088157B"/>
    <w:rsid w:val="008825F3"/>
    <w:rsid w:val="0088514D"/>
    <w:rsid w:val="008852F2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176A0"/>
    <w:rsid w:val="00921B7A"/>
    <w:rsid w:val="0093086E"/>
    <w:rsid w:val="009333FD"/>
    <w:rsid w:val="009378C5"/>
    <w:rsid w:val="00943667"/>
    <w:rsid w:val="00947BDC"/>
    <w:rsid w:val="00947D6A"/>
    <w:rsid w:val="009520FE"/>
    <w:rsid w:val="00961AD9"/>
    <w:rsid w:val="009668A5"/>
    <w:rsid w:val="00970937"/>
    <w:rsid w:val="00971D24"/>
    <w:rsid w:val="00973837"/>
    <w:rsid w:val="00980D69"/>
    <w:rsid w:val="00984451"/>
    <w:rsid w:val="00984EEC"/>
    <w:rsid w:val="009873C5"/>
    <w:rsid w:val="009A30BF"/>
    <w:rsid w:val="009A5237"/>
    <w:rsid w:val="009A7A52"/>
    <w:rsid w:val="009B0EFC"/>
    <w:rsid w:val="009B1B65"/>
    <w:rsid w:val="009C35DE"/>
    <w:rsid w:val="009C6A33"/>
    <w:rsid w:val="009C7BF7"/>
    <w:rsid w:val="009D20BB"/>
    <w:rsid w:val="009F1031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63C5"/>
    <w:rsid w:val="00AB7591"/>
    <w:rsid w:val="00AF1D9E"/>
    <w:rsid w:val="00AF395A"/>
    <w:rsid w:val="00B1628C"/>
    <w:rsid w:val="00B2745D"/>
    <w:rsid w:val="00B4126D"/>
    <w:rsid w:val="00B441DE"/>
    <w:rsid w:val="00B54F30"/>
    <w:rsid w:val="00B62065"/>
    <w:rsid w:val="00B631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51C55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D1E40"/>
    <w:rsid w:val="00CD395A"/>
    <w:rsid w:val="00CE4B1C"/>
    <w:rsid w:val="00CF4E1F"/>
    <w:rsid w:val="00D0021E"/>
    <w:rsid w:val="00D13CB5"/>
    <w:rsid w:val="00D20A18"/>
    <w:rsid w:val="00D20DFE"/>
    <w:rsid w:val="00D21A51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805A3"/>
    <w:rsid w:val="00D923CC"/>
    <w:rsid w:val="00D95B01"/>
    <w:rsid w:val="00DA2579"/>
    <w:rsid w:val="00DA3F70"/>
    <w:rsid w:val="00DA4F82"/>
    <w:rsid w:val="00DB0CE5"/>
    <w:rsid w:val="00DB32D6"/>
    <w:rsid w:val="00DB4016"/>
    <w:rsid w:val="00DC7643"/>
    <w:rsid w:val="00DE1531"/>
    <w:rsid w:val="00DE2EB6"/>
    <w:rsid w:val="00DF68C5"/>
    <w:rsid w:val="00E02730"/>
    <w:rsid w:val="00E0302D"/>
    <w:rsid w:val="00E34875"/>
    <w:rsid w:val="00E36955"/>
    <w:rsid w:val="00E37B54"/>
    <w:rsid w:val="00E409DF"/>
    <w:rsid w:val="00E4396C"/>
    <w:rsid w:val="00E44651"/>
    <w:rsid w:val="00E47E25"/>
    <w:rsid w:val="00E54882"/>
    <w:rsid w:val="00E62903"/>
    <w:rsid w:val="00E62CBD"/>
    <w:rsid w:val="00E654DE"/>
    <w:rsid w:val="00E708E0"/>
    <w:rsid w:val="00E83A83"/>
    <w:rsid w:val="00E915CC"/>
    <w:rsid w:val="00EA0E6E"/>
    <w:rsid w:val="00EA755D"/>
    <w:rsid w:val="00EB026E"/>
    <w:rsid w:val="00EB220A"/>
    <w:rsid w:val="00EB44ED"/>
    <w:rsid w:val="00EB77F7"/>
    <w:rsid w:val="00EC14F0"/>
    <w:rsid w:val="00ED247E"/>
    <w:rsid w:val="00ED53FF"/>
    <w:rsid w:val="00EE15AD"/>
    <w:rsid w:val="00EE403A"/>
    <w:rsid w:val="00EF01F7"/>
    <w:rsid w:val="00EF1566"/>
    <w:rsid w:val="00EF1E53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717EB"/>
    <w:rsid w:val="00F771FF"/>
    <w:rsid w:val="00F9031E"/>
    <w:rsid w:val="00F903C3"/>
    <w:rsid w:val="00F96E98"/>
    <w:rsid w:val="00FA13E1"/>
    <w:rsid w:val="00FA3705"/>
    <w:rsid w:val="00FA76E0"/>
    <w:rsid w:val="00FB0927"/>
    <w:rsid w:val="00FB3528"/>
    <w:rsid w:val="00FB7D61"/>
    <w:rsid w:val="00FC18FD"/>
    <w:rsid w:val="00FD7393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3294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2. Mai 2017</vt:lpstr>
    </vt:vector>
  </TitlesOfParts>
  <Company>Press'n'Relations </Company>
  <LinksUpToDate>false</LinksUpToDate>
  <CharactersWithSpaces>3809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2</cp:revision>
  <cp:lastPrinted>2017-04-26T07:30:00Z</cp:lastPrinted>
  <dcterms:created xsi:type="dcterms:W3CDTF">2017-05-04T06:16:00Z</dcterms:created>
  <dcterms:modified xsi:type="dcterms:W3CDTF">2017-05-04T06:16:00Z</dcterms:modified>
</cp:coreProperties>
</file>