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03BD4" w14:textId="77B66F17" w:rsidR="00C51C55" w:rsidRPr="00B2745D" w:rsidRDefault="00C51C55" w:rsidP="00C51C55">
      <w:pPr>
        <w:ind w:right="-709"/>
        <w:outlineLvl w:val="0"/>
        <w:rPr>
          <w:b/>
        </w:rPr>
      </w:pPr>
      <w:r w:rsidRPr="00B2745D">
        <w:rPr>
          <w:b/>
        </w:rPr>
        <w:t xml:space="preserve">PRESSEINFORMATION </w:t>
      </w:r>
    </w:p>
    <w:p w14:paraId="333A9BD1" w14:textId="268B576D" w:rsidR="00970937" w:rsidRPr="00B2745D" w:rsidRDefault="00C51C55" w:rsidP="00064DC6">
      <w:pPr>
        <w:ind w:right="-709"/>
        <w:outlineLvl w:val="0"/>
        <w:rPr>
          <w:sz w:val="20"/>
        </w:rPr>
      </w:pPr>
      <w:r w:rsidRPr="00B2745D">
        <w:rPr>
          <w:sz w:val="20"/>
        </w:rPr>
        <w:t>Ulm</w:t>
      </w:r>
      <w:r w:rsidR="007A2057">
        <w:rPr>
          <w:sz w:val="20"/>
        </w:rPr>
        <w:t>/Greven</w:t>
      </w:r>
      <w:r w:rsidRPr="00B2745D">
        <w:rPr>
          <w:sz w:val="20"/>
        </w:rPr>
        <w:t xml:space="preserve">, </w:t>
      </w:r>
      <w:r w:rsidR="009A7A52" w:rsidRPr="00B2745D">
        <w:rPr>
          <w:sz w:val="20"/>
        </w:rPr>
        <w:t>1</w:t>
      </w:r>
      <w:r w:rsidR="00F3050A">
        <w:rPr>
          <w:sz w:val="20"/>
        </w:rPr>
        <w:t>6</w:t>
      </w:r>
      <w:r w:rsidR="008B69E2" w:rsidRPr="00B2745D">
        <w:rPr>
          <w:sz w:val="20"/>
        </w:rPr>
        <w:t xml:space="preserve">. </w:t>
      </w:r>
      <w:r w:rsidR="00F3050A">
        <w:rPr>
          <w:sz w:val="20"/>
        </w:rPr>
        <w:t>Febr</w:t>
      </w:r>
      <w:r w:rsidR="000C08EF">
        <w:rPr>
          <w:sz w:val="20"/>
        </w:rPr>
        <w:t>uar</w:t>
      </w:r>
      <w:r w:rsidRPr="00B2745D">
        <w:rPr>
          <w:sz w:val="20"/>
        </w:rPr>
        <w:t xml:space="preserve"> 201</w:t>
      </w:r>
      <w:r w:rsidR="000C08EF">
        <w:rPr>
          <w:sz w:val="20"/>
        </w:rPr>
        <w:t>6</w:t>
      </w:r>
    </w:p>
    <w:p w14:paraId="67E2BA79" w14:textId="5781B350" w:rsidR="007E1E5C" w:rsidRPr="00B2745D" w:rsidRDefault="00F3050A" w:rsidP="00064DC6">
      <w:pPr>
        <w:ind w:right="-1560"/>
        <w:rPr>
          <w:b/>
          <w:bCs/>
          <w:sz w:val="28"/>
          <w:szCs w:val="28"/>
        </w:rPr>
      </w:pPr>
      <w:r>
        <w:rPr>
          <w:b/>
          <w:bCs/>
          <w:sz w:val="28"/>
          <w:szCs w:val="28"/>
        </w:rPr>
        <w:t>Wilken bietet freie Wahl bei Smart Meter Gateway Administration</w:t>
      </w:r>
      <w:r w:rsidR="00064DC6" w:rsidRPr="00B2745D">
        <w:rPr>
          <w:b/>
          <w:bCs/>
          <w:sz w:val="28"/>
          <w:szCs w:val="28"/>
        </w:rPr>
        <w:br/>
      </w:r>
      <w:r>
        <w:rPr>
          <w:rFonts w:cs="Arial"/>
          <w:b/>
          <w:bCs/>
          <w:szCs w:val="22"/>
        </w:rPr>
        <w:t>Anbindung über neues P/5 SMGA Interface sorgt für integrierte Prozesse</w:t>
      </w:r>
    </w:p>
    <w:p w14:paraId="06A92209" w14:textId="3026445D" w:rsidR="005937FF" w:rsidRPr="005937FF" w:rsidRDefault="00961AD9" w:rsidP="005937FF">
      <w:pPr>
        <w:rPr>
          <w:rFonts w:cs="Helvetica"/>
          <w:b/>
          <w:bCs/>
          <w:sz w:val="20"/>
        </w:rPr>
      </w:pPr>
      <w:bookmarkStart w:id="0" w:name="_GoBack"/>
      <w:r>
        <w:rPr>
          <w:rFonts w:cs="Helvetica"/>
          <w:b/>
          <w:bCs/>
          <w:sz w:val="20"/>
        </w:rPr>
        <w:t>Mit seinem neuen</w:t>
      </w:r>
      <w:r w:rsidR="005937FF" w:rsidRPr="005937FF">
        <w:rPr>
          <w:rFonts w:cs="Helvetica"/>
          <w:b/>
          <w:bCs/>
          <w:sz w:val="20"/>
        </w:rPr>
        <w:t xml:space="preserve"> SMGA-</w:t>
      </w:r>
      <w:r>
        <w:rPr>
          <w:rFonts w:cs="Helvetica"/>
          <w:b/>
          <w:bCs/>
          <w:sz w:val="20"/>
        </w:rPr>
        <w:t>Interface</w:t>
      </w:r>
      <w:r w:rsidR="005937FF" w:rsidRPr="005937FF">
        <w:rPr>
          <w:rFonts w:cs="Helvetica"/>
          <w:b/>
          <w:bCs/>
          <w:sz w:val="20"/>
        </w:rPr>
        <w:t xml:space="preserve"> lässt Wilken den Anwendern der Branchenlösungen ENER:GY und </w:t>
      </w:r>
      <w:proofErr w:type="spellStart"/>
      <w:r w:rsidR="005937FF" w:rsidRPr="005937FF">
        <w:rPr>
          <w:rFonts w:cs="Helvetica"/>
          <w:b/>
          <w:bCs/>
          <w:sz w:val="20"/>
        </w:rPr>
        <w:t>NTS.suite</w:t>
      </w:r>
      <w:proofErr w:type="spellEnd"/>
      <w:r w:rsidR="005937FF" w:rsidRPr="005937FF">
        <w:rPr>
          <w:rFonts w:cs="Helvetica"/>
          <w:b/>
          <w:bCs/>
          <w:sz w:val="20"/>
        </w:rPr>
        <w:t xml:space="preserve"> bei der Digitalisierung der Energiewende die Wahl: Neben den Partnern</w:t>
      </w:r>
      <w:r w:rsidR="004851B3">
        <w:rPr>
          <w:rFonts w:cs="Helvetica"/>
          <w:b/>
          <w:bCs/>
          <w:sz w:val="20"/>
        </w:rPr>
        <w:t xml:space="preserve"> </w:t>
      </w:r>
      <w:proofErr w:type="spellStart"/>
      <w:r w:rsidR="004851B3" w:rsidRPr="005937FF">
        <w:rPr>
          <w:rFonts w:cs="Helvetica"/>
          <w:b/>
          <w:bCs/>
          <w:sz w:val="20"/>
        </w:rPr>
        <w:t>MeterPan</w:t>
      </w:r>
      <w:proofErr w:type="spellEnd"/>
      <w:r w:rsidR="005937FF" w:rsidRPr="005937FF">
        <w:rPr>
          <w:rFonts w:cs="Helvetica"/>
          <w:b/>
          <w:bCs/>
          <w:sz w:val="20"/>
        </w:rPr>
        <w:t xml:space="preserve">, Kisters und </w:t>
      </w:r>
      <w:proofErr w:type="spellStart"/>
      <w:r w:rsidR="004851B3" w:rsidRPr="005937FF">
        <w:rPr>
          <w:rFonts w:cs="Helvetica"/>
          <w:b/>
          <w:bCs/>
          <w:sz w:val="20"/>
        </w:rPr>
        <w:t>co.met</w:t>
      </w:r>
      <w:proofErr w:type="spellEnd"/>
      <w:r w:rsidR="004851B3" w:rsidRPr="005937FF">
        <w:rPr>
          <w:rFonts w:cs="Helvetica"/>
          <w:b/>
          <w:bCs/>
          <w:sz w:val="20"/>
        </w:rPr>
        <w:t xml:space="preserve"> </w:t>
      </w:r>
      <w:r w:rsidR="005937FF" w:rsidRPr="005937FF">
        <w:rPr>
          <w:rFonts w:cs="Helvetica"/>
          <w:b/>
          <w:bCs/>
          <w:sz w:val="20"/>
        </w:rPr>
        <w:t xml:space="preserve">können über das neue P/5 SMGA Interface auch weitere Lösungen für die Smart Meter Gateway Administration angebunden werden. Voraussetzung ist eine vorherige Zertifizierung der Lösungen durch Wilken oder Wilken </w:t>
      </w:r>
      <w:proofErr w:type="spellStart"/>
      <w:r w:rsidR="005937FF" w:rsidRPr="005937FF">
        <w:rPr>
          <w:rFonts w:cs="Helvetica"/>
          <w:b/>
          <w:bCs/>
          <w:sz w:val="20"/>
        </w:rPr>
        <w:t>Neutrasoft</w:t>
      </w:r>
      <w:proofErr w:type="spellEnd"/>
      <w:r w:rsidR="005937FF" w:rsidRPr="005937FF">
        <w:rPr>
          <w:rFonts w:cs="Helvetica"/>
          <w:b/>
          <w:bCs/>
          <w:sz w:val="20"/>
        </w:rPr>
        <w:t xml:space="preserve">. Der Vorteil: Die SMGA- und </w:t>
      </w:r>
      <w:proofErr w:type="spellStart"/>
      <w:r w:rsidR="005937FF" w:rsidRPr="005937FF">
        <w:rPr>
          <w:rFonts w:cs="Helvetica"/>
          <w:b/>
          <w:bCs/>
          <w:sz w:val="20"/>
        </w:rPr>
        <w:t>iMsys</w:t>
      </w:r>
      <w:proofErr w:type="spellEnd"/>
      <w:r w:rsidR="005937FF" w:rsidRPr="005937FF">
        <w:rPr>
          <w:rFonts w:cs="Helvetica"/>
          <w:b/>
          <w:bCs/>
          <w:sz w:val="20"/>
        </w:rPr>
        <w:t xml:space="preserve">-Rollout-Prozesse laufen integriert mit den Kernsystemen – von der Installation </w:t>
      </w:r>
      <w:r w:rsidR="00EB026E">
        <w:rPr>
          <w:rFonts w:cs="Helvetica"/>
          <w:b/>
          <w:bCs/>
          <w:sz w:val="20"/>
        </w:rPr>
        <w:t xml:space="preserve">der Geräte </w:t>
      </w:r>
      <w:r w:rsidR="005937FF" w:rsidRPr="005937FF">
        <w:rPr>
          <w:rFonts w:cs="Helvetica"/>
          <w:b/>
          <w:bCs/>
          <w:sz w:val="20"/>
        </w:rPr>
        <w:t xml:space="preserve">über die regelkonforme Marktkommunikation bis hin zur Abrechnung. Notlösungen wie etwa Nebenabrechnungen, die bei manchen SMGA-Anbietern nötig sind, entfallen. Optional bietet Wilken auch die vollständige Auslagerung des SMGA-Prozesses über die </w:t>
      </w:r>
      <w:proofErr w:type="spellStart"/>
      <w:r w:rsidR="005937FF" w:rsidRPr="005937FF">
        <w:rPr>
          <w:rFonts w:cs="Helvetica"/>
          <w:b/>
          <w:bCs/>
          <w:sz w:val="20"/>
        </w:rPr>
        <w:t>Full</w:t>
      </w:r>
      <w:proofErr w:type="spellEnd"/>
      <w:r w:rsidR="005937FF" w:rsidRPr="005937FF">
        <w:rPr>
          <w:rFonts w:cs="Helvetica"/>
          <w:b/>
          <w:bCs/>
          <w:sz w:val="20"/>
        </w:rPr>
        <w:t>-Service-Tochter Wilken PRO – eine Option, die vor allem für kleine und mittlere Versorgungsunternehmen interessant ist, da sie so keine eigenen Ressourcen dafür aufbauen müssen. Dazu kommt die Unterstützung durch weitergehende Dienstleistungen, etwa durch Beratungsangebote für die Rollout-Planung durch d</w:t>
      </w:r>
      <w:r w:rsidR="004851B3">
        <w:rPr>
          <w:rFonts w:cs="Helvetica"/>
          <w:b/>
          <w:bCs/>
          <w:sz w:val="20"/>
        </w:rPr>
        <w:t>ie Partner</w:t>
      </w:r>
      <w:r w:rsidR="005937FF" w:rsidRPr="005937FF">
        <w:rPr>
          <w:rFonts w:cs="Helvetica"/>
          <w:b/>
          <w:bCs/>
          <w:sz w:val="20"/>
        </w:rPr>
        <w:t xml:space="preserve">. Auch Outsourcing-Angebote wie der Betrieb der </w:t>
      </w:r>
      <w:proofErr w:type="spellStart"/>
      <w:r w:rsidR="005937FF" w:rsidRPr="005937FF">
        <w:rPr>
          <w:rFonts w:cs="Helvetica"/>
          <w:b/>
          <w:bCs/>
          <w:sz w:val="20"/>
        </w:rPr>
        <w:t>co.met</w:t>
      </w:r>
      <w:proofErr w:type="spellEnd"/>
      <w:r w:rsidR="005937FF" w:rsidRPr="005937FF">
        <w:rPr>
          <w:rFonts w:cs="Helvetica"/>
          <w:b/>
          <w:bCs/>
          <w:sz w:val="20"/>
        </w:rPr>
        <w:t xml:space="preserve">- beziehungsweise </w:t>
      </w:r>
      <w:proofErr w:type="spellStart"/>
      <w:r w:rsidR="005937FF" w:rsidRPr="005937FF">
        <w:rPr>
          <w:rFonts w:cs="Helvetica"/>
          <w:b/>
          <w:bCs/>
          <w:sz w:val="20"/>
        </w:rPr>
        <w:t>MeterPan</w:t>
      </w:r>
      <w:proofErr w:type="spellEnd"/>
      <w:r w:rsidR="005937FF" w:rsidRPr="005937FF">
        <w:rPr>
          <w:rFonts w:cs="Helvetica"/>
          <w:b/>
          <w:bCs/>
          <w:sz w:val="20"/>
        </w:rPr>
        <w:t>-Lösungen im TÜV-Level 3 zertifizierten Wilken Rechenzentrum gehören zum Portfolio.</w:t>
      </w:r>
    </w:p>
    <w:p w14:paraId="642955A8" w14:textId="6410731F" w:rsidR="005D23B7" w:rsidRPr="005937FF" w:rsidRDefault="005937FF" w:rsidP="0050632B">
      <w:pPr>
        <w:rPr>
          <w:rFonts w:cs="Helvetica"/>
          <w:bCs/>
          <w:sz w:val="20"/>
        </w:rPr>
      </w:pPr>
      <w:r>
        <w:rPr>
          <w:rFonts w:cs="Helvetica"/>
          <w:bCs/>
          <w:sz w:val="20"/>
        </w:rPr>
        <w:t xml:space="preserve">Der integrative Ansatz und das modulare Konzept, bei dem Wilken-Partner wie Kisters, </w:t>
      </w:r>
      <w:proofErr w:type="spellStart"/>
      <w:r>
        <w:rPr>
          <w:rFonts w:cs="Helvetica"/>
          <w:bCs/>
          <w:sz w:val="20"/>
        </w:rPr>
        <w:t>meterpan</w:t>
      </w:r>
      <w:proofErr w:type="spellEnd"/>
      <w:r>
        <w:rPr>
          <w:rFonts w:cs="Helvetica"/>
          <w:bCs/>
          <w:sz w:val="20"/>
        </w:rPr>
        <w:t xml:space="preserve"> oder </w:t>
      </w:r>
      <w:proofErr w:type="spellStart"/>
      <w:r>
        <w:rPr>
          <w:rFonts w:cs="Helvetica"/>
          <w:bCs/>
          <w:sz w:val="20"/>
        </w:rPr>
        <w:t>co.met</w:t>
      </w:r>
      <w:proofErr w:type="spellEnd"/>
      <w:r>
        <w:rPr>
          <w:rFonts w:cs="Helvetica"/>
          <w:bCs/>
          <w:sz w:val="20"/>
        </w:rPr>
        <w:t xml:space="preserve">, aber auch andere SMGA-Anbieter einfach eingebunden werden können, bieten für den Anwender zahlreiche Vorteile: So werden die elektronischen Lieferscheine für die Gateways direkt in die Geräteverwaltung von ENER:GY bzw. der </w:t>
      </w:r>
      <w:proofErr w:type="spellStart"/>
      <w:r>
        <w:rPr>
          <w:rFonts w:cs="Helvetica"/>
          <w:bCs/>
          <w:sz w:val="20"/>
        </w:rPr>
        <w:t>NTS.suite</w:t>
      </w:r>
      <w:proofErr w:type="spellEnd"/>
      <w:r>
        <w:rPr>
          <w:rFonts w:cs="Helvetica"/>
          <w:bCs/>
          <w:sz w:val="20"/>
        </w:rPr>
        <w:t xml:space="preserve"> eingespielt</w:t>
      </w:r>
      <w:r w:rsidRPr="0050632B">
        <w:rPr>
          <w:rFonts w:cs="Helvetica"/>
          <w:bCs/>
          <w:sz w:val="20"/>
        </w:rPr>
        <w:t>.</w:t>
      </w:r>
      <w:r>
        <w:rPr>
          <w:rFonts w:cs="Helvetica"/>
          <w:bCs/>
          <w:sz w:val="20"/>
        </w:rPr>
        <w:t xml:space="preserve"> Für die Planung von Rollouts und Gerätewechseln stellen beide System dann Informationen etwa über die verbauten Zähler, deren Eichfristen oder über die Pflichteinbauquoten zur Verfügung, digitale Checklisten unterstützen die IST-Aufnahme der Einbausituation vor Ort. </w:t>
      </w:r>
      <w:r>
        <w:rPr>
          <w:rFonts w:cs="Helvetica"/>
          <w:bCs/>
          <w:sz w:val="20"/>
        </w:rPr>
        <w:lastRenderedPageBreak/>
        <w:t xml:space="preserve">Sämtliche für das </w:t>
      </w:r>
      <w:proofErr w:type="spellStart"/>
      <w:r>
        <w:rPr>
          <w:rFonts w:cs="Helvetica"/>
          <w:bCs/>
          <w:sz w:val="20"/>
        </w:rPr>
        <w:t>Workforce</w:t>
      </w:r>
      <w:proofErr w:type="spellEnd"/>
      <w:r>
        <w:rPr>
          <w:rFonts w:cs="Helvetica"/>
          <w:bCs/>
          <w:sz w:val="20"/>
        </w:rPr>
        <w:t>- und Rolloutmanagement notwendigen Daten sind somit an zentraler Stelle</w:t>
      </w:r>
      <w:r w:rsidR="007A2057">
        <w:rPr>
          <w:rFonts w:cs="Helvetica"/>
          <w:bCs/>
          <w:color w:val="FF0000"/>
          <w:sz w:val="20"/>
        </w:rPr>
        <w:t xml:space="preserve"> </w:t>
      </w:r>
      <w:r>
        <w:rPr>
          <w:rFonts w:cs="Helvetica"/>
          <w:bCs/>
          <w:sz w:val="20"/>
        </w:rPr>
        <w:t>abgelegt und werden von dort aus an die beteiligten Anwendungen verteilt. Ein besonderer Vorteil ist auch, dass die alte und neue Zählerwe</w:t>
      </w:r>
      <w:r w:rsidR="004851B3">
        <w:rPr>
          <w:rFonts w:cs="Helvetica"/>
          <w:bCs/>
          <w:sz w:val="20"/>
        </w:rPr>
        <w:t>lt</w:t>
      </w:r>
      <w:r>
        <w:rPr>
          <w:rFonts w:cs="Helvetica"/>
          <w:bCs/>
          <w:sz w:val="20"/>
        </w:rPr>
        <w:t xml:space="preserve"> prozessidentisch abgebildet </w:t>
      </w:r>
      <w:proofErr w:type="gramStart"/>
      <w:r>
        <w:rPr>
          <w:rFonts w:cs="Helvetica"/>
          <w:bCs/>
          <w:sz w:val="20"/>
        </w:rPr>
        <w:t>sind</w:t>
      </w:r>
      <w:proofErr w:type="gramEnd"/>
      <w:r>
        <w:rPr>
          <w:rFonts w:cs="Helvetica"/>
          <w:bCs/>
          <w:sz w:val="20"/>
        </w:rPr>
        <w:t xml:space="preserve">. Auf diese Weise können sämtlich Messeinrichtungen – digital wie analog – über ein einziges System verwaltet werden. Für den Rollout, der ja erst 2032 abgeschlossen sein wird, müssen somit keine Parallelstrukturen aufgebaut werden. </w:t>
      </w:r>
    </w:p>
    <w:p w14:paraId="3CE6FA60" w14:textId="7286973C" w:rsidR="00DA3F70" w:rsidRPr="00B2745D" w:rsidRDefault="00A12303" w:rsidP="00535049">
      <w:pPr>
        <w:rPr>
          <w:rFonts w:cs="Helvetica"/>
          <w:bCs/>
          <w:sz w:val="20"/>
        </w:rPr>
      </w:pPr>
      <w:r>
        <w:rPr>
          <w:rFonts w:cs="Helvetica"/>
          <w:bCs/>
          <w:sz w:val="20"/>
        </w:rPr>
        <w:t xml:space="preserve">Auch die Abrechnung der Messstellen erfolgt integriert über ENER:GY bzw. </w:t>
      </w:r>
      <w:proofErr w:type="spellStart"/>
      <w:r>
        <w:rPr>
          <w:rFonts w:cs="Helvetica"/>
          <w:bCs/>
          <w:sz w:val="20"/>
        </w:rPr>
        <w:t>NTS.suite</w:t>
      </w:r>
      <w:proofErr w:type="spellEnd"/>
      <w:r>
        <w:rPr>
          <w:rFonts w:cs="Helvetica"/>
          <w:bCs/>
          <w:sz w:val="20"/>
        </w:rPr>
        <w:t>, so dass keine „Nebenabrechnung“ notwendig ist.</w:t>
      </w:r>
      <w:r w:rsidR="00E37B54">
        <w:rPr>
          <w:rFonts w:cs="Helvetica"/>
          <w:bCs/>
          <w:sz w:val="20"/>
        </w:rPr>
        <w:t xml:space="preserve"> Das gilt für die Abrechnung des Netzbetreibers ebenso wie für den Messstellenbetreiber und den Lieferanten. Die integrierte Prozessabbildung erleichtert vor allem Letzteren das Leben, denn über das P/5 SMGA Interface lässt sich auch die Kommunikation mit „fremden“ SMGAs in unterschiedlichen Netzgebieten abbilden</w:t>
      </w:r>
      <w:r w:rsidR="00363C56">
        <w:rPr>
          <w:rFonts w:cs="Helvetica"/>
          <w:bCs/>
          <w:sz w:val="20"/>
        </w:rPr>
        <w:t>.</w:t>
      </w:r>
      <w:r w:rsidR="00363C56" w:rsidRPr="00363C56">
        <w:rPr>
          <w:rFonts w:cs="Helvetica"/>
          <w:bCs/>
          <w:sz w:val="20"/>
        </w:rPr>
        <w:t xml:space="preserve"> </w:t>
      </w:r>
      <w:r w:rsidR="00363C56">
        <w:rPr>
          <w:rFonts w:cs="Helvetica"/>
          <w:bCs/>
          <w:sz w:val="20"/>
        </w:rPr>
        <w:t>Die Integrationsschicht</w:t>
      </w:r>
      <w:r w:rsidR="00E37B54">
        <w:rPr>
          <w:rFonts w:cs="Helvetica"/>
          <w:bCs/>
          <w:sz w:val="20"/>
        </w:rPr>
        <w:t xml:space="preserve"> </w:t>
      </w:r>
      <w:r w:rsidR="00363C56">
        <w:rPr>
          <w:rFonts w:cs="Helvetica"/>
          <w:bCs/>
          <w:sz w:val="20"/>
        </w:rPr>
        <w:t>ermöglicht d</w:t>
      </w:r>
      <w:r w:rsidR="005D23B7">
        <w:rPr>
          <w:rFonts w:cs="Helvetica"/>
          <w:bCs/>
          <w:sz w:val="20"/>
        </w:rPr>
        <w:t>arüber</w:t>
      </w:r>
      <w:r w:rsidR="000C13A4">
        <w:rPr>
          <w:rFonts w:cs="Helvetica"/>
          <w:bCs/>
          <w:sz w:val="20"/>
        </w:rPr>
        <w:t xml:space="preserve"> </w:t>
      </w:r>
      <w:r w:rsidR="005D23B7">
        <w:rPr>
          <w:rFonts w:cs="Helvetica"/>
          <w:bCs/>
          <w:sz w:val="20"/>
        </w:rPr>
        <w:t>hina</w:t>
      </w:r>
      <w:r w:rsidR="000C13A4">
        <w:rPr>
          <w:rFonts w:cs="Helvetica"/>
          <w:bCs/>
          <w:sz w:val="20"/>
        </w:rPr>
        <w:t>u</w:t>
      </w:r>
      <w:r w:rsidR="005D23B7">
        <w:rPr>
          <w:rFonts w:cs="Helvetica"/>
          <w:bCs/>
          <w:sz w:val="20"/>
        </w:rPr>
        <w:t xml:space="preserve">s </w:t>
      </w:r>
      <w:r w:rsidR="00E37B54">
        <w:rPr>
          <w:rFonts w:cs="Helvetica"/>
          <w:bCs/>
          <w:sz w:val="20"/>
        </w:rPr>
        <w:t>die Visualisierung der Verbrauchsdaten über Portale oder mobile Anwendungen.</w:t>
      </w:r>
    </w:p>
    <w:tbl>
      <w:tblPr>
        <w:tblW w:w="9180" w:type="dxa"/>
        <w:tblLook w:val="04A0" w:firstRow="1" w:lastRow="0" w:firstColumn="1" w:lastColumn="0" w:noHBand="0" w:noVBand="1"/>
      </w:tblPr>
      <w:tblGrid>
        <w:gridCol w:w="4361"/>
        <w:gridCol w:w="4819"/>
      </w:tblGrid>
      <w:tr w:rsidR="00535049" w:rsidRPr="00B2745D" w14:paraId="7819D4A6" w14:textId="77777777" w:rsidTr="00E6418B">
        <w:tc>
          <w:tcPr>
            <w:tcW w:w="4361" w:type="dxa"/>
            <w:shd w:val="clear" w:color="auto" w:fill="auto"/>
          </w:tcPr>
          <w:p w14:paraId="5A8CA3F3" w14:textId="1233CA9E" w:rsidR="00535049" w:rsidRPr="00B2745D" w:rsidRDefault="00535049" w:rsidP="00F3050A">
            <w:pPr>
              <w:widowControl w:val="0"/>
              <w:tabs>
                <w:tab w:val="left" w:pos="3969"/>
              </w:tabs>
              <w:autoSpaceDE w:val="0"/>
              <w:autoSpaceDN w:val="0"/>
              <w:adjustRightInd w:val="0"/>
              <w:spacing w:line="240" w:lineRule="auto"/>
              <w:ind w:right="176"/>
              <w:rPr>
                <w:rFonts w:ascii="Arial" w:hAnsi="Arial" w:cs="Calibri"/>
                <w:b/>
                <w:sz w:val="16"/>
                <w:szCs w:val="26"/>
                <w:lang w:eastAsia="de-DE"/>
              </w:rPr>
            </w:pPr>
            <w:r w:rsidRPr="00B2745D">
              <w:rPr>
                <w:rFonts w:ascii="Arial" w:hAnsi="Arial" w:cs="Calibri"/>
                <w:b/>
                <w:sz w:val="16"/>
                <w:szCs w:val="26"/>
                <w:lang w:eastAsia="de-DE"/>
              </w:rPr>
              <w:t>Kontaktdaten:</w:t>
            </w:r>
            <w:r w:rsidR="00B2745D" w:rsidRPr="00B2745D">
              <w:rPr>
                <w:rFonts w:ascii="Arial" w:hAnsi="Arial" w:cs="Calibri"/>
                <w:b/>
                <w:sz w:val="16"/>
                <w:szCs w:val="26"/>
                <w:lang w:eastAsia="de-DE"/>
              </w:rPr>
              <w:br/>
            </w:r>
            <w:r w:rsidRPr="00B2745D">
              <w:rPr>
                <w:rFonts w:ascii="Arial" w:hAnsi="Arial" w:cs="Calibri"/>
                <w:sz w:val="16"/>
                <w:szCs w:val="26"/>
                <w:lang w:eastAsia="de-DE"/>
              </w:rPr>
              <w:t xml:space="preserve">Wilken GmbH </w:t>
            </w:r>
            <w:r w:rsidR="00DA3F70">
              <w:rPr>
                <w:rFonts w:ascii="Arial" w:hAnsi="Arial" w:cs="Calibri"/>
                <w:sz w:val="16"/>
                <w:szCs w:val="26"/>
                <w:lang w:eastAsia="de-DE"/>
              </w:rPr>
              <w:t xml:space="preserve">– </w:t>
            </w:r>
            <w:r w:rsidR="00F3050A">
              <w:rPr>
                <w:rFonts w:ascii="Arial" w:hAnsi="Arial" w:cs="Calibri"/>
                <w:sz w:val="16"/>
                <w:szCs w:val="26"/>
                <w:lang w:eastAsia="de-DE"/>
              </w:rPr>
              <w:t>Bernd Vogel</w:t>
            </w:r>
            <w:r w:rsidR="00B2745D" w:rsidRPr="00B2745D">
              <w:rPr>
                <w:rFonts w:ascii="Arial" w:hAnsi="Arial" w:cs="Calibri"/>
                <w:b/>
                <w:sz w:val="16"/>
                <w:szCs w:val="26"/>
                <w:lang w:eastAsia="de-DE"/>
              </w:rPr>
              <w:br/>
            </w:r>
            <w:proofErr w:type="spellStart"/>
            <w:r w:rsidRPr="00B2745D">
              <w:rPr>
                <w:rFonts w:ascii="Arial" w:hAnsi="Arial" w:cs="Calibri"/>
                <w:sz w:val="16"/>
                <w:szCs w:val="26"/>
                <w:lang w:eastAsia="de-DE"/>
              </w:rPr>
              <w:t>Hörvelsinger</w:t>
            </w:r>
            <w:proofErr w:type="spellEnd"/>
            <w:r w:rsidRPr="00B2745D">
              <w:rPr>
                <w:rFonts w:ascii="Arial" w:hAnsi="Arial" w:cs="Calibri"/>
                <w:sz w:val="16"/>
                <w:szCs w:val="26"/>
                <w:lang w:eastAsia="de-DE"/>
              </w:rPr>
              <w:t xml:space="preserve"> Weg 29-31 – 89081 Ulm</w:t>
            </w:r>
            <w:r w:rsidRPr="00B2745D">
              <w:rPr>
                <w:rFonts w:ascii="Arial" w:hAnsi="Arial" w:cs="Calibri"/>
                <w:sz w:val="16"/>
                <w:szCs w:val="26"/>
                <w:lang w:eastAsia="de-DE"/>
              </w:rPr>
              <w:tab/>
            </w:r>
            <w:r w:rsidR="00B2745D" w:rsidRPr="00B2745D">
              <w:rPr>
                <w:rFonts w:ascii="Arial" w:hAnsi="Arial" w:cs="Calibri"/>
                <w:b/>
                <w:sz w:val="16"/>
                <w:szCs w:val="26"/>
                <w:lang w:eastAsia="de-DE"/>
              </w:rPr>
              <w:br/>
            </w:r>
            <w:r w:rsidRPr="00B2745D">
              <w:rPr>
                <w:rFonts w:ascii="Arial" w:hAnsi="Arial" w:cs="Calibri"/>
                <w:sz w:val="16"/>
                <w:szCs w:val="26"/>
                <w:lang w:eastAsia="de-DE"/>
              </w:rPr>
              <w:t xml:space="preserve">Tel.: +49 731 96 50-0 </w:t>
            </w:r>
            <w:r w:rsidR="00B2745D" w:rsidRPr="00B2745D">
              <w:rPr>
                <w:rFonts w:ascii="Arial" w:hAnsi="Arial" w:cs="Calibri"/>
                <w:b/>
                <w:sz w:val="16"/>
                <w:szCs w:val="26"/>
                <w:lang w:eastAsia="de-DE"/>
              </w:rPr>
              <w:br/>
            </w:r>
            <w:hyperlink r:id="rId7" w:history="1">
              <w:r w:rsidRPr="00B2745D">
                <w:rPr>
                  <w:rStyle w:val="Link"/>
                  <w:rFonts w:ascii="Arial" w:hAnsi="Arial" w:cs="Calibri"/>
                  <w:sz w:val="16"/>
                  <w:szCs w:val="26"/>
                  <w:lang w:eastAsia="de-DE"/>
                </w:rPr>
                <w:t>presse@wilken.de</w:t>
              </w:r>
            </w:hyperlink>
            <w:r w:rsidRPr="00B2745D">
              <w:rPr>
                <w:rFonts w:ascii="Arial" w:hAnsi="Arial" w:cs="Calibri"/>
                <w:sz w:val="16"/>
                <w:szCs w:val="26"/>
                <w:lang w:eastAsia="de-DE"/>
              </w:rPr>
              <w:t xml:space="preserve"> – </w:t>
            </w:r>
            <w:hyperlink r:id="rId8" w:history="1">
              <w:r w:rsidRPr="00B2745D">
                <w:rPr>
                  <w:rStyle w:val="Link"/>
                  <w:rFonts w:ascii="Arial" w:hAnsi="Arial" w:cs="Calibri"/>
                  <w:sz w:val="16"/>
                  <w:szCs w:val="26"/>
                  <w:lang w:eastAsia="de-DE"/>
                </w:rPr>
                <w:t>www.wilken.de</w:t>
              </w:r>
            </w:hyperlink>
          </w:p>
        </w:tc>
        <w:tc>
          <w:tcPr>
            <w:tcW w:w="4819" w:type="dxa"/>
            <w:shd w:val="clear" w:color="auto" w:fill="auto"/>
          </w:tcPr>
          <w:p w14:paraId="3ACD7BF9" w14:textId="6A8C9EE4" w:rsidR="00B2745D" w:rsidRPr="00B2745D" w:rsidRDefault="00535049" w:rsidP="00B2745D">
            <w:pPr>
              <w:widowControl w:val="0"/>
              <w:autoSpaceDE w:val="0"/>
              <w:autoSpaceDN w:val="0"/>
              <w:adjustRightInd w:val="0"/>
              <w:spacing w:line="240" w:lineRule="auto"/>
              <w:ind w:right="175"/>
              <w:rPr>
                <w:rFonts w:ascii="Arial" w:hAnsi="Arial" w:cs="Calibri"/>
                <w:sz w:val="16"/>
                <w:szCs w:val="26"/>
                <w:lang w:eastAsia="de-DE"/>
              </w:rPr>
            </w:pPr>
            <w:r w:rsidRPr="00B2745D">
              <w:rPr>
                <w:rFonts w:ascii="Arial" w:hAnsi="Arial" w:cs="Calibri"/>
                <w:b/>
                <w:sz w:val="16"/>
                <w:szCs w:val="26"/>
                <w:lang w:eastAsia="de-DE"/>
              </w:rPr>
              <w:t>Presse- und Öffentlichkeitsarbeit:</w:t>
            </w:r>
            <w:r w:rsidR="00B2745D" w:rsidRPr="00B2745D">
              <w:rPr>
                <w:rFonts w:ascii="Arial" w:hAnsi="Arial" w:cs="Calibri"/>
                <w:b/>
                <w:sz w:val="16"/>
                <w:szCs w:val="26"/>
                <w:lang w:eastAsia="de-DE"/>
              </w:rPr>
              <w:br/>
            </w:r>
            <w:r w:rsidRPr="00B2745D">
              <w:rPr>
                <w:rFonts w:ascii="Arial" w:hAnsi="Arial" w:cs="Calibri"/>
                <w:sz w:val="16"/>
                <w:szCs w:val="26"/>
                <w:lang w:eastAsia="de-DE"/>
              </w:rPr>
              <w:t>Press’n’Relations GmbH</w:t>
            </w:r>
            <w:r w:rsidR="00B2745D" w:rsidRPr="00B2745D">
              <w:rPr>
                <w:rFonts w:ascii="Arial" w:hAnsi="Arial" w:cs="Calibri"/>
                <w:sz w:val="16"/>
                <w:szCs w:val="26"/>
                <w:lang w:eastAsia="de-DE"/>
              </w:rPr>
              <w:t xml:space="preserve"> – Uwe Pagel</w:t>
            </w:r>
            <w:r w:rsidR="00B2745D" w:rsidRPr="00B2745D">
              <w:rPr>
                <w:rFonts w:ascii="Arial" w:hAnsi="Arial" w:cs="Calibri"/>
                <w:b/>
                <w:sz w:val="16"/>
                <w:szCs w:val="26"/>
                <w:lang w:eastAsia="de-DE"/>
              </w:rPr>
              <w:br/>
            </w:r>
            <w:r w:rsidRPr="00B2745D">
              <w:rPr>
                <w:rFonts w:ascii="Arial" w:hAnsi="Arial" w:cs="Calibri"/>
                <w:sz w:val="16"/>
                <w:szCs w:val="26"/>
                <w:lang w:eastAsia="de-DE"/>
              </w:rPr>
              <w:t>Magirusstraße 33 – 89077 Ul</w:t>
            </w:r>
            <w:r w:rsidR="00B2745D" w:rsidRPr="00B2745D">
              <w:rPr>
                <w:rFonts w:ascii="Arial" w:hAnsi="Arial" w:cs="Calibri"/>
                <w:sz w:val="16"/>
                <w:szCs w:val="26"/>
                <w:lang w:eastAsia="de-DE"/>
              </w:rPr>
              <w:t>m</w:t>
            </w:r>
            <w:r w:rsidR="00B2745D" w:rsidRPr="00B2745D">
              <w:rPr>
                <w:rFonts w:ascii="Arial" w:hAnsi="Arial" w:cs="Calibri"/>
                <w:sz w:val="16"/>
                <w:szCs w:val="26"/>
                <w:lang w:eastAsia="de-DE"/>
              </w:rPr>
              <w:br/>
            </w:r>
            <w:r w:rsidRPr="00B2745D">
              <w:rPr>
                <w:rFonts w:ascii="Arial" w:hAnsi="Arial" w:cs="Calibri"/>
                <w:sz w:val="16"/>
                <w:szCs w:val="26"/>
                <w:lang w:eastAsia="de-DE"/>
              </w:rPr>
              <w:t xml:space="preserve">Tel.: +49 731 962 87-29 </w:t>
            </w:r>
            <w:r w:rsidR="00B2745D" w:rsidRPr="00B2745D">
              <w:rPr>
                <w:rFonts w:ascii="Arial" w:hAnsi="Arial" w:cs="Calibri"/>
                <w:b/>
                <w:sz w:val="16"/>
                <w:szCs w:val="26"/>
                <w:lang w:eastAsia="de-DE"/>
              </w:rPr>
              <w:br/>
            </w:r>
            <w:hyperlink r:id="rId9" w:history="1">
              <w:r w:rsidRPr="00B2745D">
                <w:rPr>
                  <w:rStyle w:val="Link"/>
                  <w:rFonts w:ascii="Arial" w:hAnsi="Arial" w:cs="Calibri"/>
                  <w:sz w:val="16"/>
                  <w:szCs w:val="26"/>
                  <w:lang w:eastAsia="de-DE"/>
                </w:rPr>
                <w:t>upa@press-n-relations.de</w:t>
              </w:r>
            </w:hyperlink>
            <w:r w:rsidR="00B2745D" w:rsidRPr="00B2745D">
              <w:rPr>
                <w:rFonts w:ascii="Arial" w:hAnsi="Arial" w:cs="Calibri"/>
                <w:b/>
                <w:sz w:val="16"/>
                <w:szCs w:val="26"/>
                <w:lang w:eastAsia="de-DE"/>
              </w:rPr>
              <w:t xml:space="preserve"> – </w:t>
            </w:r>
            <w:hyperlink r:id="rId10" w:history="1">
              <w:r w:rsidR="00B2745D" w:rsidRPr="00B2745D">
                <w:rPr>
                  <w:rStyle w:val="Link"/>
                  <w:rFonts w:ascii="Arial" w:hAnsi="Arial" w:cs="Calibri"/>
                  <w:sz w:val="16"/>
                  <w:szCs w:val="26"/>
                  <w:lang w:eastAsia="de-DE"/>
                </w:rPr>
                <w:t>www.press-n-relations.com</w:t>
              </w:r>
            </w:hyperlink>
          </w:p>
        </w:tc>
      </w:tr>
    </w:tbl>
    <w:p w14:paraId="104640C2" w14:textId="4A3C4137" w:rsidR="00C51C55" w:rsidRPr="00B2745D" w:rsidRDefault="00535049" w:rsidP="00B2745D">
      <w:pPr>
        <w:spacing w:line="240" w:lineRule="auto"/>
        <w:ind w:right="-2127"/>
        <w:outlineLvl w:val="0"/>
        <w:rPr>
          <w:rFonts w:ascii="Arial" w:hAnsi="Arial" w:cs="Calibri"/>
          <w:b/>
          <w:sz w:val="16"/>
          <w:szCs w:val="26"/>
          <w:lang w:eastAsia="de-DE"/>
        </w:rPr>
      </w:pPr>
      <w:r w:rsidRPr="00B2745D">
        <w:rPr>
          <w:rFonts w:ascii="Arial" w:hAnsi="Arial" w:cs="Calibri"/>
          <w:b/>
          <w:sz w:val="16"/>
          <w:szCs w:val="26"/>
          <w:lang w:eastAsia="de-DE"/>
        </w:rPr>
        <w:t>Über die Wilken Corporate Group</w:t>
      </w:r>
      <w:r w:rsidR="00B2745D">
        <w:rPr>
          <w:rFonts w:ascii="Arial" w:hAnsi="Arial" w:cs="Calibri"/>
          <w:b/>
          <w:sz w:val="16"/>
          <w:szCs w:val="26"/>
          <w:lang w:eastAsia="de-DE"/>
        </w:rPr>
        <w:br/>
      </w:r>
      <w:r w:rsidRPr="00B2745D">
        <w:rPr>
          <w:rFonts w:ascii="Arial" w:hAnsi="Arial" w:cs="Calibri"/>
          <w:sz w:val="16"/>
          <w:szCs w:val="26"/>
          <w:lang w:eastAsia="de-DE"/>
        </w:rPr>
        <w:t>Seit 1977 entwickelt Wilken eigene ERP-Standard-Softwarelösungen. Mit mehr als 550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w:t>
      </w:r>
      <w:r w:rsidR="00F3050A">
        <w:rPr>
          <w:rFonts w:ascii="Arial" w:hAnsi="Arial" w:cs="Calibri"/>
          <w:sz w:val="16"/>
          <w:szCs w:val="26"/>
          <w:lang w:eastAsia="de-DE"/>
        </w:rPr>
        <w:t xml:space="preserve"> Holding</w:t>
      </w:r>
      <w:r w:rsidRPr="00B2745D">
        <w:rPr>
          <w:rFonts w:ascii="Arial" w:hAnsi="Arial" w:cs="Calibri"/>
          <w:sz w:val="16"/>
          <w:szCs w:val="26"/>
          <w:lang w:eastAsia="de-DE"/>
        </w:rPr>
        <w:t xml:space="preserve"> GmbH </w:t>
      </w:r>
      <w:r w:rsidR="00F3050A">
        <w:rPr>
          <w:rFonts w:ascii="Arial" w:hAnsi="Arial" w:cs="Calibri"/>
          <w:sz w:val="16"/>
          <w:szCs w:val="26"/>
          <w:lang w:eastAsia="de-DE"/>
        </w:rPr>
        <w:t>die Wilken GmbH</w:t>
      </w:r>
      <w:r w:rsidRPr="00B2745D">
        <w:rPr>
          <w:rFonts w:ascii="Arial" w:hAnsi="Arial" w:cs="Calibri"/>
          <w:sz w:val="16"/>
          <w:szCs w:val="26"/>
          <w:lang w:eastAsia="de-DE"/>
        </w:rPr>
        <w:t xml:space="preserve">(Ulm) die Wilken AG (Arbon, Schweiz), die Wilken </w:t>
      </w:r>
      <w:proofErr w:type="spellStart"/>
      <w:r w:rsidRPr="00B2745D">
        <w:rPr>
          <w:rFonts w:ascii="Arial" w:hAnsi="Arial" w:cs="Calibri"/>
          <w:sz w:val="16"/>
          <w:szCs w:val="26"/>
          <w:lang w:eastAsia="de-DE"/>
        </w:rPr>
        <w:t>Neutrasoft</w:t>
      </w:r>
      <w:proofErr w:type="spellEnd"/>
      <w:r w:rsidRPr="00B2745D">
        <w:rPr>
          <w:rFonts w:ascii="Arial" w:hAnsi="Arial" w:cs="Calibri"/>
          <w:sz w:val="16"/>
          <w:szCs w:val="26"/>
          <w:lang w:eastAsia="de-DE"/>
        </w:rPr>
        <w:t xml:space="preserve"> GmbH (Greven), die Wilken </w:t>
      </w:r>
      <w:proofErr w:type="spellStart"/>
      <w:r w:rsidRPr="00B2745D">
        <w:rPr>
          <w:rFonts w:ascii="Arial" w:hAnsi="Arial" w:cs="Calibri"/>
          <w:sz w:val="16"/>
          <w:szCs w:val="26"/>
          <w:lang w:eastAsia="de-DE"/>
        </w:rPr>
        <w:t>Entire</w:t>
      </w:r>
      <w:proofErr w:type="spellEnd"/>
      <w:r w:rsidRPr="00B2745D">
        <w:rPr>
          <w:rFonts w:ascii="Arial" w:hAnsi="Arial" w:cs="Calibri"/>
          <w:sz w:val="16"/>
          <w:szCs w:val="26"/>
          <w:lang w:eastAsia="de-DE"/>
        </w:rPr>
        <w:t xml:space="preserve"> GmbH (Ulm), die Wilken Rechenzentrum GmbH (Ulm), die Wilken Akademie GmbH (Ulm), die Wilken </w:t>
      </w:r>
      <w:proofErr w:type="spellStart"/>
      <w:r w:rsidRPr="00B2745D">
        <w:rPr>
          <w:rFonts w:ascii="Arial" w:hAnsi="Arial" w:cs="Calibri"/>
          <w:sz w:val="16"/>
          <w:szCs w:val="26"/>
          <w:lang w:eastAsia="de-DE"/>
        </w:rPr>
        <w:t>Ciwi</w:t>
      </w:r>
      <w:proofErr w:type="spellEnd"/>
      <w:r w:rsidRPr="00B2745D">
        <w:rPr>
          <w:rFonts w:ascii="Arial" w:hAnsi="Arial" w:cs="Calibri"/>
          <w:sz w:val="16"/>
          <w:szCs w:val="26"/>
          <w:lang w:eastAsia="de-DE"/>
        </w:rPr>
        <w:t xml:space="preserve"> GmbH (Ulm), die Wilken Informationsmanagement GmbH (München) sowie die Wilken Prozessmanagement GmbH (Ulm, Greven, </w:t>
      </w:r>
      <w:proofErr w:type="spellStart"/>
      <w:r w:rsidRPr="00B2745D">
        <w:rPr>
          <w:rFonts w:ascii="Arial" w:hAnsi="Arial" w:cs="Calibri"/>
          <w:sz w:val="16"/>
          <w:szCs w:val="26"/>
          <w:lang w:eastAsia="de-DE"/>
        </w:rPr>
        <w:t>Sierksdorf</w:t>
      </w:r>
      <w:proofErr w:type="spellEnd"/>
      <w:r w:rsidRPr="00B2745D">
        <w:rPr>
          <w:rFonts w:ascii="Arial" w:hAnsi="Arial" w:cs="Calibri"/>
          <w:sz w:val="16"/>
          <w:szCs w:val="26"/>
          <w:lang w:eastAsia="de-DE"/>
        </w:rPr>
        <w:t>). Die Unternehmensgruppe erzielte 201</w:t>
      </w:r>
      <w:r w:rsidR="00F3050A">
        <w:rPr>
          <w:rFonts w:ascii="Arial" w:hAnsi="Arial" w:cs="Calibri"/>
          <w:sz w:val="16"/>
          <w:szCs w:val="26"/>
          <w:lang w:eastAsia="de-DE"/>
        </w:rPr>
        <w:t>5</w:t>
      </w:r>
      <w:r w:rsidRPr="00B2745D">
        <w:rPr>
          <w:rFonts w:ascii="Arial" w:hAnsi="Arial" w:cs="Calibri"/>
          <w:sz w:val="16"/>
          <w:szCs w:val="26"/>
          <w:lang w:eastAsia="de-DE"/>
        </w:rPr>
        <w:t xml:space="preserve"> einen Umsatz von rund </w:t>
      </w:r>
      <w:r w:rsidR="00F3050A">
        <w:rPr>
          <w:rFonts w:ascii="Arial" w:hAnsi="Arial" w:cs="Calibri"/>
          <w:sz w:val="16"/>
          <w:szCs w:val="26"/>
          <w:lang w:eastAsia="de-DE"/>
        </w:rPr>
        <w:t>60</w:t>
      </w:r>
      <w:r w:rsidRPr="00B2745D">
        <w:rPr>
          <w:rFonts w:ascii="Arial" w:hAnsi="Arial" w:cs="Calibri"/>
          <w:sz w:val="16"/>
          <w:szCs w:val="26"/>
          <w:lang w:eastAsia="de-DE"/>
        </w:rPr>
        <w:t xml:space="preserve"> Millionen Euro.</w:t>
      </w:r>
    </w:p>
    <w:bookmarkEnd w:id="0"/>
    <w:p w14:paraId="722F1DBD" w14:textId="77777777" w:rsidR="00C51C55" w:rsidRPr="00B2745D" w:rsidRDefault="00C51C55" w:rsidP="00C51C55"/>
    <w:p w14:paraId="1494DA41" w14:textId="77777777" w:rsidR="00C51C55" w:rsidRPr="00B2745D" w:rsidRDefault="00C51C55" w:rsidP="00C51C55"/>
    <w:p w14:paraId="615863D1" w14:textId="067733F3" w:rsidR="00FE48A6" w:rsidRPr="00B2745D" w:rsidRDefault="00FE48A6" w:rsidP="00C51C55"/>
    <w:sectPr w:rsidR="00FE48A6" w:rsidRPr="00B2745D" w:rsidSect="00275197">
      <w:headerReference w:type="default" r:id="rId11"/>
      <w:footerReference w:type="even" r:id="rId12"/>
      <w:footerReference w:type="default" r:id="rId13"/>
      <w:pgSz w:w="11906" w:h="16838"/>
      <w:pgMar w:top="1843" w:right="3258"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9DF16" w14:textId="77777777" w:rsidR="003179A3" w:rsidRDefault="003179A3">
      <w:r>
        <w:separator/>
      </w:r>
    </w:p>
  </w:endnote>
  <w:endnote w:type="continuationSeparator" w:id="0">
    <w:p w14:paraId="164FFFCF" w14:textId="77777777" w:rsidR="003179A3" w:rsidRDefault="00317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9F3F"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D6821" w14:textId="4E864CFE" w:rsidR="003A43A2" w:rsidRDefault="003A43A2" w:rsidP="00FE48A6">
    <w:pPr>
      <w:pStyle w:val="Fuzeile"/>
      <w:ind w:right="-2269"/>
      <w:jc w:val="right"/>
    </w:pPr>
    <w:r>
      <w:rPr>
        <w:noProof/>
        <w:lang w:eastAsia="de-DE"/>
      </w:rPr>
      <w:drawing>
        <wp:inline distT="0" distB="0" distL="0" distR="0" wp14:anchorId="11448990" wp14:editId="20DBD3A8">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E621C8" w14:textId="77777777" w:rsidR="003179A3" w:rsidRDefault="003179A3">
      <w:r>
        <w:separator/>
      </w:r>
    </w:p>
  </w:footnote>
  <w:footnote w:type="continuationSeparator" w:id="0">
    <w:p w14:paraId="3D9079AB" w14:textId="77777777" w:rsidR="003179A3" w:rsidRDefault="003179A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BBE6D" w14:textId="77777777" w:rsidR="003A43A2" w:rsidRDefault="003A43A2" w:rsidP="00FE48A6">
    <w:pPr>
      <w:pStyle w:val="Kopfzeile"/>
      <w:tabs>
        <w:tab w:val="clear" w:pos="9072"/>
        <w:tab w:val="right" w:pos="9639"/>
      </w:tabs>
      <w:ind w:right="-2268"/>
      <w:jc w:val="right"/>
    </w:pPr>
    <w:r>
      <w:rPr>
        <w:noProof/>
        <w:lang w:eastAsia="de-DE"/>
      </w:rPr>
      <w:drawing>
        <wp:inline distT="0" distB="0" distL="0" distR="0" wp14:anchorId="7B387850" wp14:editId="406C82E8">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6A9E6452"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4"/>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17B9"/>
    <w:rsid w:val="0000454B"/>
    <w:rsid w:val="00011F67"/>
    <w:rsid w:val="0002498B"/>
    <w:rsid w:val="00032F50"/>
    <w:rsid w:val="00036B01"/>
    <w:rsid w:val="00040D86"/>
    <w:rsid w:val="00045258"/>
    <w:rsid w:val="0005086D"/>
    <w:rsid w:val="00051FB3"/>
    <w:rsid w:val="00060F4F"/>
    <w:rsid w:val="00064DC6"/>
    <w:rsid w:val="000734D1"/>
    <w:rsid w:val="000809E7"/>
    <w:rsid w:val="00093AA5"/>
    <w:rsid w:val="00097330"/>
    <w:rsid w:val="000A6D42"/>
    <w:rsid w:val="000B2038"/>
    <w:rsid w:val="000B5AD9"/>
    <w:rsid w:val="000C0569"/>
    <w:rsid w:val="000C08EF"/>
    <w:rsid w:val="000C13A4"/>
    <w:rsid w:val="000D5FE9"/>
    <w:rsid w:val="000E5D79"/>
    <w:rsid w:val="000F6D38"/>
    <w:rsid w:val="00102BB9"/>
    <w:rsid w:val="00106410"/>
    <w:rsid w:val="00107620"/>
    <w:rsid w:val="00122695"/>
    <w:rsid w:val="00122B29"/>
    <w:rsid w:val="00122F47"/>
    <w:rsid w:val="0012491E"/>
    <w:rsid w:val="00135DEE"/>
    <w:rsid w:val="00152D07"/>
    <w:rsid w:val="00165471"/>
    <w:rsid w:val="00172559"/>
    <w:rsid w:val="00175745"/>
    <w:rsid w:val="001858F8"/>
    <w:rsid w:val="00194E4F"/>
    <w:rsid w:val="001A2076"/>
    <w:rsid w:val="001B1862"/>
    <w:rsid w:val="001C58AF"/>
    <w:rsid w:val="001C6862"/>
    <w:rsid w:val="001D12AA"/>
    <w:rsid w:val="001E0FCA"/>
    <w:rsid w:val="001E200F"/>
    <w:rsid w:val="00272362"/>
    <w:rsid w:val="00275197"/>
    <w:rsid w:val="002A28CE"/>
    <w:rsid w:val="002B275A"/>
    <w:rsid w:val="002C201B"/>
    <w:rsid w:val="002C5994"/>
    <w:rsid w:val="002D0338"/>
    <w:rsid w:val="002D19F2"/>
    <w:rsid w:val="002D1F28"/>
    <w:rsid w:val="002D28F5"/>
    <w:rsid w:val="002E1BC0"/>
    <w:rsid w:val="003179A3"/>
    <w:rsid w:val="00324F5C"/>
    <w:rsid w:val="003467EA"/>
    <w:rsid w:val="00363C56"/>
    <w:rsid w:val="00366E84"/>
    <w:rsid w:val="0037633E"/>
    <w:rsid w:val="00376B33"/>
    <w:rsid w:val="0038387B"/>
    <w:rsid w:val="003A1A5E"/>
    <w:rsid w:val="003A43A2"/>
    <w:rsid w:val="003A775C"/>
    <w:rsid w:val="003C2165"/>
    <w:rsid w:val="003D55A3"/>
    <w:rsid w:val="003D7800"/>
    <w:rsid w:val="003E10C2"/>
    <w:rsid w:val="003E189B"/>
    <w:rsid w:val="003E1CF6"/>
    <w:rsid w:val="003F3403"/>
    <w:rsid w:val="003F55EF"/>
    <w:rsid w:val="004043AF"/>
    <w:rsid w:val="004054D6"/>
    <w:rsid w:val="00406D81"/>
    <w:rsid w:val="004110F6"/>
    <w:rsid w:val="00425A22"/>
    <w:rsid w:val="00425E5F"/>
    <w:rsid w:val="00432E47"/>
    <w:rsid w:val="00457490"/>
    <w:rsid w:val="00470089"/>
    <w:rsid w:val="004712B6"/>
    <w:rsid w:val="00477E0F"/>
    <w:rsid w:val="004851B3"/>
    <w:rsid w:val="0048658B"/>
    <w:rsid w:val="004A2502"/>
    <w:rsid w:val="004A32B5"/>
    <w:rsid w:val="004A76DC"/>
    <w:rsid w:val="004C38CC"/>
    <w:rsid w:val="004E2379"/>
    <w:rsid w:val="004F2F02"/>
    <w:rsid w:val="0050632B"/>
    <w:rsid w:val="00513A25"/>
    <w:rsid w:val="00517604"/>
    <w:rsid w:val="00521E09"/>
    <w:rsid w:val="005246FF"/>
    <w:rsid w:val="00535049"/>
    <w:rsid w:val="00535FC2"/>
    <w:rsid w:val="005519C2"/>
    <w:rsid w:val="005639AD"/>
    <w:rsid w:val="00574C52"/>
    <w:rsid w:val="00575F36"/>
    <w:rsid w:val="00576B32"/>
    <w:rsid w:val="00583BF7"/>
    <w:rsid w:val="0058795D"/>
    <w:rsid w:val="005937FF"/>
    <w:rsid w:val="00595CF3"/>
    <w:rsid w:val="0059648C"/>
    <w:rsid w:val="005D23B7"/>
    <w:rsid w:val="005E006B"/>
    <w:rsid w:val="005F2C2F"/>
    <w:rsid w:val="005F375D"/>
    <w:rsid w:val="005F3918"/>
    <w:rsid w:val="0060646D"/>
    <w:rsid w:val="00614428"/>
    <w:rsid w:val="006205F9"/>
    <w:rsid w:val="00632098"/>
    <w:rsid w:val="00645730"/>
    <w:rsid w:val="006568C1"/>
    <w:rsid w:val="00667CBE"/>
    <w:rsid w:val="00693603"/>
    <w:rsid w:val="006963F7"/>
    <w:rsid w:val="006A0673"/>
    <w:rsid w:val="006B0312"/>
    <w:rsid w:val="006B72FA"/>
    <w:rsid w:val="006E468B"/>
    <w:rsid w:val="006E5937"/>
    <w:rsid w:val="006F6C95"/>
    <w:rsid w:val="00733F48"/>
    <w:rsid w:val="0073656F"/>
    <w:rsid w:val="007367F7"/>
    <w:rsid w:val="00737E3A"/>
    <w:rsid w:val="00741F98"/>
    <w:rsid w:val="00746812"/>
    <w:rsid w:val="00752F6B"/>
    <w:rsid w:val="00757073"/>
    <w:rsid w:val="00764A09"/>
    <w:rsid w:val="00770008"/>
    <w:rsid w:val="007706D1"/>
    <w:rsid w:val="00772476"/>
    <w:rsid w:val="00774940"/>
    <w:rsid w:val="00783CEE"/>
    <w:rsid w:val="00791F82"/>
    <w:rsid w:val="00793AB8"/>
    <w:rsid w:val="007A2057"/>
    <w:rsid w:val="007C3EFB"/>
    <w:rsid w:val="007C5A78"/>
    <w:rsid w:val="007E1E5C"/>
    <w:rsid w:val="007E37CB"/>
    <w:rsid w:val="007F7D4A"/>
    <w:rsid w:val="00803D59"/>
    <w:rsid w:val="00811D53"/>
    <w:rsid w:val="0081245E"/>
    <w:rsid w:val="00823A31"/>
    <w:rsid w:val="008331D8"/>
    <w:rsid w:val="0083770B"/>
    <w:rsid w:val="0084392B"/>
    <w:rsid w:val="008474DE"/>
    <w:rsid w:val="00853823"/>
    <w:rsid w:val="00863D68"/>
    <w:rsid w:val="0088157B"/>
    <w:rsid w:val="008825F3"/>
    <w:rsid w:val="0088514D"/>
    <w:rsid w:val="00894092"/>
    <w:rsid w:val="00894BE0"/>
    <w:rsid w:val="008A57BB"/>
    <w:rsid w:val="008B4462"/>
    <w:rsid w:val="008B5B1E"/>
    <w:rsid w:val="008B69E2"/>
    <w:rsid w:val="008D3090"/>
    <w:rsid w:val="008E6C77"/>
    <w:rsid w:val="008F2D96"/>
    <w:rsid w:val="008F68EF"/>
    <w:rsid w:val="00903A51"/>
    <w:rsid w:val="009043EE"/>
    <w:rsid w:val="0093086E"/>
    <w:rsid w:val="009333FD"/>
    <w:rsid w:val="009378C5"/>
    <w:rsid w:val="00943667"/>
    <w:rsid w:val="00947BDC"/>
    <w:rsid w:val="009520FE"/>
    <w:rsid w:val="00961AD9"/>
    <w:rsid w:val="009668A5"/>
    <w:rsid w:val="00970937"/>
    <w:rsid w:val="00973837"/>
    <w:rsid w:val="00980D69"/>
    <w:rsid w:val="00984451"/>
    <w:rsid w:val="00984EEC"/>
    <w:rsid w:val="009873C5"/>
    <w:rsid w:val="009A7A52"/>
    <w:rsid w:val="009B0EFC"/>
    <w:rsid w:val="009B1B65"/>
    <w:rsid w:val="009C6A33"/>
    <w:rsid w:val="009C7BF7"/>
    <w:rsid w:val="009D20BB"/>
    <w:rsid w:val="009F1031"/>
    <w:rsid w:val="00A0122C"/>
    <w:rsid w:val="00A0763D"/>
    <w:rsid w:val="00A10E4F"/>
    <w:rsid w:val="00A12303"/>
    <w:rsid w:val="00A12E20"/>
    <w:rsid w:val="00A14223"/>
    <w:rsid w:val="00A31345"/>
    <w:rsid w:val="00A3451E"/>
    <w:rsid w:val="00A363D4"/>
    <w:rsid w:val="00A51F3A"/>
    <w:rsid w:val="00A56D07"/>
    <w:rsid w:val="00A604E8"/>
    <w:rsid w:val="00A65506"/>
    <w:rsid w:val="00A6600D"/>
    <w:rsid w:val="00A73AC3"/>
    <w:rsid w:val="00A77BBC"/>
    <w:rsid w:val="00A85E92"/>
    <w:rsid w:val="00AA2FE1"/>
    <w:rsid w:val="00AB7591"/>
    <w:rsid w:val="00AF1D9E"/>
    <w:rsid w:val="00B1628C"/>
    <w:rsid w:val="00B2745D"/>
    <w:rsid w:val="00B4126D"/>
    <w:rsid w:val="00B62065"/>
    <w:rsid w:val="00B86EC2"/>
    <w:rsid w:val="00B87471"/>
    <w:rsid w:val="00BA5FB0"/>
    <w:rsid w:val="00BA7303"/>
    <w:rsid w:val="00BB487D"/>
    <w:rsid w:val="00BC2F70"/>
    <w:rsid w:val="00BC5768"/>
    <w:rsid w:val="00BE053E"/>
    <w:rsid w:val="00BE1471"/>
    <w:rsid w:val="00BE5B4A"/>
    <w:rsid w:val="00BF00B8"/>
    <w:rsid w:val="00BF70C0"/>
    <w:rsid w:val="00C00270"/>
    <w:rsid w:val="00C0359B"/>
    <w:rsid w:val="00C11718"/>
    <w:rsid w:val="00C124D1"/>
    <w:rsid w:val="00C25852"/>
    <w:rsid w:val="00C51C55"/>
    <w:rsid w:val="00C6146F"/>
    <w:rsid w:val="00C6183F"/>
    <w:rsid w:val="00C62E40"/>
    <w:rsid w:val="00C73CA9"/>
    <w:rsid w:val="00C7604D"/>
    <w:rsid w:val="00C83E25"/>
    <w:rsid w:val="00CA2704"/>
    <w:rsid w:val="00CD395A"/>
    <w:rsid w:val="00CE4B1C"/>
    <w:rsid w:val="00CF4E1F"/>
    <w:rsid w:val="00D13CB5"/>
    <w:rsid w:val="00D20DFE"/>
    <w:rsid w:val="00D26FA2"/>
    <w:rsid w:val="00D35749"/>
    <w:rsid w:val="00D500C9"/>
    <w:rsid w:val="00D50D14"/>
    <w:rsid w:val="00D5304C"/>
    <w:rsid w:val="00D923CC"/>
    <w:rsid w:val="00D95B01"/>
    <w:rsid w:val="00DA2579"/>
    <w:rsid w:val="00DA3F70"/>
    <w:rsid w:val="00DA4F82"/>
    <w:rsid w:val="00DC7643"/>
    <w:rsid w:val="00DE1531"/>
    <w:rsid w:val="00DE2EB6"/>
    <w:rsid w:val="00DF68C5"/>
    <w:rsid w:val="00E02730"/>
    <w:rsid w:val="00E37B54"/>
    <w:rsid w:val="00E409DF"/>
    <w:rsid w:val="00E47E25"/>
    <w:rsid w:val="00E62903"/>
    <w:rsid w:val="00E83A83"/>
    <w:rsid w:val="00E915CC"/>
    <w:rsid w:val="00EA0E6E"/>
    <w:rsid w:val="00EA755D"/>
    <w:rsid w:val="00EB026E"/>
    <w:rsid w:val="00EB77F7"/>
    <w:rsid w:val="00EC14F0"/>
    <w:rsid w:val="00ED247E"/>
    <w:rsid w:val="00EE15AD"/>
    <w:rsid w:val="00EF1E53"/>
    <w:rsid w:val="00F122B4"/>
    <w:rsid w:val="00F23364"/>
    <w:rsid w:val="00F24B57"/>
    <w:rsid w:val="00F254C3"/>
    <w:rsid w:val="00F3050A"/>
    <w:rsid w:val="00F42BC2"/>
    <w:rsid w:val="00F44C5C"/>
    <w:rsid w:val="00F47247"/>
    <w:rsid w:val="00F50498"/>
    <w:rsid w:val="00F61560"/>
    <w:rsid w:val="00F717EB"/>
    <w:rsid w:val="00F771FF"/>
    <w:rsid w:val="00F9031E"/>
    <w:rsid w:val="00F96E98"/>
    <w:rsid w:val="00FA13E1"/>
    <w:rsid w:val="00FB0927"/>
    <w:rsid w:val="00FB3528"/>
    <w:rsid w:val="00FC18FD"/>
    <w:rsid w:val="00FD7591"/>
    <w:rsid w:val="00FE48A6"/>
    <w:rsid w:val="00FF335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330A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4DC6"/>
    <w:pPr>
      <w:spacing w:before="100" w:beforeAutospacing="1" w:after="100" w:afterAutospacing="1" w:line="360" w:lineRule="auto"/>
    </w:pPr>
    <w:rPr>
      <w:rFonts w:ascii="Helvetica" w:eastAsia="Cambria" w:hAnsi="Helvetica" w:cs="Times New Roman"/>
      <w:sz w:val="22"/>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upa@press-n-relations.de" TargetMode="External"/><Relationship Id="rId10" Type="http://schemas.openxmlformats.org/officeDocument/2006/relationships/hyperlink" Target="http://www.press-n-relations.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633</Words>
  <Characters>3994</Characters>
  <Application>Microsoft Macintosh Word</Application>
  <DocSecurity>0</DocSecurity>
  <Lines>33</Lines>
  <Paragraphs>9</Paragraphs>
  <ScaleCrop>false</ScaleCrop>
  <HeadingPairs>
    <vt:vector size="4" baseType="variant">
      <vt:variant>
        <vt:lpstr>Titel</vt:lpstr>
      </vt:variant>
      <vt:variant>
        <vt:i4>1</vt:i4>
      </vt:variant>
      <vt:variant>
        <vt:lpstr>Headings</vt:lpstr>
      </vt:variant>
      <vt:variant>
        <vt:i4>3</vt:i4>
      </vt:variant>
    </vt:vector>
  </HeadingPairs>
  <TitlesOfParts>
    <vt:vector size="4" baseType="lpstr">
      <vt:lpstr/>
      <vt:lpstr>PRESSEINFORMATION </vt:lpstr>
      <vt:lpstr>Ulm, 16. Februar 2016</vt:lpstr>
      <vt:lpstr>Über die Wilken Corporate Group Seit 1977 entwickelt Wilken eigene ERP-Standard-</vt:lpstr>
    </vt:vector>
  </TitlesOfParts>
  <Company>Press'n'Relations </Company>
  <LinksUpToDate>false</LinksUpToDate>
  <CharactersWithSpaces>4618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8</cp:revision>
  <cp:lastPrinted>2016-02-02T14:50:00Z</cp:lastPrinted>
  <dcterms:created xsi:type="dcterms:W3CDTF">2016-02-03T13:14:00Z</dcterms:created>
  <dcterms:modified xsi:type="dcterms:W3CDTF">2016-02-05T08:20:00Z</dcterms:modified>
</cp:coreProperties>
</file>