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E1D8C" w14:textId="77777777" w:rsidR="00C51C55" w:rsidRPr="001D6950" w:rsidRDefault="00C51C55" w:rsidP="00C51C55">
      <w:pPr>
        <w:ind w:right="-709"/>
        <w:outlineLvl w:val="0"/>
        <w:rPr>
          <w:rFonts w:ascii="Helvetica" w:hAnsi="Helvetica"/>
          <w:b/>
        </w:rPr>
      </w:pPr>
      <w:r>
        <w:rPr>
          <w:rFonts w:ascii="Helvetica" w:hAnsi="Helvetica"/>
          <w:b/>
        </w:rPr>
        <w:t xml:space="preserve">PRESSEINFORMATION </w:t>
      </w:r>
    </w:p>
    <w:p w14:paraId="65D03BD4" w14:textId="77777777" w:rsidR="00C51C55" w:rsidRPr="003D6EC8" w:rsidRDefault="00C51C55" w:rsidP="00C51C55">
      <w:pPr>
        <w:ind w:right="-709"/>
        <w:outlineLvl w:val="0"/>
        <w:rPr>
          <w:rFonts w:ascii="Helvetica" w:hAnsi="Helvetica"/>
        </w:rPr>
      </w:pPr>
    </w:p>
    <w:p w14:paraId="00942829" w14:textId="784720EE" w:rsidR="00C51C55" w:rsidRPr="00040D86" w:rsidRDefault="00C51C55" w:rsidP="00C51C55">
      <w:pPr>
        <w:ind w:right="-709"/>
        <w:outlineLvl w:val="0"/>
        <w:rPr>
          <w:rFonts w:ascii="Helvetica" w:hAnsi="Helvetica"/>
          <w:sz w:val="20"/>
        </w:rPr>
      </w:pPr>
      <w:r w:rsidRPr="003D6EC8">
        <w:rPr>
          <w:rFonts w:ascii="Helvetica" w:hAnsi="Helvetica"/>
          <w:sz w:val="20"/>
        </w:rPr>
        <w:t xml:space="preserve">Ulm, </w:t>
      </w:r>
      <w:r w:rsidR="00D42772">
        <w:rPr>
          <w:rFonts w:ascii="Helvetica" w:hAnsi="Helvetica"/>
          <w:sz w:val="20"/>
        </w:rPr>
        <w:t>8</w:t>
      </w:r>
      <w:r w:rsidR="008B69E2">
        <w:rPr>
          <w:rFonts w:ascii="Helvetica" w:hAnsi="Helvetica"/>
          <w:sz w:val="20"/>
        </w:rPr>
        <w:t xml:space="preserve">. </w:t>
      </w:r>
      <w:r w:rsidR="00DE2EB6">
        <w:rPr>
          <w:rFonts w:ascii="Helvetica" w:hAnsi="Helvetica"/>
          <w:sz w:val="20"/>
        </w:rPr>
        <w:t>Mai</w:t>
      </w:r>
      <w:r>
        <w:rPr>
          <w:rFonts w:ascii="Helvetica" w:hAnsi="Helvetica"/>
          <w:sz w:val="20"/>
        </w:rPr>
        <w:t xml:space="preserve"> </w:t>
      </w:r>
      <w:r w:rsidRPr="003D6EC8">
        <w:rPr>
          <w:rFonts w:ascii="Helvetica" w:hAnsi="Helvetica"/>
          <w:sz w:val="20"/>
        </w:rPr>
        <w:t>201</w:t>
      </w:r>
      <w:r w:rsidR="008B69E2">
        <w:rPr>
          <w:rFonts w:ascii="Helvetica" w:hAnsi="Helvetica"/>
          <w:sz w:val="20"/>
        </w:rPr>
        <w:t>5</w:t>
      </w:r>
    </w:p>
    <w:p w14:paraId="333A9BD1" w14:textId="77777777" w:rsidR="00970937" w:rsidRDefault="00970937" w:rsidP="00C51C55">
      <w:pPr>
        <w:spacing w:line="360" w:lineRule="auto"/>
        <w:ind w:right="-993"/>
        <w:rPr>
          <w:rFonts w:ascii="Helvetica" w:hAnsi="Helvetica"/>
          <w:b/>
          <w:bCs/>
          <w:sz w:val="28"/>
          <w:szCs w:val="28"/>
        </w:rPr>
      </w:pPr>
    </w:p>
    <w:p w14:paraId="72F6D354" w14:textId="7DF325F7" w:rsidR="00A604E8" w:rsidRDefault="00F254C3" w:rsidP="00F254C3">
      <w:pPr>
        <w:spacing w:line="360" w:lineRule="auto"/>
        <w:ind w:right="-1560"/>
        <w:rPr>
          <w:rFonts w:ascii="Helvetica" w:hAnsi="Helvetica"/>
          <w:b/>
          <w:bCs/>
          <w:sz w:val="28"/>
          <w:szCs w:val="28"/>
        </w:rPr>
      </w:pPr>
      <w:proofErr w:type="spellStart"/>
      <w:r w:rsidRPr="00F254C3">
        <w:rPr>
          <w:rFonts w:ascii="Helvetica" w:hAnsi="Helvetica"/>
          <w:b/>
          <w:bCs/>
          <w:sz w:val="28"/>
          <w:szCs w:val="28"/>
        </w:rPr>
        <w:t>Fotojahr</w:t>
      </w:r>
      <w:proofErr w:type="spellEnd"/>
      <w:r w:rsidRPr="00F254C3">
        <w:rPr>
          <w:rFonts w:ascii="Helvetica" w:hAnsi="Helvetica"/>
          <w:b/>
          <w:bCs/>
          <w:sz w:val="28"/>
          <w:szCs w:val="28"/>
        </w:rPr>
        <w:t xml:space="preserve"> Gas &amp; Strom: </w:t>
      </w:r>
      <w:r w:rsidR="00A604E8" w:rsidRPr="00A604E8">
        <w:rPr>
          <w:rFonts w:ascii="Helvetica" w:hAnsi="Helvetica"/>
          <w:b/>
          <w:bCs/>
          <w:sz w:val="28"/>
          <w:szCs w:val="28"/>
        </w:rPr>
        <w:t xml:space="preserve">Einmal investieren, doppelt profitieren </w:t>
      </w:r>
    </w:p>
    <w:p w14:paraId="40EC3659" w14:textId="6F4155BF" w:rsidR="00A604E8" w:rsidRPr="00A604E8" w:rsidRDefault="00F254C3" w:rsidP="00F254C3">
      <w:pPr>
        <w:spacing w:line="360" w:lineRule="auto"/>
        <w:ind w:right="-1985"/>
        <w:rPr>
          <w:rFonts w:ascii="Helvetica" w:hAnsi="Helvetica" w:cs="Arial"/>
          <w:b/>
          <w:bCs/>
          <w:sz w:val="22"/>
          <w:szCs w:val="22"/>
        </w:rPr>
      </w:pPr>
      <w:r>
        <w:rPr>
          <w:rFonts w:ascii="Helvetica" w:hAnsi="Helvetica" w:cs="Arial"/>
          <w:b/>
          <w:bCs/>
          <w:sz w:val="22"/>
          <w:szCs w:val="22"/>
        </w:rPr>
        <w:t xml:space="preserve">Investitionen in </w:t>
      </w:r>
      <w:r w:rsidR="00A604E8" w:rsidRPr="00A604E8">
        <w:rPr>
          <w:rFonts w:ascii="Helvetica" w:hAnsi="Helvetica" w:cs="Arial"/>
          <w:b/>
          <w:bCs/>
          <w:sz w:val="22"/>
          <w:szCs w:val="22"/>
        </w:rPr>
        <w:t xml:space="preserve">Prozesskostenanalyse </w:t>
      </w:r>
      <w:r>
        <w:rPr>
          <w:rFonts w:ascii="Helvetica" w:hAnsi="Helvetica" w:cs="Arial"/>
          <w:b/>
          <w:bCs/>
          <w:sz w:val="22"/>
          <w:szCs w:val="22"/>
        </w:rPr>
        <w:t>und andere Software sind</w:t>
      </w:r>
      <w:r w:rsidR="00A604E8" w:rsidRPr="00A604E8">
        <w:rPr>
          <w:rFonts w:ascii="Helvetica" w:hAnsi="Helvetica" w:cs="Arial"/>
          <w:b/>
          <w:bCs/>
          <w:sz w:val="22"/>
          <w:szCs w:val="22"/>
        </w:rPr>
        <w:t xml:space="preserve"> anrechenbar</w:t>
      </w:r>
    </w:p>
    <w:p w14:paraId="4B6FC111" w14:textId="77777777" w:rsidR="009F1031" w:rsidRDefault="009F1031" w:rsidP="009F1031">
      <w:pPr>
        <w:spacing w:line="360" w:lineRule="auto"/>
        <w:rPr>
          <w:rFonts w:ascii="Helvetica" w:hAnsi="Helvetica" w:cs="Helvetica"/>
          <w:b/>
          <w:bCs/>
          <w:sz w:val="20"/>
        </w:rPr>
      </w:pPr>
    </w:p>
    <w:p w14:paraId="23E7718C" w14:textId="0AF66E3A" w:rsidR="00F177EE" w:rsidRDefault="00F177EE" w:rsidP="00F177EE">
      <w:pPr>
        <w:spacing w:line="360" w:lineRule="auto"/>
        <w:rPr>
          <w:rFonts w:ascii="Helvetica" w:hAnsi="Helvetica" w:cs="Helvetica"/>
          <w:b/>
          <w:bCs/>
          <w:sz w:val="20"/>
        </w:rPr>
      </w:pPr>
      <w:r>
        <w:rPr>
          <w:rFonts w:ascii="Helvetica" w:hAnsi="Helvetica" w:cs="Helvetica"/>
          <w:b/>
          <w:bCs/>
          <w:sz w:val="20"/>
        </w:rPr>
        <w:t xml:space="preserve">Die Prozesskosten nicht nur einmalig erfassen, sondern regelmäßig im Blick behalten: Mit der Prozesskostenanalyse PS </w:t>
      </w:r>
      <w:proofErr w:type="spellStart"/>
      <w:r>
        <w:rPr>
          <w:rFonts w:ascii="Helvetica" w:hAnsi="Helvetica" w:cs="Helvetica"/>
          <w:b/>
          <w:bCs/>
          <w:sz w:val="20"/>
        </w:rPr>
        <w:t>Energy</w:t>
      </w:r>
      <w:proofErr w:type="spellEnd"/>
      <w:r>
        <w:rPr>
          <w:rFonts w:ascii="Helvetica" w:hAnsi="Helvetica" w:cs="Helvetica"/>
          <w:b/>
          <w:bCs/>
          <w:sz w:val="20"/>
        </w:rPr>
        <w:t xml:space="preserve"> von Wilken können sämtliche Prozesse eines Versorgungsunternehmens </w:t>
      </w:r>
      <w:r w:rsidRPr="00C73CA9">
        <w:rPr>
          <w:rFonts w:ascii="Helvetica" w:hAnsi="Helvetica" w:cs="Helvetica"/>
          <w:b/>
          <w:bCs/>
          <w:sz w:val="20"/>
        </w:rPr>
        <w:t>auf Tätigkeits-, Prozess- oder Bereichsebene</w:t>
      </w:r>
      <w:r>
        <w:rPr>
          <w:rFonts w:ascii="Helvetica" w:hAnsi="Helvetica" w:cs="Helvetica"/>
          <w:b/>
          <w:bCs/>
          <w:sz w:val="20"/>
        </w:rPr>
        <w:t xml:space="preserve"> regelmäßig analysiert und so laufend optimiert werden. Gleichzeitig liefert dieses Werkzeug aber auch wichtige Informationen</w:t>
      </w:r>
      <w:r w:rsidRPr="00A3425F">
        <w:rPr>
          <w:rFonts w:ascii="Helvetica" w:hAnsi="Helvetica" w:cs="Helvetica"/>
          <w:b/>
          <w:bCs/>
          <w:sz w:val="20"/>
        </w:rPr>
        <w:t xml:space="preserve"> </w:t>
      </w:r>
      <w:r>
        <w:rPr>
          <w:rFonts w:ascii="Helvetica" w:hAnsi="Helvetica" w:cs="Helvetica"/>
          <w:b/>
          <w:bCs/>
          <w:sz w:val="20"/>
        </w:rPr>
        <w:t xml:space="preserve">für die Kostenprüfung der Regulierungsbehörden in den kommenden zwei Jahren. Die interne Transparenz über die reale Verteilung von Kosten auf die einzelnen Sparten, Spannungsebenen oder Druckstufen sowie Leitungs- oder Anlagentypen hilft dabei, die Kosten </w:t>
      </w:r>
      <w:r w:rsidR="00316A15">
        <w:rPr>
          <w:rFonts w:ascii="Helvetica" w:hAnsi="Helvetica" w:cs="Helvetica"/>
          <w:b/>
          <w:bCs/>
          <w:sz w:val="20"/>
        </w:rPr>
        <w:t xml:space="preserve">bei der Kalkulation der Netznutzungsentgelte </w:t>
      </w:r>
      <w:r>
        <w:rPr>
          <w:rFonts w:ascii="Helvetica" w:hAnsi="Helvetica" w:cs="Helvetica"/>
          <w:b/>
          <w:bCs/>
          <w:sz w:val="20"/>
        </w:rPr>
        <w:t>entsprechend anerkannt zu bekommen. Zudem sind die Investitionen in die Prozesskostenanalyse und Einführung eine</w:t>
      </w:r>
      <w:r w:rsidR="00316A15">
        <w:rPr>
          <w:rFonts w:ascii="Helvetica" w:hAnsi="Helvetica" w:cs="Helvetica"/>
          <w:b/>
          <w:bCs/>
          <w:sz w:val="20"/>
        </w:rPr>
        <w:t>r</w:t>
      </w:r>
      <w:r>
        <w:rPr>
          <w:rFonts w:ascii="Helvetica" w:hAnsi="Helvetica" w:cs="Helvetica"/>
          <w:b/>
          <w:bCs/>
          <w:sz w:val="20"/>
        </w:rPr>
        <w:t xml:space="preserve"> entsprechenden IT-</w:t>
      </w:r>
      <w:r w:rsidR="00316A15">
        <w:rPr>
          <w:rFonts w:ascii="Helvetica" w:hAnsi="Helvetica" w:cs="Helvetica"/>
          <w:b/>
          <w:bCs/>
          <w:sz w:val="20"/>
        </w:rPr>
        <w:t>Lösung</w:t>
      </w:r>
      <w:r>
        <w:rPr>
          <w:rFonts w:ascii="Helvetica" w:hAnsi="Helvetica" w:cs="Helvetica"/>
          <w:b/>
          <w:bCs/>
          <w:sz w:val="20"/>
        </w:rPr>
        <w:t xml:space="preserve"> grundsätzlich zu großen Teilen anrechenbar. Für das 2016 anstehende </w:t>
      </w:r>
      <w:proofErr w:type="spellStart"/>
      <w:r>
        <w:rPr>
          <w:rFonts w:ascii="Helvetica" w:hAnsi="Helvetica" w:cs="Helvetica"/>
          <w:b/>
          <w:bCs/>
          <w:sz w:val="20"/>
        </w:rPr>
        <w:t>Fotojahr</w:t>
      </w:r>
      <w:proofErr w:type="spellEnd"/>
      <w:r>
        <w:rPr>
          <w:rFonts w:ascii="Helvetica" w:hAnsi="Helvetica" w:cs="Helvetica"/>
          <w:b/>
          <w:bCs/>
          <w:sz w:val="20"/>
        </w:rPr>
        <w:t xml:space="preserve"> Strom bedeutet dies, dass die Kosten in Gänze ansetzbar sind – für das laufende </w:t>
      </w:r>
      <w:proofErr w:type="spellStart"/>
      <w:r>
        <w:rPr>
          <w:rFonts w:ascii="Helvetica" w:hAnsi="Helvetica" w:cs="Helvetica"/>
          <w:b/>
          <w:bCs/>
          <w:sz w:val="20"/>
        </w:rPr>
        <w:t>Fotojahr</w:t>
      </w:r>
      <w:proofErr w:type="spellEnd"/>
      <w:r>
        <w:rPr>
          <w:rFonts w:ascii="Helvetica" w:hAnsi="Helvetica" w:cs="Helvetica"/>
          <w:b/>
          <w:bCs/>
          <w:sz w:val="20"/>
        </w:rPr>
        <w:t xml:space="preserve"> Gas ist dies noch teilweise möglich. </w:t>
      </w:r>
    </w:p>
    <w:p w14:paraId="00FBDA82" w14:textId="77777777" w:rsidR="00F177EE" w:rsidRDefault="00F177EE" w:rsidP="00F177EE">
      <w:pPr>
        <w:spacing w:line="360" w:lineRule="auto"/>
        <w:rPr>
          <w:rFonts w:ascii="Helvetica" w:hAnsi="Helvetica" w:cs="Helvetica"/>
          <w:b/>
          <w:bCs/>
          <w:sz w:val="20"/>
        </w:rPr>
      </w:pPr>
    </w:p>
    <w:p w14:paraId="58FA6E1D" w14:textId="53891753" w:rsidR="00F177EE" w:rsidRPr="00F254C3" w:rsidRDefault="00F177EE" w:rsidP="00F177EE">
      <w:pPr>
        <w:spacing w:line="360" w:lineRule="auto"/>
        <w:rPr>
          <w:rFonts w:ascii="Helvetica" w:hAnsi="Helvetica" w:cs="Helvetica"/>
          <w:bCs/>
          <w:sz w:val="20"/>
        </w:rPr>
      </w:pPr>
      <w:r w:rsidRPr="00F254C3">
        <w:rPr>
          <w:rFonts w:ascii="Helvetica" w:hAnsi="Helvetica" w:cs="Helvetica"/>
          <w:bCs/>
          <w:sz w:val="20"/>
        </w:rPr>
        <w:t xml:space="preserve">Aus Anwendersicht lohnt sich die Einführung der Prozesskostenanalyse auch aus einem weiteren Grund: "Wie mir Netzbetreiber in Gesprächen immer wieder </w:t>
      </w:r>
      <w:r>
        <w:rPr>
          <w:rFonts w:ascii="Helvetica" w:hAnsi="Helvetica" w:cs="Helvetica"/>
          <w:bCs/>
          <w:sz w:val="20"/>
        </w:rPr>
        <w:t>sagen</w:t>
      </w:r>
      <w:r w:rsidRPr="00F254C3">
        <w:rPr>
          <w:rFonts w:ascii="Helvetica" w:hAnsi="Helvetica" w:cs="Helvetica"/>
          <w:bCs/>
          <w:sz w:val="20"/>
        </w:rPr>
        <w:t xml:space="preserve">, liefert dieses Instrument endlich fundierte Argumente für die Diskussion über </w:t>
      </w:r>
      <w:r>
        <w:rPr>
          <w:rFonts w:ascii="Helvetica" w:hAnsi="Helvetica" w:cs="Helvetica"/>
          <w:bCs/>
          <w:sz w:val="20"/>
        </w:rPr>
        <w:t>die Aufteilung der Kosten über die verschiedenen</w:t>
      </w:r>
      <w:r w:rsidRPr="00F254C3">
        <w:rPr>
          <w:rFonts w:ascii="Helvetica" w:hAnsi="Helvetica" w:cs="Helvetica"/>
          <w:bCs/>
          <w:sz w:val="20"/>
        </w:rPr>
        <w:t xml:space="preserve"> Allokationsschlüssel </w:t>
      </w:r>
      <w:r w:rsidRPr="00DE2EB6">
        <w:rPr>
          <w:rFonts w:ascii="Helvetica" w:hAnsi="Helvetica" w:cs="Helvetica"/>
          <w:bCs/>
          <w:sz w:val="20"/>
        </w:rPr>
        <w:t>für die Sparten</w:t>
      </w:r>
      <w:r>
        <w:rPr>
          <w:rFonts w:ascii="Helvetica" w:hAnsi="Helvetica" w:cs="Helvetica"/>
          <w:bCs/>
          <w:sz w:val="20"/>
        </w:rPr>
        <w:t>bilanz</w:t>
      </w:r>
      <w:r w:rsidRPr="00F254C3">
        <w:rPr>
          <w:rFonts w:ascii="Helvetica" w:hAnsi="Helvetica" w:cs="Helvetica"/>
          <w:bCs/>
          <w:sz w:val="20"/>
        </w:rPr>
        <w:t xml:space="preserve">. </w:t>
      </w:r>
      <w:r>
        <w:rPr>
          <w:rFonts w:ascii="Helvetica" w:hAnsi="Helvetica" w:cs="Helvetica"/>
          <w:bCs/>
          <w:sz w:val="20"/>
        </w:rPr>
        <w:t>Diese</w:t>
      </w:r>
      <w:r w:rsidRPr="00F254C3">
        <w:rPr>
          <w:rFonts w:ascii="Helvetica" w:hAnsi="Helvetica" w:cs="Helvetica"/>
          <w:bCs/>
          <w:sz w:val="20"/>
        </w:rPr>
        <w:t xml:space="preserve"> werden von den Regulierungsbehörden </w:t>
      </w:r>
      <w:r>
        <w:rPr>
          <w:rFonts w:ascii="Helvetica" w:hAnsi="Helvetica" w:cs="Helvetica"/>
          <w:bCs/>
          <w:sz w:val="20"/>
        </w:rPr>
        <w:t>bei der Kommenden Kostenerhebung in den Fokus gerückt und</w:t>
      </w:r>
      <w:r w:rsidRPr="00F254C3">
        <w:rPr>
          <w:rFonts w:ascii="Helvetica" w:hAnsi="Helvetica" w:cs="Helvetica"/>
          <w:bCs/>
          <w:sz w:val="20"/>
        </w:rPr>
        <w:t xml:space="preserve"> infrage gestellt</w:t>
      </w:r>
      <w:r>
        <w:rPr>
          <w:rFonts w:ascii="Helvetica" w:hAnsi="Helvetica" w:cs="Helvetica"/>
          <w:bCs/>
          <w:sz w:val="20"/>
        </w:rPr>
        <w:t>.</w:t>
      </w:r>
      <w:r w:rsidRPr="00F254C3">
        <w:rPr>
          <w:rFonts w:ascii="Helvetica" w:hAnsi="Helvetica" w:cs="Helvetica"/>
          <w:bCs/>
          <w:sz w:val="20"/>
        </w:rPr>
        <w:t xml:space="preserve"> </w:t>
      </w:r>
      <w:r>
        <w:rPr>
          <w:rFonts w:ascii="Helvetica" w:hAnsi="Helvetica" w:cs="Helvetica"/>
          <w:bCs/>
          <w:sz w:val="20"/>
        </w:rPr>
        <w:t>Deshalb ist es wichtig, diese Schlüssel fundiert nachweisen zu können</w:t>
      </w:r>
      <w:r w:rsidRPr="00F254C3">
        <w:rPr>
          <w:rFonts w:ascii="Helvetica" w:hAnsi="Helvetica" w:cs="Helvetica"/>
          <w:bCs/>
          <w:sz w:val="20"/>
        </w:rPr>
        <w:t xml:space="preserve">", erklärt Dirk </w:t>
      </w:r>
      <w:proofErr w:type="spellStart"/>
      <w:r w:rsidRPr="00F254C3">
        <w:rPr>
          <w:rFonts w:ascii="Helvetica" w:hAnsi="Helvetica" w:cs="Helvetica"/>
          <w:bCs/>
          <w:sz w:val="20"/>
        </w:rPr>
        <w:t>Fieml</w:t>
      </w:r>
      <w:proofErr w:type="spellEnd"/>
      <w:r w:rsidRPr="00F254C3">
        <w:rPr>
          <w:rFonts w:ascii="Helvetica" w:hAnsi="Helvetica" w:cs="Helvetica"/>
          <w:bCs/>
          <w:sz w:val="20"/>
        </w:rPr>
        <w:t xml:space="preserve"> vom Beratungsunternehmen </w:t>
      </w:r>
      <w:proofErr w:type="spellStart"/>
      <w:r>
        <w:rPr>
          <w:rFonts w:ascii="Helvetica" w:hAnsi="Helvetica" w:cs="Helvetica"/>
          <w:bCs/>
          <w:sz w:val="20"/>
        </w:rPr>
        <w:t>V</w:t>
      </w:r>
      <w:r w:rsidRPr="00F254C3">
        <w:rPr>
          <w:rFonts w:ascii="Helvetica" w:hAnsi="Helvetica" w:cs="Helvetica"/>
          <w:bCs/>
          <w:sz w:val="20"/>
        </w:rPr>
        <w:t>ivax</w:t>
      </w:r>
      <w:proofErr w:type="spellEnd"/>
      <w:r w:rsidRPr="00F254C3">
        <w:rPr>
          <w:rFonts w:ascii="Helvetica" w:hAnsi="Helvetica" w:cs="Helvetica"/>
          <w:bCs/>
          <w:sz w:val="20"/>
        </w:rPr>
        <w:t xml:space="preserve">, das Wilken bei der Entwicklung von PS </w:t>
      </w:r>
      <w:proofErr w:type="spellStart"/>
      <w:r w:rsidRPr="00F254C3">
        <w:rPr>
          <w:rFonts w:ascii="Helvetica" w:hAnsi="Helvetica" w:cs="Helvetica"/>
          <w:bCs/>
          <w:sz w:val="20"/>
        </w:rPr>
        <w:t>Energy</w:t>
      </w:r>
      <w:proofErr w:type="spellEnd"/>
      <w:r w:rsidRPr="00F254C3">
        <w:rPr>
          <w:rFonts w:ascii="Helvetica" w:hAnsi="Helvetica" w:cs="Helvetica"/>
          <w:bCs/>
          <w:sz w:val="20"/>
        </w:rPr>
        <w:t xml:space="preserve"> unterstützt hat.</w:t>
      </w:r>
    </w:p>
    <w:p w14:paraId="1A5F33EB" w14:textId="77777777" w:rsidR="00F177EE" w:rsidRDefault="00F177EE" w:rsidP="00F177EE">
      <w:pPr>
        <w:spacing w:line="360" w:lineRule="auto"/>
        <w:rPr>
          <w:rFonts w:ascii="Helvetica" w:hAnsi="Helvetica" w:cs="Helvetica"/>
          <w:bCs/>
          <w:sz w:val="20"/>
        </w:rPr>
      </w:pPr>
      <w:r>
        <w:rPr>
          <w:rFonts w:ascii="Helvetica" w:hAnsi="Helvetica" w:cs="Helvetica"/>
          <w:bCs/>
          <w:sz w:val="20"/>
        </w:rPr>
        <w:t xml:space="preserve"> </w:t>
      </w:r>
    </w:p>
    <w:p w14:paraId="51577418" w14:textId="77777777" w:rsidR="00F177EE" w:rsidRDefault="00F177EE" w:rsidP="00F177EE">
      <w:pPr>
        <w:spacing w:line="360" w:lineRule="auto"/>
        <w:rPr>
          <w:rFonts w:ascii="Helvetica" w:hAnsi="Helvetica" w:cs="Helvetica"/>
          <w:bCs/>
          <w:sz w:val="20"/>
        </w:rPr>
      </w:pPr>
      <w:r>
        <w:rPr>
          <w:rFonts w:ascii="Helvetica" w:hAnsi="Helvetica" w:cs="Helvetica"/>
          <w:bCs/>
          <w:sz w:val="20"/>
        </w:rPr>
        <w:t xml:space="preserve">Aber nicht nur Investitionen in die Prozesskostenanalyse können bei der Berechnung der Netznutzungsentgelte berücksichtigt werden. Generell gilt das für alle Software-Produkte, die dazu beitragen, den Netzbetrieb sicherzustellen und zu optimieren. Darunter fällt die neue Netznutzungsabrechnung von Wilken </w:t>
      </w:r>
      <w:r>
        <w:rPr>
          <w:rFonts w:ascii="Helvetica" w:hAnsi="Helvetica" w:cs="Helvetica"/>
          <w:bCs/>
          <w:sz w:val="20"/>
        </w:rPr>
        <w:lastRenderedPageBreak/>
        <w:t>ebenso wie die zählpunktscharfe Mehr-/Mindermengenabrechnung oder das Netz-CRM mit Geräte und Netzanschlussakte. "In welchen Umfang welche Investitionen anrechenbar sin</w:t>
      </w:r>
      <w:bookmarkStart w:id="0" w:name="_GoBack"/>
      <w:bookmarkEnd w:id="0"/>
      <w:r>
        <w:rPr>
          <w:rFonts w:ascii="Helvetica" w:hAnsi="Helvetica" w:cs="Helvetica"/>
          <w:bCs/>
          <w:sz w:val="20"/>
        </w:rPr>
        <w:t xml:space="preserve">d, ist von Bundesland zu Bundesland unterschiedlich, da die einzelnen Landesregulierungsbehörden dies nicht einheitlich geregelt haben. In den meisten Fällen ist jedoch ein größerer Teil der Investitionen anrechenbar, in manchen Fällen sogar die gesamten Ausgaben", so Uwe Wagner, in der Wilken-Geschäftsleitung verantwortlich für die Energiewirtschaft. </w:t>
      </w:r>
    </w:p>
    <w:p w14:paraId="503BC724" w14:textId="77777777" w:rsidR="00733F48" w:rsidRPr="009378C5" w:rsidRDefault="00733F48" w:rsidP="00C51C55">
      <w:pPr>
        <w:spacing w:line="360" w:lineRule="auto"/>
        <w:rPr>
          <w:rFonts w:ascii="Helvetica" w:hAnsi="Helvetica" w:cs="Helvetica"/>
          <w:bCs/>
          <w:sz w:val="20"/>
        </w:rPr>
      </w:pPr>
    </w:p>
    <w:tbl>
      <w:tblPr>
        <w:tblW w:w="9180" w:type="dxa"/>
        <w:tblLook w:val="04A0" w:firstRow="1" w:lastRow="0" w:firstColumn="1" w:lastColumn="0" w:noHBand="0" w:noVBand="1"/>
      </w:tblPr>
      <w:tblGrid>
        <w:gridCol w:w="4361"/>
        <w:gridCol w:w="4819"/>
      </w:tblGrid>
      <w:tr w:rsidR="00C51C55" w:rsidRPr="00FA1DEE" w14:paraId="4A408586" w14:textId="77777777" w:rsidTr="00970937">
        <w:tc>
          <w:tcPr>
            <w:tcW w:w="4361" w:type="dxa"/>
            <w:shd w:val="clear" w:color="auto" w:fill="auto"/>
          </w:tcPr>
          <w:p w14:paraId="5EAEB355" w14:textId="77777777" w:rsidR="00C51C55" w:rsidRPr="00FA1DEE" w:rsidRDefault="00C51C55" w:rsidP="0097093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6F229F70" w14:textId="77777777" w:rsidR="00C51C55" w:rsidRPr="00FA1DEE" w:rsidRDefault="00C51C55" w:rsidP="0097093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 xml:space="preserve">GmbH </w:t>
            </w:r>
          </w:p>
          <w:p w14:paraId="1E4B8A8B" w14:textId="77777777" w:rsidR="00C51C55" w:rsidRPr="00FA1DEE" w:rsidRDefault="00C51C55" w:rsidP="00970937">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31</w:t>
            </w:r>
            <w:r w:rsidRPr="00FA1DEE">
              <w:rPr>
                <w:rFonts w:ascii="Arial" w:hAnsi="Arial" w:cs="Calibri"/>
                <w:sz w:val="16"/>
                <w:szCs w:val="26"/>
                <w:lang w:eastAsia="de-DE"/>
              </w:rPr>
              <w:t xml:space="preserve"> – D-89081 Ulm</w:t>
            </w:r>
            <w:r w:rsidRPr="00FA1DEE">
              <w:rPr>
                <w:rFonts w:ascii="Arial" w:hAnsi="Arial" w:cs="Calibri"/>
                <w:sz w:val="16"/>
                <w:szCs w:val="26"/>
                <w:lang w:eastAsia="de-DE"/>
              </w:rPr>
              <w:tab/>
            </w:r>
          </w:p>
          <w:p w14:paraId="530EBDE7" w14:textId="77777777" w:rsidR="00C51C55" w:rsidRPr="00FA1DEE" w:rsidRDefault="00C51C55" w:rsidP="00970937">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14:paraId="779824BA" w14:textId="77777777" w:rsidR="00C51C55" w:rsidRPr="00FA1DEE" w:rsidRDefault="006A4677" w:rsidP="00970937">
            <w:pPr>
              <w:widowControl w:val="0"/>
              <w:tabs>
                <w:tab w:val="left" w:pos="3969"/>
              </w:tabs>
              <w:autoSpaceDE w:val="0"/>
              <w:autoSpaceDN w:val="0"/>
              <w:adjustRightInd w:val="0"/>
              <w:ind w:right="176"/>
              <w:rPr>
                <w:rFonts w:ascii="Arial" w:hAnsi="Arial" w:cs="Calibri"/>
                <w:sz w:val="16"/>
                <w:szCs w:val="26"/>
                <w:lang w:val="en-US" w:eastAsia="de-DE"/>
              </w:rPr>
            </w:pPr>
            <w:hyperlink r:id="rId7" w:history="1">
              <w:r w:rsidR="00C51C55" w:rsidRPr="00FA1DEE">
                <w:rPr>
                  <w:rStyle w:val="Link"/>
                  <w:rFonts w:ascii="Arial" w:hAnsi="Arial" w:cs="Calibri"/>
                  <w:sz w:val="16"/>
                  <w:szCs w:val="26"/>
                  <w:lang w:val="en-US" w:eastAsia="de-DE"/>
                </w:rPr>
                <w:t>presse@wilken.de</w:t>
              </w:r>
            </w:hyperlink>
          </w:p>
          <w:p w14:paraId="22C5DD4C" w14:textId="77777777" w:rsidR="00C51C55" w:rsidRPr="0059648C" w:rsidRDefault="006A4677" w:rsidP="00970937">
            <w:pPr>
              <w:widowControl w:val="0"/>
              <w:tabs>
                <w:tab w:val="left" w:pos="2977"/>
                <w:tab w:val="left" w:pos="3969"/>
              </w:tabs>
              <w:autoSpaceDE w:val="0"/>
              <w:autoSpaceDN w:val="0"/>
              <w:adjustRightInd w:val="0"/>
              <w:ind w:right="176"/>
              <w:rPr>
                <w:rFonts w:ascii="Arial" w:hAnsi="Arial" w:cs="Calibri"/>
                <w:color w:val="0000FF"/>
                <w:sz w:val="16"/>
                <w:szCs w:val="26"/>
                <w:u w:val="single"/>
                <w:lang w:val="en-US" w:eastAsia="de-DE"/>
              </w:rPr>
            </w:pPr>
            <w:hyperlink r:id="rId8" w:history="1">
              <w:r w:rsidR="00C51C55" w:rsidRPr="00C314B5">
                <w:rPr>
                  <w:rStyle w:val="Link"/>
                  <w:rFonts w:ascii="Arial" w:hAnsi="Arial" w:cs="Calibri"/>
                  <w:sz w:val="16"/>
                  <w:szCs w:val="26"/>
                  <w:lang w:val="en-US" w:eastAsia="de-DE"/>
                </w:rPr>
                <w:t>www.wilken.de</w:t>
              </w:r>
            </w:hyperlink>
          </w:p>
        </w:tc>
        <w:tc>
          <w:tcPr>
            <w:tcW w:w="4819" w:type="dxa"/>
            <w:shd w:val="clear" w:color="auto" w:fill="auto"/>
          </w:tcPr>
          <w:p w14:paraId="1BC76B7A" w14:textId="77777777" w:rsidR="00C51C55" w:rsidRPr="00FA1DEE" w:rsidRDefault="00C51C55" w:rsidP="0097093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C72EA02"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w:t>
            </w:r>
          </w:p>
          <w:p w14:paraId="6F881B87"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5394EAD9"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13027AC0"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612BCB26" w14:textId="77777777" w:rsidR="00C51C55" w:rsidRPr="00FA1DEE" w:rsidRDefault="006A4677" w:rsidP="00970937">
            <w:pPr>
              <w:widowControl w:val="0"/>
              <w:autoSpaceDE w:val="0"/>
              <w:autoSpaceDN w:val="0"/>
              <w:adjustRightInd w:val="0"/>
              <w:ind w:left="34" w:right="742"/>
              <w:rPr>
                <w:rFonts w:ascii="Arial" w:hAnsi="Arial" w:cs="Calibri"/>
                <w:sz w:val="16"/>
                <w:szCs w:val="26"/>
                <w:lang w:eastAsia="de-DE"/>
              </w:rPr>
            </w:pPr>
            <w:hyperlink r:id="rId9" w:history="1">
              <w:r w:rsidR="00C51C55" w:rsidRPr="00FA1DEE">
                <w:rPr>
                  <w:rStyle w:val="Link"/>
                  <w:rFonts w:ascii="Arial" w:hAnsi="Arial" w:cs="Calibri"/>
                  <w:sz w:val="16"/>
                  <w:szCs w:val="26"/>
                  <w:lang w:eastAsia="de-DE"/>
                </w:rPr>
                <w:t>upa@press-n-relations.de</w:t>
              </w:r>
            </w:hyperlink>
          </w:p>
          <w:p w14:paraId="681D61DF"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284F3388" w14:textId="77777777" w:rsidR="00C51C55" w:rsidRDefault="00C51C55" w:rsidP="00C51C55">
      <w:pPr>
        <w:widowControl w:val="0"/>
        <w:autoSpaceDE w:val="0"/>
        <w:autoSpaceDN w:val="0"/>
        <w:adjustRightInd w:val="0"/>
        <w:rPr>
          <w:rFonts w:ascii="Arial" w:hAnsi="Arial" w:cs="Calibri"/>
          <w:b/>
          <w:bCs/>
          <w:sz w:val="16"/>
          <w:szCs w:val="26"/>
          <w:lang w:eastAsia="de-DE"/>
        </w:rPr>
      </w:pPr>
    </w:p>
    <w:p w14:paraId="0178B7AF" w14:textId="77777777" w:rsidR="00C51C55" w:rsidRPr="00F8514B" w:rsidRDefault="00C51C55" w:rsidP="00C51C55">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4A279F75" w14:textId="77777777" w:rsidR="002D19F2" w:rsidRPr="00240B71" w:rsidRDefault="002D19F2" w:rsidP="002D19F2">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p w14:paraId="104640C2" w14:textId="77777777" w:rsidR="00C51C55" w:rsidRPr="00772476" w:rsidRDefault="00C51C55" w:rsidP="00C51C55">
      <w:pPr>
        <w:ind w:right="-2127"/>
        <w:outlineLvl w:val="0"/>
        <w:rPr>
          <w:rFonts w:ascii="Arial" w:hAnsi="Arial" w:cs="Calibri"/>
          <w:sz w:val="16"/>
          <w:szCs w:val="26"/>
          <w:lang w:eastAsia="de-DE"/>
        </w:rPr>
      </w:pPr>
    </w:p>
    <w:p w14:paraId="722F1DBD" w14:textId="77777777" w:rsidR="00C51C55" w:rsidRPr="00DA4F82" w:rsidRDefault="00C51C55" w:rsidP="00C51C55"/>
    <w:p w14:paraId="1494DA41" w14:textId="77777777" w:rsidR="00C51C55" w:rsidRPr="00574C52" w:rsidRDefault="00C51C55" w:rsidP="00C51C55"/>
    <w:p w14:paraId="615863D1" w14:textId="067733F3" w:rsidR="00FE48A6" w:rsidRPr="00C51C55" w:rsidRDefault="00FE48A6" w:rsidP="00C51C55"/>
    <w:sectPr w:rsidR="00FE48A6" w:rsidRPr="00C51C55" w:rsidSect="001858F8">
      <w:headerReference w:type="default" r:id="rId10"/>
      <w:footerReference w:type="even" r:id="rId11"/>
      <w:footerReference w:type="default" r:id="rId12"/>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A9977" w14:textId="77777777" w:rsidR="006A4677" w:rsidRDefault="006A4677">
      <w:r>
        <w:separator/>
      </w:r>
    </w:p>
  </w:endnote>
  <w:endnote w:type="continuationSeparator" w:id="0">
    <w:p w14:paraId="2BB14178" w14:textId="77777777" w:rsidR="006A4677" w:rsidRDefault="006A4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4E864CFE" w:rsidR="003A43A2" w:rsidRDefault="003A43A2" w:rsidP="00FE48A6">
    <w:pPr>
      <w:pStyle w:val="Fuzeile"/>
      <w:ind w:right="-2269"/>
      <w:jc w:val="right"/>
    </w:pPr>
    <w:r>
      <w:rPr>
        <w:noProof/>
        <w:lang w:eastAsia="de-DE"/>
      </w:rPr>
      <w:drawing>
        <wp:inline distT="0" distB="0" distL="0" distR="0" wp14:anchorId="11448990" wp14:editId="20DBD3A8">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A5C98" w14:textId="77777777" w:rsidR="006A4677" w:rsidRDefault="006A4677">
      <w:r>
        <w:separator/>
      </w:r>
    </w:p>
  </w:footnote>
  <w:footnote w:type="continuationSeparator" w:id="0">
    <w:p w14:paraId="208687A1" w14:textId="77777777" w:rsidR="006A4677" w:rsidRDefault="006A46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1DF567DE" w14:textId="77777777" w:rsidR="003A43A2" w:rsidRDefault="003A43A2" w:rsidP="00FE48A6">
    <w:pPr>
      <w:pStyle w:val="Kopfzeile"/>
      <w:tabs>
        <w:tab w:val="clear" w:pos="9072"/>
        <w:tab w:val="right" w:pos="9639"/>
      </w:tabs>
      <w:ind w:right="-2"/>
      <w:jc w:val="right"/>
    </w:pP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8"/>
  <w:embedSystemFonts/>
  <w:proofState w:spelling="clean"/>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454B"/>
    <w:rsid w:val="00011F67"/>
    <w:rsid w:val="0002498B"/>
    <w:rsid w:val="00032F50"/>
    <w:rsid w:val="00040D86"/>
    <w:rsid w:val="00051FB3"/>
    <w:rsid w:val="000809E7"/>
    <w:rsid w:val="00093AA5"/>
    <w:rsid w:val="00097330"/>
    <w:rsid w:val="000A6D42"/>
    <w:rsid w:val="000B2038"/>
    <w:rsid w:val="000C0569"/>
    <w:rsid w:val="000D5FE9"/>
    <w:rsid w:val="000E5D79"/>
    <w:rsid w:val="000F6D38"/>
    <w:rsid w:val="00106410"/>
    <w:rsid w:val="00107620"/>
    <w:rsid w:val="00122695"/>
    <w:rsid w:val="00122F47"/>
    <w:rsid w:val="0012491E"/>
    <w:rsid w:val="00152D07"/>
    <w:rsid w:val="00172559"/>
    <w:rsid w:val="00175745"/>
    <w:rsid w:val="001846B9"/>
    <w:rsid w:val="001858F8"/>
    <w:rsid w:val="001A2076"/>
    <w:rsid w:val="001B1862"/>
    <w:rsid w:val="001C58AF"/>
    <w:rsid w:val="001C6862"/>
    <w:rsid w:val="001D12AA"/>
    <w:rsid w:val="001E200F"/>
    <w:rsid w:val="00256657"/>
    <w:rsid w:val="00272362"/>
    <w:rsid w:val="002A28CE"/>
    <w:rsid w:val="002C201B"/>
    <w:rsid w:val="002D0338"/>
    <w:rsid w:val="002D19F2"/>
    <w:rsid w:val="002D1F28"/>
    <w:rsid w:val="002D28F5"/>
    <w:rsid w:val="00316A15"/>
    <w:rsid w:val="00324F5C"/>
    <w:rsid w:val="003467EA"/>
    <w:rsid w:val="00366E84"/>
    <w:rsid w:val="0037633E"/>
    <w:rsid w:val="00376B33"/>
    <w:rsid w:val="003A1A5E"/>
    <w:rsid w:val="003A43A2"/>
    <w:rsid w:val="003C2165"/>
    <w:rsid w:val="003D7800"/>
    <w:rsid w:val="003E10C2"/>
    <w:rsid w:val="003E189B"/>
    <w:rsid w:val="003F55EF"/>
    <w:rsid w:val="004043AF"/>
    <w:rsid w:val="00406D81"/>
    <w:rsid w:val="004110F6"/>
    <w:rsid w:val="00425A22"/>
    <w:rsid w:val="00425E5F"/>
    <w:rsid w:val="00432E47"/>
    <w:rsid w:val="00457490"/>
    <w:rsid w:val="00470089"/>
    <w:rsid w:val="004712B6"/>
    <w:rsid w:val="00477E0F"/>
    <w:rsid w:val="0048658B"/>
    <w:rsid w:val="004A76DC"/>
    <w:rsid w:val="004E2379"/>
    <w:rsid w:val="00513A25"/>
    <w:rsid w:val="00517604"/>
    <w:rsid w:val="00521E09"/>
    <w:rsid w:val="00535FC2"/>
    <w:rsid w:val="005639AD"/>
    <w:rsid w:val="00574C52"/>
    <w:rsid w:val="00575F36"/>
    <w:rsid w:val="00576B32"/>
    <w:rsid w:val="00583BF7"/>
    <w:rsid w:val="0058795D"/>
    <w:rsid w:val="0059648C"/>
    <w:rsid w:val="005E006B"/>
    <w:rsid w:val="005F2C2F"/>
    <w:rsid w:val="005F375D"/>
    <w:rsid w:val="005F3918"/>
    <w:rsid w:val="0060646D"/>
    <w:rsid w:val="00614428"/>
    <w:rsid w:val="006205F9"/>
    <w:rsid w:val="00632098"/>
    <w:rsid w:val="00645730"/>
    <w:rsid w:val="006568C1"/>
    <w:rsid w:val="00667CBE"/>
    <w:rsid w:val="00693603"/>
    <w:rsid w:val="006A0673"/>
    <w:rsid w:val="006A4677"/>
    <w:rsid w:val="006E468B"/>
    <w:rsid w:val="006E5937"/>
    <w:rsid w:val="006F6C95"/>
    <w:rsid w:val="00733F48"/>
    <w:rsid w:val="0073656F"/>
    <w:rsid w:val="007367F7"/>
    <w:rsid w:val="00737E3A"/>
    <w:rsid w:val="00741F98"/>
    <w:rsid w:val="00746812"/>
    <w:rsid w:val="00757073"/>
    <w:rsid w:val="00764A09"/>
    <w:rsid w:val="007706D1"/>
    <w:rsid w:val="00772476"/>
    <w:rsid w:val="00774940"/>
    <w:rsid w:val="00783CEE"/>
    <w:rsid w:val="007C3EFB"/>
    <w:rsid w:val="007C5A78"/>
    <w:rsid w:val="007E37CB"/>
    <w:rsid w:val="007F7D4A"/>
    <w:rsid w:val="00803D59"/>
    <w:rsid w:val="00811D53"/>
    <w:rsid w:val="0081245E"/>
    <w:rsid w:val="00823A31"/>
    <w:rsid w:val="008331D8"/>
    <w:rsid w:val="0083770B"/>
    <w:rsid w:val="008474DE"/>
    <w:rsid w:val="00853823"/>
    <w:rsid w:val="00863D68"/>
    <w:rsid w:val="0088157B"/>
    <w:rsid w:val="008825F3"/>
    <w:rsid w:val="0088514D"/>
    <w:rsid w:val="00894092"/>
    <w:rsid w:val="00894BE0"/>
    <w:rsid w:val="008A57BB"/>
    <w:rsid w:val="008B4462"/>
    <w:rsid w:val="008B5B1E"/>
    <w:rsid w:val="008B69E2"/>
    <w:rsid w:val="008E6C77"/>
    <w:rsid w:val="008F68EF"/>
    <w:rsid w:val="00903A51"/>
    <w:rsid w:val="009043EE"/>
    <w:rsid w:val="00912A8A"/>
    <w:rsid w:val="009333FD"/>
    <w:rsid w:val="009378C5"/>
    <w:rsid w:val="00943667"/>
    <w:rsid w:val="00947BDC"/>
    <w:rsid w:val="009668A5"/>
    <w:rsid w:val="00970937"/>
    <w:rsid w:val="00973837"/>
    <w:rsid w:val="00980D69"/>
    <w:rsid w:val="00984451"/>
    <w:rsid w:val="00984EEC"/>
    <w:rsid w:val="009873C5"/>
    <w:rsid w:val="009B0EFC"/>
    <w:rsid w:val="009C6A33"/>
    <w:rsid w:val="009C7BF7"/>
    <w:rsid w:val="009F1031"/>
    <w:rsid w:val="00A0122C"/>
    <w:rsid w:val="00A0763D"/>
    <w:rsid w:val="00A14223"/>
    <w:rsid w:val="00A31345"/>
    <w:rsid w:val="00A3451E"/>
    <w:rsid w:val="00A56D07"/>
    <w:rsid w:val="00A604E8"/>
    <w:rsid w:val="00A65506"/>
    <w:rsid w:val="00A6600D"/>
    <w:rsid w:val="00A73AC3"/>
    <w:rsid w:val="00A77BBC"/>
    <w:rsid w:val="00A85E92"/>
    <w:rsid w:val="00AB7591"/>
    <w:rsid w:val="00AF1D9E"/>
    <w:rsid w:val="00B62065"/>
    <w:rsid w:val="00B86EC2"/>
    <w:rsid w:val="00B87471"/>
    <w:rsid w:val="00BA5FB0"/>
    <w:rsid w:val="00BA7303"/>
    <w:rsid w:val="00BB487D"/>
    <w:rsid w:val="00BC2F70"/>
    <w:rsid w:val="00BE1471"/>
    <w:rsid w:val="00BE5B4A"/>
    <w:rsid w:val="00BF00B8"/>
    <w:rsid w:val="00BF70C0"/>
    <w:rsid w:val="00C00270"/>
    <w:rsid w:val="00C0359B"/>
    <w:rsid w:val="00C11718"/>
    <w:rsid w:val="00C51C55"/>
    <w:rsid w:val="00C6146F"/>
    <w:rsid w:val="00C6183F"/>
    <w:rsid w:val="00C73CA9"/>
    <w:rsid w:val="00C83E25"/>
    <w:rsid w:val="00CA2704"/>
    <w:rsid w:val="00CD395A"/>
    <w:rsid w:val="00CF4E1F"/>
    <w:rsid w:val="00D13CB5"/>
    <w:rsid w:val="00D20DFE"/>
    <w:rsid w:val="00D42772"/>
    <w:rsid w:val="00D500C9"/>
    <w:rsid w:val="00D5304C"/>
    <w:rsid w:val="00D923CC"/>
    <w:rsid w:val="00DA2579"/>
    <w:rsid w:val="00DA4F82"/>
    <w:rsid w:val="00DC7643"/>
    <w:rsid w:val="00DE2EB6"/>
    <w:rsid w:val="00DF68C5"/>
    <w:rsid w:val="00E02730"/>
    <w:rsid w:val="00E62903"/>
    <w:rsid w:val="00E83A83"/>
    <w:rsid w:val="00EA0E6E"/>
    <w:rsid w:val="00EA755D"/>
    <w:rsid w:val="00EB77F7"/>
    <w:rsid w:val="00EC14F0"/>
    <w:rsid w:val="00ED247E"/>
    <w:rsid w:val="00EE15AD"/>
    <w:rsid w:val="00EF1E53"/>
    <w:rsid w:val="00F177EE"/>
    <w:rsid w:val="00F24B57"/>
    <w:rsid w:val="00F254C3"/>
    <w:rsid w:val="00F42BC2"/>
    <w:rsid w:val="00F44C5C"/>
    <w:rsid w:val="00F47247"/>
    <w:rsid w:val="00F50498"/>
    <w:rsid w:val="00F61560"/>
    <w:rsid w:val="00F717EB"/>
    <w:rsid w:val="00F771FF"/>
    <w:rsid w:val="00F9031E"/>
    <w:rsid w:val="00F96E98"/>
    <w:rsid w:val="00FA13E1"/>
    <w:rsid w:val="00FB3528"/>
    <w:rsid w:val="00FC18FD"/>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3521</Characters>
  <Application>Microsoft Macintosh Word</Application>
  <DocSecurity>0</DocSecurity>
  <Lines>29</Lines>
  <Paragraphs>8</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
      <vt:lpstr>PRESSEINFORMATION </vt:lpstr>
      <vt:lpstr/>
      <vt:lpstr>Ulm, 27. April 2015</vt:lpstr>
      <vt:lpstr>Über die Wilken Corporate Group</vt:lpstr>
      <vt:lpstr/>
    </vt:vector>
  </TitlesOfParts>
  <Company>Press'n'Relations </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Ein Microsoft Office-Anwender</cp:lastModifiedBy>
  <cp:revision>4</cp:revision>
  <cp:lastPrinted>2015-04-23T08:51:00Z</cp:lastPrinted>
  <dcterms:created xsi:type="dcterms:W3CDTF">2015-05-07T14:58:00Z</dcterms:created>
  <dcterms:modified xsi:type="dcterms:W3CDTF">2015-05-08T06:34:00Z</dcterms:modified>
</cp:coreProperties>
</file>