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09871" w14:textId="77777777" w:rsidR="00BE17A6" w:rsidRPr="001D6950" w:rsidRDefault="002B5EB6" w:rsidP="00BE17A6">
      <w:pPr>
        <w:tabs>
          <w:tab w:val="right" w:pos="7796"/>
        </w:tabs>
        <w:ind w:right="-709"/>
        <w:outlineLvl w:val="0"/>
        <w:rPr>
          <w:rFonts w:ascii="Helvetica" w:hAnsi="Helvetica"/>
          <w:b/>
        </w:rPr>
      </w:pPr>
      <w:r>
        <w:rPr>
          <w:rFonts w:ascii="Helvetica" w:hAnsi="Helvetica"/>
          <w:b/>
        </w:rPr>
        <w:t>PRESSEINFORMATION</w:t>
      </w:r>
      <w:r w:rsidR="00BE17A6">
        <w:rPr>
          <w:rFonts w:ascii="Helvetica" w:hAnsi="Helvetica"/>
          <w:b/>
        </w:rPr>
        <w:t xml:space="preserve"> </w:t>
      </w:r>
      <w:r w:rsidR="00BE17A6">
        <w:rPr>
          <w:rFonts w:ascii="Helvetica" w:hAnsi="Helvetica"/>
          <w:b/>
        </w:rPr>
        <w:tab/>
      </w:r>
    </w:p>
    <w:p w14:paraId="3D050FA7" w14:textId="77777777" w:rsidR="00BE17A6" w:rsidRPr="003D6EC8" w:rsidRDefault="00BE17A6" w:rsidP="00BE17A6">
      <w:pPr>
        <w:ind w:right="-709"/>
        <w:outlineLvl w:val="0"/>
        <w:rPr>
          <w:rFonts w:ascii="Helvetica" w:hAnsi="Helvetica"/>
        </w:rPr>
      </w:pPr>
    </w:p>
    <w:p w14:paraId="06364307" w14:textId="77777777" w:rsidR="00BE17A6" w:rsidRDefault="00BE17A6" w:rsidP="00BE17A6">
      <w:pPr>
        <w:ind w:right="-709"/>
        <w:outlineLvl w:val="0"/>
        <w:rPr>
          <w:rFonts w:ascii="Helvetica" w:hAnsi="Helvetica"/>
          <w:sz w:val="20"/>
        </w:rPr>
      </w:pPr>
      <w:r>
        <w:rPr>
          <w:rFonts w:ascii="Helvetica" w:hAnsi="Helvetica"/>
          <w:sz w:val="20"/>
        </w:rPr>
        <w:t xml:space="preserve">Ulm, </w:t>
      </w:r>
      <w:r w:rsidR="002B5EB6">
        <w:rPr>
          <w:rFonts w:ascii="Helvetica" w:hAnsi="Helvetica"/>
          <w:sz w:val="20"/>
        </w:rPr>
        <w:t>25</w:t>
      </w:r>
      <w:r>
        <w:rPr>
          <w:rFonts w:ascii="Helvetica" w:hAnsi="Helvetica"/>
          <w:sz w:val="20"/>
        </w:rPr>
        <w:t>. Januar 2016</w:t>
      </w:r>
    </w:p>
    <w:p w14:paraId="6AB61059" w14:textId="77777777" w:rsidR="00BE17A6" w:rsidRPr="00087C27" w:rsidRDefault="00BE17A6" w:rsidP="00BE17A6">
      <w:pPr>
        <w:ind w:right="-709"/>
        <w:outlineLvl w:val="0"/>
        <w:rPr>
          <w:rFonts w:ascii="Helvetica" w:hAnsi="Helvetica"/>
          <w:sz w:val="20"/>
        </w:rPr>
      </w:pPr>
    </w:p>
    <w:p w14:paraId="659E17FF" w14:textId="1C4C8142" w:rsidR="00BE17A6" w:rsidRPr="000959F0" w:rsidRDefault="00BE17A6" w:rsidP="00BE17A6">
      <w:pPr>
        <w:spacing w:line="280" w:lineRule="exact"/>
        <w:outlineLvl w:val="0"/>
        <w:rPr>
          <w:rFonts w:ascii="Arial" w:eastAsia="Arial Unicode MS" w:hAnsi="Arial"/>
          <w:color w:val="000000"/>
          <w:sz w:val="20"/>
          <w:u w:val="single" w:color="000000"/>
        </w:rPr>
      </w:pPr>
      <w:r w:rsidRPr="000959F0">
        <w:rPr>
          <w:rFonts w:ascii="Arial" w:eastAsia="Arial Unicode MS" w:hAnsi="Arial"/>
          <w:color w:val="000000"/>
          <w:sz w:val="20"/>
          <w:u w:val="single" w:color="000000"/>
        </w:rPr>
        <w:t xml:space="preserve">ITB </w:t>
      </w:r>
      <w:r>
        <w:rPr>
          <w:rFonts w:ascii="Arial" w:eastAsia="Arial Unicode MS" w:hAnsi="Arial"/>
          <w:color w:val="000000"/>
          <w:sz w:val="20"/>
          <w:u w:val="single" w:color="000000"/>
        </w:rPr>
        <w:t>Berlin, 9. bis 13.</w:t>
      </w:r>
      <w:r w:rsidR="00D969E2">
        <w:rPr>
          <w:rFonts w:ascii="Arial" w:eastAsia="Arial Unicode MS" w:hAnsi="Arial"/>
          <w:color w:val="000000"/>
          <w:sz w:val="20"/>
          <w:u w:val="single" w:color="000000"/>
        </w:rPr>
        <w:t xml:space="preserve"> März 2016, Halle 6.1, Stand 119</w:t>
      </w:r>
      <w:bookmarkStart w:id="0" w:name="_GoBack"/>
      <w:bookmarkEnd w:id="0"/>
    </w:p>
    <w:p w14:paraId="7D0B8087" w14:textId="77777777" w:rsidR="00BE17A6" w:rsidRPr="00052555" w:rsidRDefault="00BE17A6" w:rsidP="00BE17A6">
      <w:pPr>
        <w:spacing w:line="280" w:lineRule="exact"/>
        <w:outlineLvl w:val="0"/>
        <w:rPr>
          <w:rFonts w:ascii="Arial" w:eastAsia="Arial Unicode MS" w:hAnsi="Arial"/>
          <w:b/>
          <w:color w:val="000000"/>
          <w:sz w:val="28"/>
          <w:u w:color="000000"/>
        </w:rPr>
      </w:pPr>
    </w:p>
    <w:p w14:paraId="3D4EB4A7" w14:textId="77777777" w:rsidR="00BE17A6" w:rsidRPr="00052555" w:rsidRDefault="00BE17A6" w:rsidP="00BE17A6">
      <w:pPr>
        <w:spacing w:line="280" w:lineRule="exact"/>
        <w:ind w:right="-1276"/>
        <w:outlineLvl w:val="0"/>
        <w:rPr>
          <w:rFonts w:ascii="Arial" w:eastAsia="Arial Unicode MS" w:hAnsi="Arial"/>
          <w:b/>
          <w:color w:val="000000"/>
          <w:sz w:val="28"/>
          <w:u w:color="000000"/>
        </w:rPr>
      </w:pPr>
      <w:r>
        <w:rPr>
          <w:rFonts w:ascii="Arial" w:eastAsia="Arial Unicode MS" w:hAnsi="Arial"/>
          <w:b/>
          <w:color w:val="000000"/>
          <w:sz w:val="28"/>
          <w:u w:color="000000"/>
        </w:rPr>
        <w:t>Zusammenhänge in Echtzeit erkennen</w:t>
      </w:r>
    </w:p>
    <w:p w14:paraId="0F753D04" w14:textId="77777777" w:rsidR="00BE17A6" w:rsidRPr="00052555" w:rsidRDefault="00BE17A6" w:rsidP="00BE17A6">
      <w:pPr>
        <w:tabs>
          <w:tab w:val="left" w:pos="7797"/>
        </w:tabs>
        <w:spacing w:line="280" w:lineRule="exact"/>
        <w:ind w:right="-567"/>
        <w:outlineLvl w:val="0"/>
        <w:rPr>
          <w:rFonts w:ascii="Arial" w:eastAsia="Arial Unicode MS" w:hAnsi="Arial"/>
          <w:color w:val="000000"/>
          <w:sz w:val="20"/>
          <w:u w:color="000000"/>
        </w:rPr>
      </w:pPr>
      <w:r>
        <w:rPr>
          <w:rFonts w:ascii="Arial" w:eastAsia="Arial Unicode MS" w:hAnsi="Arial"/>
          <w:color w:val="000000"/>
          <w:sz w:val="20"/>
          <w:u w:color="000000"/>
        </w:rPr>
        <w:t>Wilken Destinationsmonitor liefert Metasicht auf Kennzahlen verschiedener Anwendungen zur schnellen Entscheidungsfindung</w:t>
      </w:r>
    </w:p>
    <w:p w14:paraId="1FB28DD5" w14:textId="77777777" w:rsidR="00BE17A6" w:rsidRPr="00052555" w:rsidRDefault="00BE17A6" w:rsidP="00BE17A6">
      <w:pPr>
        <w:spacing w:line="280" w:lineRule="exact"/>
        <w:ind w:right="-1"/>
        <w:outlineLvl w:val="0"/>
        <w:rPr>
          <w:rFonts w:ascii="Arial" w:eastAsia="Arial Unicode MS" w:hAnsi="Arial"/>
          <w:color w:val="000000"/>
          <w:sz w:val="20"/>
          <w:u w:color="000000"/>
        </w:rPr>
      </w:pPr>
    </w:p>
    <w:p w14:paraId="1FF7F3E1" w14:textId="77777777" w:rsidR="00BE17A6" w:rsidRPr="00BE17A6" w:rsidRDefault="00BE17A6" w:rsidP="00BE17A6">
      <w:pPr>
        <w:spacing w:line="360" w:lineRule="auto"/>
        <w:ind w:right="-426"/>
        <w:rPr>
          <w:rFonts w:ascii="Helvetica" w:hAnsi="Helvetica" w:cs="Helvetica"/>
          <w:b/>
          <w:bCs/>
          <w:sz w:val="20"/>
        </w:rPr>
      </w:pPr>
      <w:r w:rsidRPr="00BE17A6">
        <w:rPr>
          <w:rFonts w:ascii="Helvetica" w:hAnsi="Helvetica" w:cs="Helvetica"/>
          <w:b/>
          <w:bCs/>
          <w:sz w:val="20"/>
        </w:rPr>
        <w:t>Um ihren Erfolg aktiv steuern zu können, benötigen Tourismusorganisationen und Gemeinden heute mehr als Statistiken und Tourismusberichte, welche die Entwicklung der Destination lediglich rückwirkend aufzeigen. Der Software-Hersteller Wilken zeigt an der diesjährigen ITB deshalb zum ersten Mal den Wilken Destinationsmonitor. Die Lösung liefert eine Metasicht auf Kennzahlen verschiedener Anwendungen und Bereiche und ermöglicht so Destinationsmanagement-Organisationen (DMO) zu jedem Zeitpunkt, Zusammenhänge ungeschminkt zu erkennen und ad-hoc Entscheidungen zu treffen. Mit dem Destinationsmonitor lassen sich je nach Bedarf entsprechende Dashboards erstellen, die vollautomatisiert und in Echtzeit dem Management und auf operativer Ebene aufzeigen, ob und wo ein Eingreifen nötig ist. Die Plattform ermöglicht aber auch, Erfolge qualitativ zu messen, indem beispielsweise Kundenzufriedenheit, Akzeptanz, Leistungsnutzung, Wiederkehrquote der Gäste etc. sichtbar gemacht werden. Darüber hinaus zeigt Wilken auf der ITB die Destinations-App des Kooperationspartners ThePeople.de</w:t>
      </w:r>
      <w:r>
        <w:rPr>
          <w:rFonts w:ascii="Helvetica" w:hAnsi="Helvetica" w:cs="Helvetica"/>
          <w:b/>
          <w:bCs/>
          <w:sz w:val="20"/>
        </w:rPr>
        <w:t>,</w:t>
      </w:r>
      <w:r w:rsidRPr="00BE17A6">
        <w:rPr>
          <w:rFonts w:ascii="Helvetica" w:hAnsi="Helvetica" w:cs="Helvetica"/>
          <w:b/>
          <w:bCs/>
          <w:sz w:val="20"/>
        </w:rPr>
        <w:t xml:space="preserve"> die aktuellen Versionen seiner Tourismusanwendungen zur Kundengewinnung und Kundenbindung</w:t>
      </w:r>
      <w:r>
        <w:rPr>
          <w:rFonts w:ascii="Helvetica" w:hAnsi="Helvetica" w:cs="Helvetica"/>
          <w:b/>
          <w:bCs/>
          <w:sz w:val="20"/>
        </w:rPr>
        <w:t xml:space="preserve"> </w:t>
      </w:r>
      <w:r w:rsidRPr="00BE17A6">
        <w:rPr>
          <w:rFonts w:ascii="Helvetica" w:hAnsi="Helvetica" w:cs="Helvetica"/>
          <w:b/>
          <w:bCs/>
          <w:sz w:val="20"/>
        </w:rPr>
        <w:t xml:space="preserve">Wilken </w:t>
      </w:r>
      <w:proofErr w:type="spellStart"/>
      <w:r w:rsidRPr="00BE17A6">
        <w:rPr>
          <w:rFonts w:ascii="Helvetica" w:hAnsi="Helvetica" w:cs="Helvetica"/>
          <w:b/>
          <w:bCs/>
          <w:sz w:val="20"/>
        </w:rPr>
        <w:t>SmartCard</w:t>
      </w:r>
      <w:proofErr w:type="spellEnd"/>
      <w:r w:rsidRPr="00BE17A6">
        <w:rPr>
          <w:rFonts w:ascii="Helvetica" w:hAnsi="Helvetica" w:cs="Helvetica"/>
          <w:b/>
          <w:bCs/>
          <w:sz w:val="20"/>
        </w:rPr>
        <w:t xml:space="preserve"> und Wilken E-Marketing Suite sowie das Modul Wilken Meldeschein- und Kurtaxenabrechnung.</w:t>
      </w:r>
    </w:p>
    <w:p w14:paraId="0653CDDE" w14:textId="77777777" w:rsidR="00BE17A6" w:rsidRDefault="00BE17A6" w:rsidP="00BE17A6">
      <w:pPr>
        <w:spacing w:line="360" w:lineRule="auto"/>
        <w:ind w:right="-426"/>
        <w:rPr>
          <w:rFonts w:ascii="Helvetica" w:hAnsi="Helvetica" w:cs="Helvetica"/>
          <w:b/>
          <w:bCs/>
          <w:sz w:val="20"/>
        </w:rPr>
      </w:pPr>
    </w:p>
    <w:p w14:paraId="580D69EE" w14:textId="77777777" w:rsidR="00BE17A6" w:rsidRDefault="00BE17A6" w:rsidP="00BE17A6">
      <w:pPr>
        <w:spacing w:line="360" w:lineRule="auto"/>
        <w:ind w:right="-426"/>
        <w:rPr>
          <w:rFonts w:ascii="Helvetica" w:hAnsi="Helvetica" w:cs="Helvetica"/>
          <w:bCs/>
          <w:sz w:val="20"/>
        </w:rPr>
      </w:pPr>
      <w:r>
        <w:rPr>
          <w:rFonts w:ascii="Helvetica" w:hAnsi="Helvetica" w:cs="Helvetica"/>
          <w:bCs/>
          <w:sz w:val="20"/>
        </w:rPr>
        <w:t xml:space="preserve">Destinationen müssen heute in der Lage sein, aktuelle Informationen aus unterschiedlichen Quellen in Zusammenhänge zu bringen. Nur so können Entscheidungen getroffen werden, mit denen aktiv das Service- und Urlaubsgefühl des Gastes gesteuert werden kann. Diese Analysen sind indes zeitaufwändig und fehleranfällig, weil mit manuellen Prozessen verbunden oder technisch bislang überhaupt nicht möglich. Hier liefert der Wilken Destinationsmonitor Abhilfe. Die Lösung ermöglicht – auch unter Einbezug externer Datenquellen wie beispielsweise Wetterinformationen – den notwendigen Überblick, um Gründe für Entwicklungen, wie etwa unerwartet sinkende Übernachtungszahlen, aufzuzeigen. Die Daten stehen dabei jederzeit „live“ in Echtzeit auch unterwegs auf mobilen Endgeräten zur Verfügung. </w:t>
      </w:r>
    </w:p>
    <w:p w14:paraId="15A5B6B7" w14:textId="77777777" w:rsidR="00BE17A6" w:rsidRDefault="00BE17A6" w:rsidP="00BE17A6">
      <w:pPr>
        <w:spacing w:line="360" w:lineRule="auto"/>
        <w:ind w:right="-426"/>
        <w:rPr>
          <w:rFonts w:ascii="Helvetica" w:hAnsi="Helvetica" w:cs="Helvetica"/>
          <w:bCs/>
          <w:sz w:val="20"/>
        </w:rPr>
      </w:pPr>
    </w:p>
    <w:p w14:paraId="115F4980" w14:textId="77777777" w:rsidR="00BE17A6" w:rsidRPr="00FC0443" w:rsidRDefault="00BE17A6" w:rsidP="00BE17A6">
      <w:pPr>
        <w:spacing w:line="360" w:lineRule="auto"/>
        <w:ind w:right="-426"/>
        <w:rPr>
          <w:rFonts w:ascii="Helvetica" w:hAnsi="Helvetica" w:cs="Helvetica"/>
          <w:b/>
          <w:bCs/>
          <w:sz w:val="20"/>
        </w:rPr>
      </w:pPr>
      <w:r w:rsidRPr="00FC0443">
        <w:rPr>
          <w:rFonts w:ascii="Helvetica" w:hAnsi="Helvetica" w:cs="Helvetica"/>
          <w:b/>
          <w:bCs/>
          <w:sz w:val="20"/>
        </w:rPr>
        <w:t>Mobile Applikationen</w:t>
      </w:r>
    </w:p>
    <w:p w14:paraId="0F935DC3" w14:textId="77777777" w:rsidR="00BE17A6" w:rsidRDefault="00BE17A6" w:rsidP="00BE17A6">
      <w:pPr>
        <w:spacing w:line="360" w:lineRule="auto"/>
        <w:ind w:right="-426"/>
        <w:rPr>
          <w:rFonts w:ascii="Helvetica" w:hAnsi="Helvetica" w:cs="Helvetica"/>
          <w:bCs/>
          <w:sz w:val="20"/>
        </w:rPr>
      </w:pPr>
      <w:r>
        <w:rPr>
          <w:rFonts w:ascii="Helvetica" w:hAnsi="Helvetica" w:cs="Helvetica"/>
          <w:bCs/>
          <w:sz w:val="20"/>
        </w:rPr>
        <w:t xml:space="preserve">Am Wilken-Stand ist zudem der neue Wilken-Kooperationspartner </w:t>
      </w:r>
      <w:r w:rsidRPr="00BE17A6">
        <w:rPr>
          <w:rFonts w:ascii="Helvetica" w:hAnsi="Helvetica" w:cs="Helvetica"/>
          <w:bCs/>
          <w:sz w:val="20"/>
        </w:rPr>
        <w:t>ThePeople.de vertreten. Aktivitäten der Gäste werden in der Destinations-App der Spezialisten für mobile Kommunikation aufgezeichnet und in der Wilken E-Marketing Suite gespeichert</w:t>
      </w:r>
      <w:r>
        <w:rPr>
          <w:rFonts w:ascii="Helvetica" w:hAnsi="Helvetica" w:cs="Helvetica"/>
          <w:bCs/>
          <w:sz w:val="20"/>
        </w:rPr>
        <w:t>. Das Zusammenspiel der App mit der E-Marketing Suite von Wilken eröffnet dabei völlig neue Dialog-Chancen, etwa indem direkt aus der E-Marketing-Suite vollautomatisiert und dabei stets hochgradig personalisiert Push-Nachrichten in die App auf das Smartphone des Gastes geschickt werden können.</w:t>
      </w:r>
    </w:p>
    <w:p w14:paraId="2380C667" w14:textId="77777777" w:rsidR="00BE17A6" w:rsidRDefault="00BE17A6" w:rsidP="00BE17A6">
      <w:pPr>
        <w:spacing w:line="360" w:lineRule="auto"/>
        <w:ind w:right="-426"/>
        <w:rPr>
          <w:rFonts w:ascii="Helvetica" w:hAnsi="Helvetica" w:cs="Helvetica"/>
          <w:bCs/>
          <w:sz w:val="20"/>
        </w:rPr>
      </w:pPr>
    </w:p>
    <w:p w14:paraId="1E48189D" w14:textId="77777777" w:rsidR="00BE17A6" w:rsidRPr="00362C74" w:rsidRDefault="00BE17A6" w:rsidP="00BE17A6">
      <w:pPr>
        <w:spacing w:line="360" w:lineRule="auto"/>
        <w:rPr>
          <w:rFonts w:ascii="Helvetica" w:hAnsi="Helvetica" w:cs="Arial"/>
          <w:b/>
          <w:sz w:val="20"/>
        </w:rPr>
      </w:pPr>
      <w:r w:rsidRPr="00362C74">
        <w:rPr>
          <w:rFonts w:ascii="Helvetica" w:hAnsi="Helvetica" w:cs="Arial"/>
          <w:b/>
          <w:sz w:val="20"/>
        </w:rPr>
        <w:t>Wilken E-Marketing Suite</w:t>
      </w:r>
    </w:p>
    <w:p w14:paraId="4EE5058B" w14:textId="77777777" w:rsidR="00BE17A6" w:rsidRDefault="00BE17A6" w:rsidP="00BE17A6">
      <w:pPr>
        <w:spacing w:line="360" w:lineRule="auto"/>
        <w:rPr>
          <w:rFonts w:ascii="Helvetica" w:hAnsi="Helvetica" w:cs="Arial"/>
          <w:sz w:val="20"/>
        </w:rPr>
      </w:pPr>
      <w:r w:rsidRPr="00362C74">
        <w:rPr>
          <w:rFonts w:ascii="Helvetica" w:hAnsi="Helvetica" w:cs="Arial"/>
          <w:sz w:val="20"/>
        </w:rPr>
        <w:t>Die Wilken E-Marketing Suite ist ein</w:t>
      </w:r>
      <w:r>
        <w:rPr>
          <w:rFonts w:ascii="Helvetica" w:hAnsi="Helvetica" w:cs="Arial"/>
          <w:sz w:val="20"/>
        </w:rPr>
        <w:t>e CRM-Gesamtlösung für den Tourismus</w:t>
      </w:r>
      <w:r w:rsidRPr="00362C74">
        <w:rPr>
          <w:rFonts w:ascii="Helvetica" w:hAnsi="Helvetica" w:cs="Arial"/>
          <w:sz w:val="20"/>
        </w:rPr>
        <w:t xml:space="preserve">, welches </w:t>
      </w:r>
      <w:r>
        <w:rPr>
          <w:rFonts w:ascii="Helvetica" w:hAnsi="Helvetica" w:cs="Arial"/>
          <w:sz w:val="20"/>
        </w:rPr>
        <w:t xml:space="preserve">hoch individuelle digitale Kommunikation nutzt, um das Service-Erlebnis vor Ort zu optimieren. </w:t>
      </w:r>
      <w:r w:rsidRPr="00362C74">
        <w:rPr>
          <w:rFonts w:ascii="Helvetica" w:hAnsi="Helvetica" w:cs="Arial"/>
          <w:sz w:val="20"/>
        </w:rPr>
        <w:t xml:space="preserve">Als Grundlage dafür werden Verhaltensweisen (z.B. Klicks, Bestellungen oder Anfragen) ausgewertet und daraus Interessensprofile, wie z.B. „sportinteressiert” oder „Schnäppchenjäger”, abgeleitet. Die Erstellung </w:t>
      </w:r>
      <w:r>
        <w:rPr>
          <w:rFonts w:ascii="Helvetica" w:hAnsi="Helvetica" w:cs="Arial"/>
          <w:sz w:val="20"/>
        </w:rPr>
        <w:t>einer</w:t>
      </w:r>
      <w:r w:rsidRPr="00362C74">
        <w:rPr>
          <w:rFonts w:ascii="Helvetica" w:hAnsi="Helvetica" w:cs="Arial"/>
          <w:sz w:val="20"/>
        </w:rPr>
        <w:t xml:space="preserve"> </w:t>
      </w:r>
      <w:r>
        <w:rPr>
          <w:rFonts w:ascii="Helvetica" w:hAnsi="Helvetica" w:cs="Arial"/>
          <w:sz w:val="20"/>
        </w:rPr>
        <w:t xml:space="preserve">Kampagne </w:t>
      </w:r>
      <w:r w:rsidRPr="00362C74">
        <w:rPr>
          <w:rFonts w:ascii="Helvetica" w:hAnsi="Helvetica" w:cs="Arial"/>
          <w:sz w:val="20"/>
        </w:rPr>
        <w:t xml:space="preserve">ist durch den WYSIWYG-Editor inklusive Sofortvorschau kinderleicht. Des Weiteren bietet die Wilken E-Marketing Suite </w:t>
      </w:r>
      <w:r>
        <w:rPr>
          <w:rFonts w:ascii="Helvetica" w:hAnsi="Helvetica" w:cs="Arial"/>
          <w:sz w:val="20"/>
        </w:rPr>
        <w:t>für die Kernprozesse einer DMO verschiedene weitere Funktionen</w:t>
      </w:r>
      <w:r w:rsidRPr="00362C74">
        <w:rPr>
          <w:rFonts w:ascii="Helvetica" w:hAnsi="Helvetica" w:cs="Arial"/>
          <w:sz w:val="20"/>
        </w:rPr>
        <w:t xml:space="preserve"> – hierzu gehören </w:t>
      </w:r>
      <w:r>
        <w:rPr>
          <w:rFonts w:ascii="Helvetica" w:hAnsi="Helvetica" w:cs="Arial"/>
          <w:sz w:val="20"/>
        </w:rPr>
        <w:t>d</w:t>
      </w:r>
      <w:r w:rsidRPr="00362C74">
        <w:rPr>
          <w:rFonts w:ascii="Helvetica" w:hAnsi="Helvetica" w:cs="Arial"/>
          <w:sz w:val="20"/>
        </w:rPr>
        <w:t xml:space="preserve">as integrierte Management von eingehenden E-Mails, das Validieren </w:t>
      </w:r>
      <w:r w:rsidRPr="0028431D">
        <w:rPr>
          <w:rFonts w:ascii="Helvetica" w:hAnsi="Helvetica" w:cs="Arial"/>
          <w:sz w:val="20"/>
        </w:rPr>
        <w:t>von postalischen Daten</w:t>
      </w:r>
      <w:r>
        <w:rPr>
          <w:rFonts w:ascii="Helvetica" w:hAnsi="Helvetica" w:cs="Arial"/>
          <w:sz w:val="20"/>
        </w:rPr>
        <w:t xml:space="preserve"> und ein vollständiges Prospektmanagement</w:t>
      </w:r>
      <w:r w:rsidRPr="0028431D">
        <w:rPr>
          <w:rFonts w:ascii="Helvetica" w:hAnsi="Helvetica" w:cs="Arial"/>
          <w:sz w:val="20"/>
        </w:rPr>
        <w:t xml:space="preserve">. Derzeit nutzen mehr als </w:t>
      </w:r>
      <w:r>
        <w:rPr>
          <w:rFonts w:ascii="Helvetica" w:hAnsi="Helvetica" w:cs="Arial"/>
          <w:sz w:val="20"/>
        </w:rPr>
        <w:t>160</w:t>
      </w:r>
      <w:r w:rsidRPr="0028431D">
        <w:rPr>
          <w:rFonts w:ascii="Helvetica" w:hAnsi="Helvetica" w:cs="Arial"/>
          <w:sz w:val="20"/>
        </w:rPr>
        <w:t xml:space="preserve"> Tourismusdestinationen a</w:t>
      </w:r>
      <w:r>
        <w:rPr>
          <w:rFonts w:ascii="Helvetica" w:hAnsi="Helvetica" w:cs="Arial"/>
          <w:sz w:val="20"/>
        </w:rPr>
        <w:t>us Deutschland, Österreich, Slow</w:t>
      </w:r>
      <w:r w:rsidRPr="0028431D">
        <w:rPr>
          <w:rFonts w:ascii="Helvetica" w:hAnsi="Helvetica" w:cs="Arial"/>
          <w:sz w:val="20"/>
        </w:rPr>
        <w:t>enien und der Schweiz</w:t>
      </w:r>
      <w:r w:rsidRPr="00362C74">
        <w:rPr>
          <w:rFonts w:ascii="Helvetica" w:hAnsi="Helvetica" w:cs="Arial"/>
          <w:sz w:val="20"/>
        </w:rPr>
        <w:t xml:space="preserve"> die Wilken E-Marketing Suite. </w:t>
      </w:r>
    </w:p>
    <w:p w14:paraId="43127C6A" w14:textId="77777777" w:rsidR="00BE17A6" w:rsidRDefault="00BE17A6" w:rsidP="00BE17A6">
      <w:pPr>
        <w:spacing w:line="360" w:lineRule="auto"/>
        <w:rPr>
          <w:rFonts w:ascii="Helvetica" w:hAnsi="Helvetica" w:cs="Arial"/>
          <w:sz w:val="20"/>
        </w:rPr>
      </w:pPr>
    </w:p>
    <w:p w14:paraId="373BBCF5" w14:textId="77777777" w:rsidR="00BE17A6" w:rsidRPr="002F50CD" w:rsidRDefault="00BE17A6" w:rsidP="00BE17A6">
      <w:pPr>
        <w:spacing w:line="360" w:lineRule="auto"/>
        <w:rPr>
          <w:rFonts w:ascii="Helvetica" w:hAnsi="Helvetica" w:cs="Arial"/>
          <w:b/>
          <w:sz w:val="20"/>
        </w:rPr>
      </w:pPr>
      <w:r>
        <w:rPr>
          <w:rFonts w:ascii="Helvetica" w:hAnsi="Helvetica" w:cs="Arial"/>
          <w:b/>
          <w:sz w:val="20"/>
        </w:rPr>
        <w:t xml:space="preserve">Wilken </w:t>
      </w:r>
      <w:proofErr w:type="spellStart"/>
      <w:r>
        <w:rPr>
          <w:rFonts w:ascii="Helvetica" w:hAnsi="Helvetica" w:cs="Arial"/>
          <w:b/>
          <w:sz w:val="20"/>
        </w:rPr>
        <w:t>SmartCard</w:t>
      </w:r>
      <w:proofErr w:type="spellEnd"/>
    </w:p>
    <w:p w14:paraId="09CCE3AA" w14:textId="77777777" w:rsidR="00BE17A6" w:rsidRDefault="00BE17A6" w:rsidP="00BE17A6">
      <w:pPr>
        <w:spacing w:line="360" w:lineRule="auto"/>
        <w:rPr>
          <w:rFonts w:ascii="Helvetica" w:hAnsi="Helvetica" w:cs="Arial"/>
          <w:sz w:val="20"/>
        </w:rPr>
      </w:pPr>
      <w:r w:rsidRPr="006456A9">
        <w:rPr>
          <w:rFonts w:ascii="Helvetica" w:hAnsi="Helvetica" w:cs="Arial"/>
          <w:sz w:val="20"/>
        </w:rPr>
        <w:t>Mit der Mehrwertkarten-Lösung Wilken</w:t>
      </w:r>
      <w:r>
        <w:rPr>
          <w:rFonts w:ascii="Helvetica" w:hAnsi="Helvetica" w:cs="Arial"/>
          <w:sz w:val="20"/>
        </w:rPr>
        <w:t xml:space="preserve"> </w:t>
      </w:r>
      <w:proofErr w:type="spellStart"/>
      <w:r>
        <w:rPr>
          <w:rFonts w:ascii="Helvetica" w:hAnsi="Helvetica" w:cs="Arial"/>
          <w:sz w:val="20"/>
        </w:rPr>
        <w:t>SmartCard</w:t>
      </w:r>
      <w:proofErr w:type="spellEnd"/>
      <w:r w:rsidRPr="006456A9">
        <w:rPr>
          <w:rFonts w:ascii="Helvetica" w:hAnsi="Helvetica" w:cs="Arial"/>
          <w:sz w:val="20"/>
        </w:rPr>
        <w:t xml:space="preserve"> lassen sich neue, gastfreundliche Tourismusangebote umsetzen, wie etwa ein im Übernachtungspreis inbegriffener oder v</w:t>
      </w:r>
      <w:r w:rsidRPr="00F1535C">
        <w:rPr>
          <w:rFonts w:ascii="Helvetica" w:hAnsi="Helvetica" w:cs="Arial"/>
          <w:sz w:val="20"/>
        </w:rPr>
        <w:t xml:space="preserve">ergünstigter Zugang zu lokalen </w:t>
      </w:r>
      <w:r w:rsidRPr="00465A83">
        <w:rPr>
          <w:rFonts w:ascii="Helvetica" w:hAnsi="Helvetica" w:cs="Arial"/>
          <w:sz w:val="20"/>
        </w:rPr>
        <w:t xml:space="preserve">Angeboten wie Schwimmbädern oder Skiliften. </w:t>
      </w:r>
      <w:r>
        <w:rPr>
          <w:rFonts w:ascii="Helvetica" w:hAnsi="Helvetica" w:cs="Arial"/>
          <w:sz w:val="20"/>
        </w:rPr>
        <w:t xml:space="preserve">Dabei besticht die Wilken </w:t>
      </w:r>
      <w:proofErr w:type="spellStart"/>
      <w:r>
        <w:rPr>
          <w:rFonts w:ascii="Helvetica" w:hAnsi="Helvetica" w:cs="Arial"/>
          <w:sz w:val="20"/>
        </w:rPr>
        <w:t>SmartCard</w:t>
      </w:r>
      <w:proofErr w:type="spellEnd"/>
      <w:r>
        <w:rPr>
          <w:rFonts w:ascii="Helvetica" w:hAnsi="Helvetica" w:cs="Arial"/>
          <w:sz w:val="20"/>
        </w:rPr>
        <w:t xml:space="preserve"> durch ihr vielseitiges Können: Die Karte ist nicht nur Identifikationsmedium, sondern wird für den Gast zum universalen „Zahlungsmittel“, während im Hintergrund die Abrechnungssoftware das Clearing erledigt und die Geschäftsvorfälle einer unbegrenzten Zahl von Anbietern transparent abbildet. Zum System mit CRM-Grundfunktionalitäten gehören selbstverständlich auch die Schnittstellen zu den Terminals und die Kartenrohlinge. Wilken übernimmt zudem</w:t>
      </w:r>
      <w:r w:rsidRPr="006456A9">
        <w:rPr>
          <w:rFonts w:ascii="Helvetica" w:hAnsi="Helvetica" w:cs="Arial"/>
          <w:sz w:val="20"/>
        </w:rPr>
        <w:t xml:space="preserve"> auf Wunsch die Kartenproduktion, die Bereitstellung und Wartung der Terminals </w:t>
      </w:r>
      <w:r>
        <w:rPr>
          <w:rFonts w:ascii="Helvetica" w:hAnsi="Helvetica" w:cs="Arial"/>
          <w:sz w:val="20"/>
        </w:rPr>
        <w:t>sowie</w:t>
      </w:r>
      <w:r w:rsidRPr="006456A9">
        <w:rPr>
          <w:rFonts w:ascii="Helvetica" w:hAnsi="Helvetica" w:cs="Arial"/>
          <w:sz w:val="20"/>
        </w:rPr>
        <w:t xml:space="preserve"> das Hosting des Systems. </w:t>
      </w:r>
    </w:p>
    <w:p w14:paraId="1446B060" w14:textId="77777777" w:rsidR="00BE17A6" w:rsidRDefault="00BE17A6" w:rsidP="00BE17A6">
      <w:pPr>
        <w:spacing w:line="360" w:lineRule="auto"/>
        <w:rPr>
          <w:rFonts w:ascii="Helvetica" w:hAnsi="Helvetica" w:cs="Arial"/>
          <w:sz w:val="20"/>
        </w:rPr>
      </w:pPr>
    </w:p>
    <w:p w14:paraId="76E90E84" w14:textId="77777777" w:rsidR="00BE17A6" w:rsidRPr="00FC0443" w:rsidRDefault="00BE17A6" w:rsidP="00BE17A6">
      <w:pPr>
        <w:spacing w:line="360" w:lineRule="auto"/>
        <w:rPr>
          <w:rFonts w:ascii="Helvetica" w:hAnsi="Helvetica" w:cs="Arial"/>
          <w:sz w:val="20"/>
        </w:rPr>
      </w:pPr>
    </w:p>
    <w:p w14:paraId="65DECE45" w14:textId="77777777" w:rsidR="00BE17A6" w:rsidRPr="00330B84" w:rsidRDefault="00BE17A6" w:rsidP="00BE17A6">
      <w:pPr>
        <w:spacing w:line="360" w:lineRule="auto"/>
        <w:rPr>
          <w:rFonts w:ascii="Helvetica" w:hAnsi="Helvetica" w:cs="Helvetica"/>
          <w:b/>
          <w:bCs/>
          <w:sz w:val="20"/>
        </w:rPr>
      </w:pPr>
      <w:r w:rsidRPr="00330B84">
        <w:rPr>
          <w:rFonts w:ascii="Helvetica" w:hAnsi="Helvetica" w:cs="Helvetica"/>
          <w:b/>
          <w:bCs/>
          <w:sz w:val="20"/>
        </w:rPr>
        <w:t>Elektroni</w:t>
      </w:r>
      <w:r>
        <w:rPr>
          <w:rFonts w:ascii="Helvetica" w:hAnsi="Helvetica" w:cs="Helvetica"/>
          <w:b/>
          <w:bCs/>
          <w:sz w:val="20"/>
        </w:rPr>
        <w:t>s</w:t>
      </w:r>
      <w:r w:rsidRPr="00330B84">
        <w:rPr>
          <w:rFonts w:ascii="Helvetica" w:hAnsi="Helvetica" w:cs="Helvetica"/>
          <w:b/>
          <w:bCs/>
          <w:sz w:val="20"/>
        </w:rPr>
        <w:t>ches Meldewesen und Kurtaxenabrechnung</w:t>
      </w:r>
    </w:p>
    <w:p w14:paraId="2F9C11B2" w14:textId="77777777" w:rsidR="00BE17A6" w:rsidRDefault="00BE17A6" w:rsidP="00BE17A6">
      <w:pPr>
        <w:spacing w:line="360" w:lineRule="auto"/>
        <w:rPr>
          <w:rFonts w:ascii="Helvetica" w:hAnsi="Helvetica" w:cs="Helvetica"/>
          <w:bCs/>
          <w:sz w:val="20"/>
        </w:rPr>
      </w:pPr>
      <w:r>
        <w:rPr>
          <w:rFonts w:ascii="Helvetica" w:hAnsi="Helvetica" w:cs="Helvetica"/>
          <w:bCs/>
          <w:sz w:val="20"/>
        </w:rPr>
        <w:t xml:space="preserve">Wilken zeigt an der ITB auch, wie </w:t>
      </w:r>
      <w:r w:rsidRPr="00330B84">
        <w:rPr>
          <w:rFonts w:ascii="Helvetica" w:hAnsi="Helvetica" w:cs="Helvetica"/>
          <w:bCs/>
          <w:sz w:val="20"/>
        </w:rPr>
        <w:t xml:space="preserve">wichtige Funktionalitäten </w:t>
      </w:r>
      <w:r>
        <w:rPr>
          <w:rFonts w:ascii="Helvetica" w:hAnsi="Helvetica" w:cs="Helvetica"/>
          <w:bCs/>
          <w:sz w:val="20"/>
        </w:rPr>
        <w:t>für</w:t>
      </w:r>
      <w:r w:rsidRPr="00330B84">
        <w:rPr>
          <w:rFonts w:ascii="Helvetica" w:hAnsi="Helvetica" w:cs="Helvetica"/>
          <w:bCs/>
          <w:sz w:val="20"/>
        </w:rPr>
        <w:t xml:space="preserve"> Kurverwaltungen </w:t>
      </w:r>
      <w:r>
        <w:rPr>
          <w:rFonts w:ascii="Helvetica" w:hAnsi="Helvetica" w:cs="Helvetica"/>
          <w:bCs/>
          <w:sz w:val="20"/>
        </w:rPr>
        <w:t>und Gemeinden in die Tourismuslösungen</w:t>
      </w:r>
      <w:r w:rsidRPr="00330B84">
        <w:rPr>
          <w:rFonts w:ascii="Helvetica" w:hAnsi="Helvetica" w:cs="Helvetica"/>
          <w:bCs/>
          <w:sz w:val="20"/>
        </w:rPr>
        <w:t xml:space="preserve"> </w:t>
      </w:r>
      <w:r>
        <w:rPr>
          <w:rFonts w:ascii="Helvetica" w:hAnsi="Helvetica" w:cs="Helvetica"/>
          <w:bCs/>
          <w:sz w:val="20"/>
        </w:rPr>
        <w:t xml:space="preserve">integriert werden können. Beispielsweise ist es möglich, </w:t>
      </w:r>
      <w:r w:rsidRPr="00330B84">
        <w:rPr>
          <w:rFonts w:ascii="Helvetica" w:hAnsi="Helvetica" w:cs="Helvetica"/>
          <w:bCs/>
          <w:sz w:val="20"/>
        </w:rPr>
        <w:t>Meldescheine elektronisch</w:t>
      </w:r>
      <w:r>
        <w:rPr>
          <w:rFonts w:ascii="Helvetica" w:hAnsi="Helvetica" w:cs="Helvetica"/>
          <w:bCs/>
          <w:sz w:val="20"/>
        </w:rPr>
        <w:t xml:space="preserve"> zu</w:t>
      </w:r>
      <w:r w:rsidRPr="00330B84">
        <w:rPr>
          <w:rFonts w:ascii="Helvetica" w:hAnsi="Helvetica" w:cs="Helvetica"/>
          <w:bCs/>
          <w:sz w:val="20"/>
        </w:rPr>
        <w:t xml:space="preserve"> erfass</w:t>
      </w:r>
      <w:r>
        <w:rPr>
          <w:rFonts w:ascii="Helvetica" w:hAnsi="Helvetica" w:cs="Helvetica"/>
          <w:bCs/>
          <w:sz w:val="20"/>
        </w:rPr>
        <w:t>en</w:t>
      </w:r>
      <w:r w:rsidRPr="00330B84">
        <w:rPr>
          <w:rFonts w:ascii="Helvetica" w:hAnsi="Helvetica" w:cs="Helvetica"/>
          <w:bCs/>
          <w:sz w:val="20"/>
        </w:rPr>
        <w:t xml:space="preserve"> und an die Gemeinden</w:t>
      </w:r>
      <w:r>
        <w:rPr>
          <w:rFonts w:ascii="Helvetica" w:hAnsi="Helvetica" w:cs="Helvetica"/>
          <w:bCs/>
          <w:sz w:val="20"/>
        </w:rPr>
        <w:t xml:space="preserve"> zu</w:t>
      </w:r>
      <w:r w:rsidRPr="00330B84">
        <w:rPr>
          <w:rFonts w:ascii="Helvetica" w:hAnsi="Helvetica" w:cs="Helvetica"/>
          <w:bCs/>
          <w:sz w:val="20"/>
        </w:rPr>
        <w:t xml:space="preserve"> ü</w:t>
      </w:r>
      <w:r>
        <w:rPr>
          <w:rFonts w:ascii="Helvetica" w:hAnsi="Helvetica" w:cs="Helvetica"/>
          <w:bCs/>
          <w:sz w:val="20"/>
        </w:rPr>
        <w:t>bermitteln. Darüber hinaus können</w:t>
      </w:r>
      <w:r w:rsidRPr="00330B84">
        <w:rPr>
          <w:rFonts w:ascii="Helvetica" w:hAnsi="Helvetica" w:cs="Helvetica"/>
          <w:bCs/>
          <w:sz w:val="20"/>
        </w:rPr>
        <w:t xml:space="preserve"> Abrechnungsdatensätze fü</w:t>
      </w:r>
      <w:r>
        <w:rPr>
          <w:rFonts w:ascii="Helvetica" w:hAnsi="Helvetica" w:cs="Helvetica"/>
          <w:bCs/>
          <w:sz w:val="20"/>
        </w:rPr>
        <w:t xml:space="preserve">r Kurtaxen, </w:t>
      </w:r>
      <w:r w:rsidRPr="00330B84">
        <w:rPr>
          <w:rFonts w:ascii="Helvetica" w:hAnsi="Helvetica" w:cs="Helvetica"/>
          <w:bCs/>
          <w:sz w:val="20"/>
        </w:rPr>
        <w:t>Fremdenverkehrsbeiträge und Zweitwoh</w:t>
      </w:r>
      <w:r>
        <w:rPr>
          <w:rFonts w:ascii="Helvetica" w:hAnsi="Helvetica" w:cs="Helvetica"/>
          <w:bCs/>
          <w:sz w:val="20"/>
        </w:rPr>
        <w:t xml:space="preserve">nungspauschalen sowie umfangreiche </w:t>
      </w:r>
      <w:proofErr w:type="spellStart"/>
      <w:r>
        <w:rPr>
          <w:rFonts w:ascii="Helvetica" w:hAnsi="Helvetica" w:cs="Helvetica"/>
          <w:bCs/>
          <w:sz w:val="20"/>
        </w:rPr>
        <w:t>Reportings</w:t>
      </w:r>
      <w:proofErr w:type="spellEnd"/>
      <w:r>
        <w:rPr>
          <w:rFonts w:ascii="Helvetica" w:hAnsi="Helvetica" w:cs="Helvetica"/>
          <w:bCs/>
          <w:sz w:val="20"/>
        </w:rPr>
        <w:t xml:space="preserve"> erzeugt werden. </w:t>
      </w:r>
      <w:r w:rsidRPr="00330B84">
        <w:rPr>
          <w:rFonts w:ascii="Helvetica" w:hAnsi="Helvetica" w:cs="Helvetica"/>
          <w:bCs/>
          <w:sz w:val="20"/>
        </w:rPr>
        <w:t xml:space="preserve">Die Abrechnungsdaten </w:t>
      </w:r>
      <w:r>
        <w:rPr>
          <w:rFonts w:ascii="Helvetica" w:hAnsi="Helvetica" w:cs="Helvetica"/>
          <w:bCs/>
          <w:sz w:val="20"/>
        </w:rPr>
        <w:t>gehen</w:t>
      </w:r>
      <w:r w:rsidRPr="00330B84">
        <w:rPr>
          <w:rFonts w:ascii="Helvetica" w:hAnsi="Helvetica" w:cs="Helvetica"/>
          <w:bCs/>
          <w:sz w:val="20"/>
        </w:rPr>
        <w:t xml:space="preserve"> </w:t>
      </w:r>
      <w:r>
        <w:rPr>
          <w:rFonts w:ascii="Helvetica" w:hAnsi="Helvetica" w:cs="Helvetica"/>
          <w:bCs/>
          <w:sz w:val="20"/>
        </w:rPr>
        <w:t xml:space="preserve">direkt </w:t>
      </w:r>
      <w:r w:rsidRPr="00330B84">
        <w:rPr>
          <w:rFonts w:ascii="Helvetica" w:hAnsi="Helvetica" w:cs="Helvetica"/>
          <w:bCs/>
          <w:sz w:val="20"/>
        </w:rPr>
        <w:t>an Drittsysteme, in denen</w:t>
      </w:r>
      <w:r>
        <w:rPr>
          <w:rFonts w:ascii="Helvetica" w:hAnsi="Helvetica" w:cs="Helvetica"/>
          <w:bCs/>
          <w:sz w:val="20"/>
        </w:rPr>
        <w:t xml:space="preserve"> daraufhin die Rechnungserstellung und der Belegdruck</w:t>
      </w:r>
      <w:r w:rsidRPr="00330B84">
        <w:rPr>
          <w:rFonts w:ascii="Helvetica" w:hAnsi="Helvetica" w:cs="Helvetica"/>
          <w:bCs/>
          <w:sz w:val="20"/>
        </w:rPr>
        <w:t xml:space="preserve"> erfolg</w:t>
      </w:r>
      <w:r>
        <w:rPr>
          <w:rFonts w:ascii="Helvetica" w:hAnsi="Helvetica" w:cs="Helvetica"/>
          <w:bCs/>
          <w:sz w:val="20"/>
        </w:rPr>
        <w:t>en</w:t>
      </w:r>
      <w:r w:rsidRPr="00330B84">
        <w:rPr>
          <w:rFonts w:ascii="Helvetica" w:hAnsi="Helvetica" w:cs="Helvetica"/>
          <w:bCs/>
          <w:sz w:val="20"/>
        </w:rPr>
        <w:t>.</w:t>
      </w:r>
      <w:r>
        <w:rPr>
          <w:rFonts w:ascii="Helvetica" w:hAnsi="Helvetica" w:cs="Helvetica"/>
          <w:bCs/>
          <w:sz w:val="20"/>
        </w:rPr>
        <w:t xml:space="preserve"> </w:t>
      </w:r>
    </w:p>
    <w:p w14:paraId="115FB155" w14:textId="77777777" w:rsidR="00BE17A6" w:rsidRDefault="00BE17A6" w:rsidP="00BE17A6">
      <w:pPr>
        <w:spacing w:line="360" w:lineRule="auto"/>
        <w:rPr>
          <w:rFonts w:ascii="Helvetica" w:hAnsi="Helvetica" w:cs="Arial"/>
          <w:sz w:val="20"/>
        </w:rPr>
      </w:pPr>
    </w:p>
    <w:tbl>
      <w:tblPr>
        <w:tblW w:w="8755" w:type="dxa"/>
        <w:tblLook w:val="04A0" w:firstRow="1" w:lastRow="0" w:firstColumn="1" w:lastColumn="0" w:noHBand="0" w:noVBand="1"/>
      </w:tblPr>
      <w:tblGrid>
        <w:gridCol w:w="3936"/>
        <w:gridCol w:w="4819"/>
      </w:tblGrid>
      <w:tr w:rsidR="00BE17A6" w:rsidRPr="00FE0030" w14:paraId="4CF703C3" w14:textId="77777777">
        <w:tc>
          <w:tcPr>
            <w:tcW w:w="3936" w:type="dxa"/>
            <w:shd w:val="clear" w:color="auto" w:fill="auto"/>
          </w:tcPr>
          <w:p w14:paraId="1F22D14A" w14:textId="77777777" w:rsidR="00BE17A6" w:rsidRPr="0028431D" w:rsidRDefault="00BE17A6" w:rsidP="00D22392">
            <w:pPr>
              <w:widowControl w:val="0"/>
              <w:tabs>
                <w:tab w:val="left" w:pos="2977"/>
                <w:tab w:val="left" w:pos="3969"/>
              </w:tabs>
              <w:autoSpaceDE w:val="0"/>
              <w:autoSpaceDN w:val="0"/>
              <w:adjustRightInd w:val="0"/>
              <w:ind w:right="176"/>
              <w:rPr>
                <w:rFonts w:ascii="Arial" w:hAnsi="Arial" w:cs="Calibri"/>
                <w:sz w:val="16"/>
                <w:szCs w:val="26"/>
                <w:lang w:eastAsia="de-DE"/>
              </w:rPr>
            </w:pPr>
            <w:r w:rsidRPr="0028431D">
              <w:rPr>
                <w:rFonts w:ascii="Arial" w:hAnsi="Arial" w:cs="Calibri"/>
                <w:b/>
                <w:sz w:val="16"/>
                <w:szCs w:val="26"/>
                <w:lang w:eastAsia="de-DE"/>
              </w:rPr>
              <w:t>Kontaktdaten:</w:t>
            </w:r>
          </w:p>
          <w:p w14:paraId="15C3BB55" w14:textId="77777777" w:rsidR="00BE17A6" w:rsidRPr="0028431D" w:rsidRDefault="00BE17A6" w:rsidP="00D22392">
            <w:pPr>
              <w:widowControl w:val="0"/>
              <w:tabs>
                <w:tab w:val="left" w:pos="2977"/>
                <w:tab w:val="left" w:pos="3969"/>
              </w:tabs>
              <w:autoSpaceDE w:val="0"/>
              <w:autoSpaceDN w:val="0"/>
              <w:adjustRightInd w:val="0"/>
              <w:ind w:right="176"/>
              <w:rPr>
                <w:rFonts w:ascii="Arial" w:hAnsi="Arial" w:cs="Calibri"/>
                <w:sz w:val="16"/>
                <w:szCs w:val="26"/>
                <w:lang w:eastAsia="de-DE"/>
              </w:rPr>
            </w:pPr>
            <w:r w:rsidRPr="0028431D">
              <w:rPr>
                <w:rFonts w:ascii="Arial" w:hAnsi="Arial" w:cs="Calibri"/>
                <w:sz w:val="16"/>
                <w:szCs w:val="26"/>
                <w:lang w:eastAsia="de-DE"/>
              </w:rPr>
              <w:t xml:space="preserve">Wilken GmbH – </w:t>
            </w:r>
            <w:r>
              <w:rPr>
                <w:rFonts w:ascii="Arial" w:hAnsi="Arial" w:cs="Calibri"/>
                <w:sz w:val="16"/>
                <w:szCs w:val="26"/>
                <w:lang w:eastAsia="de-DE"/>
              </w:rPr>
              <w:t>Sabine Franz</w:t>
            </w:r>
          </w:p>
          <w:p w14:paraId="10F66F3E" w14:textId="77777777" w:rsidR="00BE17A6" w:rsidRPr="0028431D" w:rsidRDefault="00BE17A6" w:rsidP="00D22392">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sidRPr="0028431D">
              <w:rPr>
                <w:rFonts w:ascii="Arial" w:hAnsi="Arial" w:cs="Calibri"/>
                <w:sz w:val="16"/>
                <w:szCs w:val="26"/>
                <w:lang w:eastAsia="de-DE"/>
              </w:rPr>
              <w:t>Hörvelsinger</w:t>
            </w:r>
            <w:proofErr w:type="spellEnd"/>
            <w:r w:rsidRPr="0028431D">
              <w:rPr>
                <w:rFonts w:ascii="Arial" w:hAnsi="Arial" w:cs="Calibri"/>
                <w:sz w:val="16"/>
                <w:szCs w:val="26"/>
                <w:lang w:eastAsia="de-DE"/>
              </w:rPr>
              <w:t xml:space="preserve"> Weg 29-31 – 89081 Ulm</w:t>
            </w:r>
            <w:r w:rsidRPr="0028431D">
              <w:rPr>
                <w:rFonts w:ascii="Arial" w:hAnsi="Arial" w:cs="Calibri"/>
                <w:sz w:val="16"/>
                <w:szCs w:val="26"/>
                <w:lang w:eastAsia="de-DE"/>
              </w:rPr>
              <w:tab/>
            </w:r>
          </w:p>
          <w:p w14:paraId="59165C50" w14:textId="77777777" w:rsidR="00BE17A6" w:rsidRPr="0028431D" w:rsidRDefault="00BE17A6" w:rsidP="00D22392">
            <w:pPr>
              <w:widowControl w:val="0"/>
              <w:tabs>
                <w:tab w:val="left" w:pos="2977"/>
                <w:tab w:val="left" w:pos="3969"/>
              </w:tabs>
              <w:autoSpaceDE w:val="0"/>
              <w:autoSpaceDN w:val="0"/>
              <w:adjustRightInd w:val="0"/>
              <w:ind w:right="176"/>
              <w:rPr>
                <w:rFonts w:ascii="Arial" w:hAnsi="Arial" w:cs="Calibri"/>
                <w:sz w:val="16"/>
                <w:szCs w:val="16"/>
                <w:lang w:eastAsia="de-DE"/>
              </w:rPr>
            </w:pPr>
            <w:r w:rsidRPr="0028431D">
              <w:rPr>
                <w:rFonts w:ascii="Arial" w:hAnsi="Arial" w:cs="Calibri"/>
                <w:sz w:val="16"/>
                <w:szCs w:val="16"/>
                <w:lang w:eastAsia="de-DE"/>
              </w:rPr>
              <w:t xml:space="preserve">Tel.: </w:t>
            </w:r>
            <w:r w:rsidRPr="0028431D">
              <w:rPr>
                <w:rFonts w:ascii="Arial" w:hAnsi="Arial" w:cs="Arial"/>
                <w:sz w:val="16"/>
                <w:szCs w:val="16"/>
                <w:lang w:eastAsia="de-DE"/>
              </w:rPr>
              <w:t>+49 7575 9389-30 -</w:t>
            </w:r>
            <w:r w:rsidRPr="0028431D">
              <w:rPr>
                <w:rFonts w:ascii="Arial" w:hAnsi="Arial" w:cs="Calibri"/>
                <w:sz w:val="16"/>
                <w:szCs w:val="16"/>
                <w:lang w:eastAsia="de-DE"/>
              </w:rPr>
              <w:t xml:space="preserve"> Fax: </w:t>
            </w:r>
            <w:r w:rsidRPr="0028431D">
              <w:rPr>
                <w:rFonts w:ascii="Arial" w:hAnsi="Arial" w:cs="Arial"/>
                <w:sz w:val="16"/>
                <w:szCs w:val="16"/>
                <w:lang w:eastAsia="de-DE"/>
              </w:rPr>
              <w:t>+49 7575 9389-20</w:t>
            </w:r>
          </w:p>
          <w:p w14:paraId="49E04B25" w14:textId="77777777" w:rsidR="00BE17A6" w:rsidRPr="0028431D" w:rsidRDefault="00A83511" w:rsidP="00D22392">
            <w:pPr>
              <w:widowControl w:val="0"/>
              <w:tabs>
                <w:tab w:val="left" w:pos="2977"/>
                <w:tab w:val="left" w:pos="3969"/>
              </w:tabs>
              <w:autoSpaceDE w:val="0"/>
              <w:autoSpaceDN w:val="0"/>
              <w:adjustRightInd w:val="0"/>
              <w:ind w:right="176"/>
              <w:rPr>
                <w:rFonts w:ascii="Arial" w:hAnsi="Arial" w:cs="Calibri"/>
                <w:sz w:val="16"/>
                <w:szCs w:val="26"/>
                <w:lang w:eastAsia="de-DE"/>
              </w:rPr>
            </w:pPr>
            <w:hyperlink r:id="rId6" w:history="1">
              <w:r w:rsidR="00BE17A6" w:rsidRPr="0028431D">
                <w:rPr>
                  <w:rFonts w:ascii="Arial" w:hAnsi="Arial" w:cs="Calibri"/>
                  <w:sz w:val="16"/>
                  <w:szCs w:val="26"/>
                  <w:lang w:eastAsia="de-DE"/>
                </w:rPr>
                <w:t>presse@wilken.de</w:t>
              </w:r>
            </w:hyperlink>
            <w:r w:rsidR="00BE17A6" w:rsidRPr="0028431D">
              <w:rPr>
                <w:rFonts w:ascii="Arial" w:hAnsi="Arial" w:cs="Calibri"/>
                <w:sz w:val="16"/>
                <w:szCs w:val="26"/>
                <w:lang w:eastAsia="de-DE"/>
              </w:rPr>
              <w:t xml:space="preserve"> </w:t>
            </w:r>
          </w:p>
          <w:p w14:paraId="3CAF9B5D" w14:textId="77777777" w:rsidR="00BE17A6" w:rsidRPr="00CC5FA6" w:rsidRDefault="00BE17A6" w:rsidP="00D22392">
            <w:pPr>
              <w:widowControl w:val="0"/>
              <w:tabs>
                <w:tab w:val="left" w:pos="2977"/>
                <w:tab w:val="left" w:pos="3969"/>
              </w:tabs>
              <w:autoSpaceDE w:val="0"/>
              <w:autoSpaceDN w:val="0"/>
              <w:adjustRightInd w:val="0"/>
              <w:ind w:right="176"/>
              <w:rPr>
                <w:rFonts w:ascii="Arial" w:hAnsi="Arial" w:cs="Calibri"/>
                <w:sz w:val="16"/>
                <w:szCs w:val="26"/>
                <w:lang w:eastAsia="de-DE"/>
              </w:rPr>
            </w:pPr>
            <w:r w:rsidRPr="0028431D">
              <w:rPr>
                <w:rFonts w:ascii="Arial" w:hAnsi="Arial" w:cs="Calibri"/>
                <w:sz w:val="16"/>
                <w:szCs w:val="26"/>
                <w:lang w:eastAsia="de-DE"/>
              </w:rPr>
              <w:t>www.wilken.de</w:t>
            </w:r>
          </w:p>
          <w:p w14:paraId="37E81F38" w14:textId="77777777" w:rsidR="00BE17A6" w:rsidRPr="00CC5FA6" w:rsidRDefault="00BE17A6" w:rsidP="00D22392">
            <w:pPr>
              <w:widowControl w:val="0"/>
              <w:tabs>
                <w:tab w:val="left" w:pos="2977"/>
                <w:tab w:val="left" w:pos="3969"/>
              </w:tabs>
              <w:autoSpaceDE w:val="0"/>
              <w:autoSpaceDN w:val="0"/>
              <w:adjustRightInd w:val="0"/>
              <w:ind w:right="176"/>
              <w:rPr>
                <w:rFonts w:ascii="Arial" w:hAnsi="Arial" w:cs="Calibri"/>
                <w:sz w:val="16"/>
                <w:szCs w:val="26"/>
                <w:lang w:eastAsia="de-DE"/>
              </w:rPr>
            </w:pPr>
          </w:p>
        </w:tc>
        <w:tc>
          <w:tcPr>
            <w:tcW w:w="4819" w:type="dxa"/>
            <w:shd w:val="clear" w:color="auto" w:fill="auto"/>
          </w:tcPr>
          <w:p w14:paraId="5F02786A" w14:textId="77777777" w:rsidR="00BE17A6" w:rsidRPr="00CC5FA6" w:rsidRDefault="00BE17A6" w:rsidP="00D22392">
            <w:pPr>
              <w:widowControl w:val="0"/>
              <w:tabs>
                <w:tab w:val="left" w:pos="2977"/>
              </w:tabs>
              <w:autoSpaceDE w:val="0"/>
              <w:autoSpaceDN w:val="0"/>
              <w:adjustRightInd w:val="0"/>
              <w:ind w:left="34" w:right="742"/>
              <w:rPr>
                <w:rFonts w:ascii="Arial" w:hAnsi="Arial" w:cs="Calibri"/>
                <w:b/>
                <w:sz w:val="16"/>
                <w:szCs w:val="26"/>
                <w:lang w:eastAsia="de-DE"/>
              </w:rPr>
            </w:pPr>
            <w:r w:rsidRPr="00CC5FA6">
              <w:rPr>
                <w:rFonts w:ascii="Arial" w:hAnsi="Arial" w:cs="Calibri"/>
                <w:b/>
                <w:sz w:val="16"/>
                <w:szCs w:val="26"/>
                <w:lang w:eastAsia="de-DE"/>
              </w:rPr>
              <w:t>Presse- und Öffentlichkeitsarbeit:</w:t>
            </w:r>
          </w:p>
          <w:p w14:paraId="7CD268E0" w14:textId="77777777" w:rsidR="00BE17A6" w:rsidRPr="00FE0030" w:rsidRDefault="00BE17A6" w:rsidP="00D22392">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Uwe Pagel - Press’n’Relations GmbH</w:t>
            </w:r>
          </w:p>
          <w:p w14:paraId="2F0E4892" w14:textId="77777777" w:rsidR="00BE17A6" w:rsidRPr="00FE0030" w:rsidRDefault="00BE17A6" w:rsidP="00D22392">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Magirusstraße 33 – D-89077 Ulm</w:t>
            </w:r>
          </w:p>
          <w:p w14:paraId="5202D1CB" w14:textId="77777777" w:rsidR="00BE17A6" w:rsidRDefault="00BE17A6" w:rsidP="00D22392">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Tel.: +49 731 962 87-29 – Fax: +49 731 962 87-97</w:t>
            </w:r>
          </w:p>
          <w:p w14:paraId="513740E5" w14:textId="77777777" w:rsidR="00BE17A6" w:rsidRDefault="00A83511" w:rsidP="00D22392">
            <w:pPr>
              <w:widowControl w:val="0"/>
              <w:tabs>
                <w:tab w:val="left" w:pos="2977"/>
              </w:tabs>
              <w:autoSpaceDE w:val="0"/>
              <w:autoSpaceDN w:val="0"/>
              <w:adjustRightInd w:val="0"/>
              <w:ind w:left="34" w:right="742"/>
              <w:rPr>
                <w:rFonts w:ascii="Arial" w:hAnsi="Arial" w:cs="Calibri"/>
                <w:sz w:val="16"/>
                <w:szCs w:val="26"/>
                <w:lang w:eastAsia="de-DE"/>
              </w:rPr>
            </w:pPr>
            <w:hyperlink r:id="rId7" w:history="1">
              <w:r w:rsidR="00BE17A6" w:rsidRPr="00CC5FA6">
                <w:rPr>
                  <w:rFonts w:ascii="Arial" w:hAnsi="Arial" w:cs="Calibri"/>
                  <w:sz w:val="16"/>
                  <w:szCs w:val="26"/>
                  <w:lang w:eastAsia="de-DE"/>
                </w:rPr>
                <w:t>upa@press-n-relations.de</w:t>
              </w:r>
            </w:hyperlink>
          </w:p>
          <w:p w14:paraId="4FC17D76" w14:textId="77777777" w:rsidR="00BE17A6" w:rsidRPr="00FE0030" w:rsidRDefault="00BE17A6" w:rsidP="00D22392">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www.press-n-relations.com</w:t>
            </w:r>
          </w:p>
        </w:tc>
      </w:tr>
    </w:tbl>
    <w:p w14:paraId="3B583F42" w14:textId="77777777" w:rsidR="00BE17A6" w:rsidRDefault="00BE17A6" w:rsidP="00BE17A6">
      <w:pPr>
        <w:widowControl w:val="0"/>
        <w:autoSpaceDE w:val="0"/>
        <w:autoSpaceDN w:val="0"/>
        <w:adjustRightInd w:val="0"/>
        <w:rPr>
          <w:rFonts w:ascii="Helvetica" w:hAnsi="Helvetica" w:cs="Helvetica"/>
          <w:bCs/>
          <w:sz w:val="20"/>
        </w:rPr>
      </w:pPr>
    </w:p>
    <w:p w14:paraId="437FA4A3" w14:textId="77777777" w:rsidR="00BE17A6" w:rsidRDefault="00BE17A6" w:rsidP="00BE17A6">
      <w:pPr>
        <w:widowControl w:val="0"/>
        <w:autoSpaceDE w:val="0"/>
        <w:autoSpaceDN w:val="0"/>
        <w:adjustRightInd w:val="0"/>
        <w:rPr>
          <w:rFonts w:ascii="Arial" w:hAnsi="Arial" w:cs="Calibri"/>
          <w:b/>
          <w:bCs/>
          <w:sz w:val="16"/>
          <w:szCs w:val="26"/>
          <w:lang w:eastAsia="de-DE"/>
        </w:rPr>
      </w:pPr>
    </w:p>
    <w:p w14:paraId="12DBDD01" w14:textId="77777777" w:rsidR="00BE17A6" w:rsidRPr="00F8514B" w:rsidRDefault="00BE17A6" w:rsidP="00BE17A6">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17BA3666" w14:textId="77777777" w:rsidR="00BE17A6" w:rsidRPr="00240B71" w:rsidRDefault="00BE17A6" w:rsidP="00BE17A6">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Akademie 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p>
    <w:p w14:paraId="5DC5A206" w14:textId="77777777" w:rsidR="00BE17A6" w:rsidRDefault="00BE17A6" w:rsidP="00BE17A6">
      <w:pPr>
        <w:ind w:right="-2127"/>
        <w:outlineLvl w:val="0"/>
        <w:rPr>
          <w:rFonts w:ascii="Arial" w:hAnsi="Arial" w:cs="Calibri"/>
          <w:sz w:val="16"/>
          <w:szCs w:val="26"/>
          <w:lang w:eastAsia="de-DE"/>
        </w:rPr>
      </w:pPr>
    </w:p>
    <w:p w14:paraId="01E59826" w14:textId="77777777" w:rsidR="00BE17A6" w:rsidRPr="00DA4F82" w:rsidRDefault="00BE17A6" w:rsidP="00BE17A6"/>
    <w:p w14:paraId="600AA6B8" w14:textId="77777777" w:rsidR="00BE17A6" w:rsidRPr="002C0155" w:rsidRDefault="00BE17A6" w:rsidP="00BE17A6"/>
    <w:p w14:paraId="13AAD48A" w14:textId="77777777" w:rsidR="00BE17A6" w:rsidRDefault="00BE17A6" w:rsidP="00BE17A6"/>
    <w:p w14:paraId="1BA867A2" w14:textId="77777777" w:rsidR="00BE17A6" w:rsidRDefault="00BE17A6" w:rsidP="00BE17A6"/>
    <w:p w14:paraId="269C7FDB" w14:textId="77777777" w:rsidR="00BE17A6" w:rsidRDefault="00BE17A6" w:rsidP="00BE17A6"/>
    <w:p w14:paraId="5CE1AB68" w14:textId="77777777" w:rsidR="00BE17A6" w:rsidRDefault="00BE17A6" w:rsidP="00BE17A6"/>
    <w:p w14:paraId="58798D1F" w14:textId="77777777" w:rsidR="00BE17A6" w:rsidRDefault="00BE17A6" w:rsidP="00BE17A6"/>
    <w:p w14:paraId="4A27BE05" w14:textId="77777777" w:rsidR="00596F95" w:rsidRDefault="00596F95"/>
    <w:sectPr w:rsidR="00596F95" w:rsidSect="002B5EB6">
      <w:headerReference w:type="default" r:id="rId8"/>
      <w:footerReference w:type="even" r:id="rId9"/>
      <w:footerReference w:type="default" r:id="rId10"/>
      <w:pgSz w:w="11906" w:h="16838"/>
      <w:pgMar w:top="1843" w:right="3400"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52C04" w14:textId="77777777" w:rsidR="00A83511" w:rsidRDefault="00A83511">
      <w:r>
        <w:separator/>
      </w:r>
    </w:p>
  </w:endnote>
  <w:endnote w:type="continuationSeparator" w:id="0">
    <w:p w14:paraId="6D410DD4" w14:textId="77777777" w:rsidR="00A83511" w:rsidRDefault="00A83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6C7B1" w14:textId="77777777" w:rsidR="00243C9E" w:rsidRDefault="00DA5ACA" w:rsidP="00596F95">
    <w:pPr>
      <w:pStyle w:val="Fuzeile"/>
      <w:framePr w:wrap="around" w:vAnchor="text" w:hAnchor="margin" w:xAlign="right" w:y="1"/>
      <w:rPr>
        <w:rStyle w:val="Seitenzahl"/>
      </w:rPr>
    </w:pPr>
    <w:r>
      <w:rPr>
        <w:rStyle w:val="Seitenzahl"/>
      </w:rPr>
      <w:fldChar w:fldCharType="begin"/>
    </w:r>
    <w:r w:rsidR="00243C9E">
      <w:rPr>
        <w:rStyle w:val="Seitenzahl"/>
      </w:rPr>
      <w:instrText xml:space="preserve">PAGE  </w:instrText>
    </w:r>
    <w:r>
      <w:rPr>
        <w:rStyle w:val="Seitenzahl"/>
      </w:rPr>
      <w:fldChar w:fldCharType="end"/>
    </w:r>
  </w:p>
  <w:p w14:paraId="11F7CDC3" w14:textId="77777777" w:rsidR="00243C9E" w:rsidRDefault="00243C9E" w:rsidP="00596F95">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5797F" w14:textId="77777777" w:rsidR="00243C9E" w:rsidRDefault="00243C9E" w:rsidP="00596F95">
    <w:pPr>
      <w:pStyle w:val="Fuzeile"/>
      <w:ind w:right="-2269"/>
      <w:jc w:val="right"/>
    </w:pPr>
    <w:r>
      <w:rPr>
        <w:noProof/>
        <w:lang w:eastAsia="de-DE"/>
      </w:rPr>
      <w:drawing>
        <wp:inline distT="0" distB="0" distL="0" distR="0" wp14:anchorId="269CFB31" wp14:editId="6F5D5D44">
          <wp:extent cx="1366824" cy="235486"/>
          <wp:effectExtent l="0" t="0" r="5080" b="0"/>
          <wp:docPr id="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862C2" w14:textId="77777777" w:rsidR="00A83511" w:rsidRDefault="00A83511">
      <w:r>
        <w:separator/>
      </w:r>
    </w:p>
  </w:footnote>
  <w:footnote w:type="continuationSeparator" w:id="0">
    <w:p w14:paraId="2999B07E" w14:textId="77777777" w:rsidR="00A83511" w:rsidRDefault="00A8351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4952C" w14:textId="77777777" w:rsidR="00243C9E" w:rsidRDefault="00243C9E" w:rsidP="00596F95">
    <w:pPr>
      <w:pStyle w:val="Kopfzeile"/>
      <w:tabs>
        <w:tab w:val="clear" w:pos="9072"/>
        <w:tab w:val="right" w:pos="9639"/>
      </w:tabs>
      <w:ind w:right="-2268"/>
      <w:jc w:val="right"/>
    </w:pPr>
    <w:r>
      <w:rPr>
        <w:noProof/>
        <w:lang w:eastAsia="de-DE"/>
      </w:rPr>
      <w:drawing>
        <wp:inline distT="0" distB="0" distL="0" distR="0" wp14:anchorId="7745A827" wp14:editId="4650D8E1">
          <wp:extent cx="1515745" cy="541655"/>
          <wp:effectExtent l="0" t="0" r="8255" b="0"/>
          <wp:docPr id="3"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5A6B9AEA" w14:textId="77777777" w:rsidR="00243C9E" w:rsidRDefault="00243C9E" w:rsidP="00596F95">
    <w:pPr>
      <w:pStyle w:val="Kopfzeile"/>
      <w:tabs>
        <w:tab w:val="clear" w:pos="9072"/>
        <w:tab w:val="right" w:pos="9639"/>
      </w:tabs>
      <w:ind w:right="-2"/>
      <w:jc w:val="right"/>
    </w:pPr>
  </w:p>
  <w:p w14:paraId="6D22EC5B" w14:textId="77777777" w:rsidR="00243C9E" w:rsidRPr="00C63EE6" w:rsidRDefault="00243C9E" w:rsidP="00596F9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E9C"/>
    <w:rsid w:val="00064097"/>
    <w:rsid w:val="00243C9E"/>
    <w:rsid w:val="0024793E"/>
    <w:rsid w:val="002B5EB6"/>
    <w:rsid w:val="004F6425"/>
    <w:rsid w:val="00510A2E"/>
    <w:rsid w:val="00596F95"/>
    <w:rsid w:val="006675A2"/>
    <w:rsid w:val="006B1BDD"/>
    <w:rsid w:val="00780E9C"/>
    <w:rsid w:val="007A54B2"/>
    <w:rsid w:val="00841F99"/>
    <w:rsid w:val="008B43AB"/>
    <w:rsid w:val="008D7D9F"/>
    <w:rsid w:val="00A83511"/>
    <w:rsid w:val="00AC58D6"/>
    <w:rsid w:val="00B13179"/>
    <w:rsid w:val="00B441E9"/>
    <w:rsid w:val="00BE17A6"/>
    <w:rsid w:val="00C36026"/>
    <w:rsid w:val="00CB1A48"/>
    <w:rsid w:val="00D20DC1"/>
    <w:rsid w:val="00D63BD3"/>
    <w:rsid w:val="00D969E2"/>
    <w:rsid w:val="00DA5ACA"/>
    <w:rsid w:val="00DA61A0"/>
    <w:rsid w:val="00F4550B"/>
    <w:rsid w:val="00FC044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BCFEB1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80E9C"/>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0E9C"/>
    <w:pPr>
      <w:tabs>
        <w:tab w:val="center" w:pos="4536"/>
        <w:tab w:val="right" w:pos="9072"/>
      </w:tabs>
    </w:pPr>
  </w:style>
  <w:style w:type="character" w:customStyle="1" w:styleId="KopfzeileZchn">
    <w:name w:val="Kopfzeile Zchn"/>
    <w:basedOn w:val="Absatz-Standardschriftart"/>
    <w:link w:val="Kopfzeile"/>
    <w:uiPriority w:val="99"/>
    <w:rsid w:val="00780E9C"/>
    <w:rPr>
      <w:rFonts w:ascii="Cambria" w:eastAsia="Cambria" w:hAnsi="Cambria" w:cs="Times New Roman"/>
      <w:szCs w:val="20"/>
    </w:rPr>
  </w:style>
  <w:style w:type="paragraph" w:styleId="Fuzeile">
    <w:name w:val="footer"/>
    <w:basedOn w:val="Standard"/>
    <w:link w:val="FuzeileZchn"/>
    <w:uiPriority w:val="99"/>
    <w:unhideWhenUsed/>
    <w:rsid w:val="00780E9C"/>
    <w:pPr>
      <w:tabs>
        <w:tab w:val="center" w:pos="4536"/>
        <w:tab w:val="right" w:pos="9072"/>
      </w:tabs>
    </w:pPr>
  </w:style>
  <w:style w:type="character" w:customStyle="1" w:styleId="FuzeileZchn">
    <w:name w:val="Fußzeile Zchn"/>
    <w:basedOn w:val="Absatz-Standardschriftart"/>
    <w:link w:val="Fuzeile"/>
    <w:uiPriority w:val="99"/>
    <w:rsid w:val="00780E9C"/>
    <w:rPr>
      <w:rFonts w:ascii="Cambria" w:eastAsia="Cambria" w:hAnsi="Cambria" w:cs="Times New Roman"/>
      <w:szCs w:val="20"/>
    </w:rPr>
  </w:style>
  <w:style w:type="character" w:styleId="Seitenzahl">
    <w:name w:val="page number"/>
    <w:uiPriority w:val="99"/>
    <w:semiHidden/>
    <w:unhideWhenUsed/>
    <w:rsid w:val="00780E9C"/>
  </w:style>
  <w:style w:type="paragraph" w:styleId="Sprechblasentext">
    <w:name w:val="Balloon Text"/>
    <w:basedOn w:val="Standard"/>
    <w:link w:val="SprechblasentextZchn"/>
    <w:uiPriority w:val="99"/>
    <w:semiHidden/>
    <w:unhideWhenUsed/>
    <w:rsid w:val="00BE17A6"/>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BE17A6"/>
    <w:rPr>
      <w:rFonts w:ascii="Times New Roman" w:eastAsia="Cambria" w:hAnsi="Times New Roman" w:cs="Times New Roman"/>
      <w:sz w:val="18"/>
      <w:szCs w:val="18"/>
    </w:rPr>
  </w:style>
  <w:style w:type="character" w:styleId="Kommentarzeichen">
    <w:name w:val="annotation reference"/>
    <w:basedOn w:val="Absatz-Standardschriftart"/>
    <w:uiPriority w:val="99"/>
    <w:semiHidden/>
    <w:unhideWhenUsed/>
    <w:rsid w:val="00BE17A6"/>
    <w:rPr>
      <w:sz w:val="18"/>
      <w:szCs w:val="18"/>
    </w:rPr>
  </w:style>
  <w:style w:type="paragraph" w:styleId="Kommentartext">
    <w:name w:val="annotation text"/>
    <w:basedOn w:val="Standard"/>
    <w:link w:val="KommentartextZchn"/>
    <w:uiPriority w:val="99"/>
    <w:semiHidden/>
    <w:unhideWhenUsed/>
    <w:rsid w:val="00BE17A6"/>
    <w:rPr>
      <w:szCs w:val="24"/>
    </w:rPr>
  </w:style>
  <w:style w:type="character" w:customStyle="1" w:styleId="KommentartextZchn">
    <w:name w:val="Kommentartext Zchn"/>
    <w:basedOn w:val="Absatz-Standardschriftart"/>
    <w:link w:val="Kommentartext"/>
    <w:uiPriority w:val="99"/>
    <w:semiHidden/>
    <w:rsid w:val="00BE17A6"/>
    <w:rPr>
      <w:rFonts w:ascii="Cambria" w:eastAsia="Cambria" w:hAnsi="Cambria" w:cs="Times New Roman"/>
    </w:rPr>
  </w:style>
  <w:style w:type="paragraph" w:styleId="Kommentarthema">
    <w:name w:val="annotation subject"/>
    <w:basedOn w:val="Kommentartext"/>
    <w:next w:val="Kommentartext"/>
    <w:link w:val="KommentarthemaZchn"/>
    <w:uiPriority w:val="99"/>
    <w:semiHidden/>
    <w:unhideWhenUsed/>
    <w:rsid w:val="00BE17A6"/>
    <w:rPr>
      <w:b/>
      <w:bCs/>
      <w:sz w:val="20"/>
      <w:szCs w:val="20"/>
    </w:rPr>
  </w:style>
  <w:style w:type="character" w:customStyle="1" w:styleId="KommentarthemaZchn">
    <w:name w:val="Kommentarthema Zchn"/>
    <w:basedOn w:val="KommentartextZchn"/>
    <w:link w:val="Kommentarthema"/>
    <w:uiPriority w:val="99"/>
    <w:semiHidden/>
    <w:rsid w:val="00BE17A6"/>
    <w:rPr>
      <w:rFonts w:ascii="Cambria" w:eastAsia="Cambria"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presse@wilken.de" TargetMode="External"/><Relationship Id="rId7" Type="http://schemas.openxmlformats.org/officeDocument/2006/relationships/hyperlink" Target="mailto:upa@press-n-relations.de"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907</Words>
  <Characters>5721</Characters>
  <Application>Microsoft Macintosh Word</Application>
  <DocSecurity>0</DocSecurity>
  <Lines>47</Lines>
  <Paragraphs>13</Paragraphs>
  <ScaleCrop>false</ScaleCrop>
  <HeadingPairs>
    <vt:vector size="4" baseType="variant">
      <vt:variant>
        <vt:lpstr>Titel</vt:lpstr>
      </vt:variant>
      <vt:variant>
        <vt:i4>1</vt:i4>
      </vt:variant>
      <vt:variant>
        <vt:lpstr>Headings</vt:lpstr>
      </vt:variant>
      <vt:variant>
        <vt:i4>11</vt:i4>
      </vt:variant>
    </vt:vector>
  </HeadingPairs>
  <TitlesOfParts>
    <vt:vector size="12" baseType="lpstr">
      <vt:lpstr/>
      <vt:lpstr>PRESSEINFORMATION 	</vt:lpstr>
      <vt:lpstr/>
      <vt:lpstr>Ulm, 25. Januar 2016</vt:lpstr>
      <vt:lpstr/>
      <vt:lpstr>ITB Berlin, 9. bis 13. März 2016, Halle 6.1, Stand 119</vt:lpstr>
      <vt:lpstr/>
      <vt:lpstr>Zusammenhänge in Echtzeit erkennen</vt:lpstr>
      <vt:lpstr>Wilken Destinationsmonitor liefert Metasicht auf Kennzahlen verschiedener Anwend</vt:lpstr>
      <vt:lpstr/>
      <vt:lpstr>Über die Wilken Corporate Group</vt:lpstr>
      <vt:lpstr/>
    </vt:vector>
  </TitlesOfParts>
  <Company>Press'n'Relations </Company>
  <LinksUpToDate>false</LinksUpToDate>
  <CharactersWithSpaces>6615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2</cp:revision>
  <dcterms:created xsi:type="dcterms:W3CDTF">2016-01-22T09:53:00Z</dcterms:created>
  <dcterms:modified xsi:type="dcterms:W3CDTF">2016-01-22T09:53:00Z</dcterms:modified>
</cp:coreProperties>
</file>