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bookmarkStart w:id="0" w:name="_GoBack"/>
      <w:bookmarkEnd w:id="0"/>
    </w:p>
    <w:p w14:paraId="333A9BD1" w14:textId="302653BF" w:rsidR="00970937" w:rsidRDefault="00C51C55" w:rsidP="00064DC6">
      <w:pPr>
        <w:ind w:right="-709"/>
        <w:outlineLvl w:val="0"/>
        <w:rPr>
          <w:sz w:val="20"/>
        </w:rPr>
      </w:pPr>
      <w:r w:rsidRPr="00B2745D">
        <w:rPr>
          <w:sz w:val="20"/>
        </w:rPr>
        <w:t xml:space="preserve">Ulm, </w:t>
      </w:r>
      <w:r w:rsidR="00DC5F6C">
        <w:rPr>
          <w:sz w:val="20"/>
        </w:rPr>
        <w:t>2</w:t>
      </w:r>
      <w:r w:rsidR="00DD7286">
        <w:rPr>
          <w:sz w:val="20"/>
        </w:rPr>
        <w:t>3</w:t>
      </w:r>
      <w:r w:rsidR="00F61A36">
        <w:rPr>
          <w:sz w:val="20"/>
        </w:rPr>
        <w:t>. November</w:t>
      </w:r>
      <w:r w:rsidRPr="00B2745D">
        <w:rPr>
          <w:sz w:val="20"/>
        </w:rPr>
        <w:t xml:space="preserve"> 201</w:t>
      </w:r>
      <w:r w:rsidR="000C08EF">
        <w:rPr>
          <w:sz w:val="20"/>
        </w:rPr>
        <w:t>6</w:t>
      </w:r>
    </w:p>
    <w:p w14:paraId="67E2BA79" w14:textId="7C48C139" w:rsidR="007E1E5C" w:rsidRPr="00DC5F6C" w:rsidRDefault="00DC5F6C" w:rsidP="00EE44FC">
      <w:pPr>
        <w:ind w:right="-1984"/>
        <w:rPr>
          <w:b/>
          <w:bCs/>
          <w:szCs w:val="22"/>
        </w:rPr>
      </w:pPr>
      <w:r w:rsidRPr="00DC5F6C">
        <w:rPr>
          <w:b/>
          <w:bCs/>
          <w:sz w:val="28"/>
          <w:szCs w:val="28"/>
        </w:rPr>
        <w:t xml:space="preserve">Gateway Administration: </w:t>
      </w:r>
      <w:r>
        <w:rPr>
          <w:b/>
          <w:bCs/>
          <w:sz w:val="28"/>
          <w:szCs w:val="28"/>
        </w:rPr>
        <w:t>Durchgängige Datenflüsse zu</w:t>
      </w:r>
      <w:r w:rsidRPr="00DC5F6C">
        <w:rPr>
          <w:b/>
          <w:bCs/>
          <w:sz w:val="28"/>
          <w:szCs w:val="28"/>
        </w:rPr>
        <w:t xml:space="preserve"> ERP und </w:t>
      </w:r>
      <w:r>
        <w:rPr>
          <w:b/>
          <w:bCs/>
          <w:sz w:val="28"/>
          <w:szCs w:val="28"/>
        </w:rPr>
        <w:t>Bra</w:t>
      </w:r>
      <w:r w:rsidR="006E0BB7">
        <w:rPr>
          <w:b/>
          <w:bCs/>
          <w:sz w:val="28"/>
          <w:szCs w:val="28"/>
        </w:rPr>
        <w:t>n</w:t>
      </w:r>
      <w:r>
        <w:rPr>
          <w:b/>
          <w:bCs/>
          <w:sz w:val="28"/>
          <w:szCs w:val="28"/>
        </w:rPr>
        <w:t>chenlösungen sind erfolgsentscheidend</w:t>
      </w:r>
      <w:r>
        <w:rPr>
          <w:b/>
          <w:bCs/>
          <w:sz w:val="28"/>
          <w:szCs w:val="28"/>
        </w:rPr>
        <w:br/>
      </w:r>
      <w:r>
        <w:rPr>
          <w:b/>
          <w:bCs/>
          <w:szCs w:val="22"/>
        </w:rPr>
        <w:t xml:space="preserve">Tiefe Integration </w:t>
      </w:r>
      <w:r w:rsidR="00345753">
        <w:rPr>
          <w:b/>
          <w:bCs/>
          <w:szCs w:val="22"/>
        </w:rPr>
        <w:t xml:space="preserve">der </w:t>
      </w:r>
      <w:r>
        <w:rPr>
          <w:b/>
          <w:bCs/>
          <w:szCs w:val="22"/>
        </w:rPr>
        <w:t>GWA</w:t>
      </w:r>
      <w:r w:rsidR="00345753">
        <w:rPr>
          <w:b/>
          <w:bCs/>
          <w:szCs w:val="22"/>
        </w:rPr>
        <w:t>-Lösung</w:t>
      </w:r>
      <w:r>
        <w:rPr>
          <w:b/>
          <w:bCs/>
          <w:szCs w:val="22"/>
        </w:rPr>
        <w:t xml:space="preserve"> von Kisters und </w:t>
      </w:r>
      <w:proofErr w:type="spellStart"/>
      <w:r w:rsidR="00864136">
        <w:rPr>
          <w:b/>
          <w:bCs/>
          <w:szCs w:val="22"/>
        </w:rPr>
        <w:t>M</w:t>
      </w:r>
      <w:r>
        <w:rPr>
          <w:b/>
          <w:bCs/>
          <w:szCs w:val="22"/>
        </w:rPr>
        <w:t>eter</w:t>
      </w:r>
      <w:r w:rsidR="00864136">
        <w:rPr>
          <w:b/>
          <w:bCs/>
          <w:szCs w:val="22"/>
        </w:rPr>
        <w:t>P</w:t>
      </w:r>
      <w:r>
        <w:rPr>
          <w:b/>
          <w:bCs/>
          <w:szCs w:val="22"/>
        </w:rPr>
        <w:t>an</w:t>
      </w:r>
      <w:proofErr w:type="spellEnd"/>
      <w:r>
        <w:rPr>
          <w:b/>
          <w:bCs/>
          <w:szCs w:val="22"/>
        </w:rPr>
        <w:t xml:space="preserve"> </w:t>
      </w:r>
      <w:r w:rsidR="00EE44FC">
        <w:rPr>
          <w:b/>
          <w:bCs/>
          <w:szCs w:val="22"/>
        </w:rPr>
        <w:t xml:space="preserve">mit Wilken easy </w:t>
      </w:r>
      <w:proofErr w:type="spellStart"/>
      <w:r w:rsidR="00EE44FC">
        <w:rPr>
          <w:b/>
          <w:bCs/>
          <w:szCs w:val="22"/>
        </w:rPr>
        <w:t>metering</w:t>
      </w:r>
      <w:proofErr w:type="spellEnd"/>
      <w:r w:rsidR="006E0BB7">
        <w:rPr>
          <w:b/>
          <w:bCs/>
          <w:szCs w:val="22"/>
        </w:rPr>
        <w:t xml:space="preserve"> </w:t>
      </w:r>
    </w:p>
    <w:p w14:paraId="35EB5141" w14:textId="6B697D4D" w:rsidR="00345753" w:rsidRDefault="006E0BB7" w:rsidP="00635CE5">
      <w:pPr>
        <w:spacing w:line="312" w:lineRule="auto"/>
        <w:rPr>
          <w:rFonts w:cs="Helvetica"/>
          <w:b/>
          <w:bCs/>
          <w:sz w:val="20"/>
        </w:rPr>
      </w:pPr>
      <w:r w:rsidRPr="006E0BB7">
        <w:rPr>
          <w:rFonts w:cs="Helvetica"/>
          <w:b/>
          <w:bCs/>
          <w:sz w:val="20"/>
        </w:rPr>
        <w:t>Unabhängig von den derzeit laufenden Zertifizierung</w:t>
      </w:r>
      <w:r>
        <w:rPr>
          <w:rFonts w:cs="Helvetica"/>
          <w:b/>
          <w:bCs/>
          <w:sz w:val="20"/>
        </w:rPr>
        <w:t>en</w:t>
      </w:r>
      <w:r w:rsidRPr="006E0BB7">
        <w:rPr>
          <w:rFonts w:cs="Helvetica"/>
          <w:b/>
          <w:bCs/>
          <w:sz w:val="20"/>
        </w:rPr>
        <w:t xml:space="preserve"> nach ISO 27001 und BSI-Schutzverfahren</w:t>
      </w:r>
      <w:r>
        <w:rPr>
          <w:rFonts w:cs="Helvetica"/>
          <w:b/>
          <w:bCs/>
          <w:sz w:val="20"/>
        </w:rPr>
        <w:t xml:space="preserve"> ist vor allem auch</w:t>
      </w:r>
      <w:r w:rsidRPr="006E0BB7">
        <w:rPr>
          <w:rFonts w:cs="Helvetica"/>
          <w:b/>
          <w:bCs/>
          <w:sz w:val="20"/>
        </w:rPr>
        <w:t xml:space="preserve"> </w:t>
      </w:r>
      <w:r>
        <w:rPr>
          <w:rFonts w:cs="Helvetica"/>
          <w:b/>
          <w:bCs/>
          <w:sz w:val="20"/>
        </w:rPr>
        <w:t xml:space="preserve">die tiefe Integration der Smart Meter Gateway </w:t>
      </w:r>
      <w:r w:rsidR="00AF0BE2">
        <w:rPr>
          <w:rFonts w:cs="Helvetica"/>
          <w:b/>
          <w:bCs/>
          <w:sz w:val="20"/>
        </w:rPr>
        <w:t xml:space="preserve">Administration </w:t>
      </w:r>
      <w:r>
        <w:rPr>
          <w:rFonts w:cs="Helvetica"/>
          <w:b/>
          <w:bCs/>
          <w:sz w:val="20"/>
        </w:rPr>
        <w:t xml:space="preserve">(SMGA) </w:t>
      </w:r>
      <w:r w:rsidR="001E46E6">
        <w:rPr>
          <w:rFonts w:cs="Helvetica"/>
          <w:b/>
          <w:bCs/>
          <w:sz w:val="20"/>
        </w:rPr>
        <w:t>in</w:t>
      </w:r>
      <w:r>
        <w:rPr>
          <w:rFonts w:cs="Helvetica"/>
          <w:b/>
          <w:bCs/>
          <w:sz w:val="20"/>
        </w:rPr>
        <w:t xml:space="preserve"> </w:t>
      </w:r>
      <w:r w:rsidR="001E46E6">
        <w:rPr>
          <w:rFonts w:cs="Helvetica"/>
          <w:b/>
          <w:bCs/>
          <w:sz w:val="20"/>
        </w:rPr>
        <w:t>die</w:t>
      </w:r>
      <w:r>
        <w:rPr>
          <w:rFonts w:cs="Helvetica"/>
          <w:b/>
          <w:bCs/>
          <w:sz w:val="20"/>
        </w:rPr>
        <w:t xml:space="preserve"> operativen ERP- und Abrechnungslösungen ein wichtiger Erfolgsfaktor für den </w:t>
      </w:r>
      <w:proofErr w:type="spellStart"/>
      <w:r>
        <w:rPr>
          <w:rFonts w:cs="Helvetica"/>
          <w:b/>
          <w:bCs/>
          <w:sz w:val="20"/>
        </w:rPr>
        <w:t>iMsys</w:t>
      </w:r>
      <w:proofErr w:type="spellEnd"/>
      <w:r>
        <w:rPr>
          <w:rFonts w:cs="Helvetica"/>
          <w:b/>
          <w:bCs/>
          <w:sz w:val="20"/>
        </w:rPr>
        <w:t xml:space="preserve">-Rollout. </w:t>
      </w:r>
      <w:r w:rsidR="00AF0BE2">
        <w:rPr>
          <w:rFonts w:cs="Helvetica"/>
          <w:b/>
          <w:bCs/>
          <w:sz w:val="20"/>
        </w:rPr>
        <w:t xml:space="preserve">Im Rahmen des Wilken easy </w:t>
      </w:r>
      <w:proofErr w:type="spellStart"/>
      <w:r w:rsidR="00AF0BE2">
        <w:rPr>
          <w:rFonts w:cs="Helvetica"/>
          <w:b/>
          <w:bCs/>
          <w:sz w:val="20"/>
        </w:rPr>
        <w:t>metering</w:t>
      </w:r>
      <w:proofErr w:type="spellEnd"/>
      <w:r w:rsidR="00AF0BE2">
        <w:rPr>
          <w:rFonts w:cs="Helvetica"/>
          <w:b/>
          <w:bCs/>
          <w:sz w:val="20"/>
        </w:rPr>
        <w:t>-Konzepts wird diese Integration über das offene P/5 SMGA Interface der Wilken Software Group realisiert. Als erste</w:t>
      </w:r>
      <w:r w:rsidR="001E46E6">
        <w:rPr>
          <w:rFonts w:cs="Helvetica"/>
          <w:b/>
          <w:bCs/>
          <w:sz w:val="20"/>
        </w:rPr>
        <w:t>r</w:t>
      </w:r>
      <w:r w:rsidR="00AF0BE2">
        <w:rPr>
          <w:rFonts w:cs="Helvetica"/>
          <w:b/>
          <w:bCs/>
          <w:sz w:val="20"/>
        </w:rPr>
        <w:t xml:space="preserve"> </w:t>
      </w:r>
      <w:r w:rsidR="001E46E6">
        <w:rPr>
          <w:rFonts w:cs="Helvetica"/>
          <w:b/>
          <w:bCs/>
          <w:sz w:val="20"/>
        </w:rPr>
        <w:t xml:space="preserve">SMGA-Anbieter </w:t>
      </w:r>
      <w:r w:rsidR="00AF0BE2">
        <w:rPr>
          <w:rFonts w:cs="Helvetica"/>
          <w:b/>
          <w:bCs/>
          <w:sz w:val="20"/>
        </w:rPr>
        <w:t>hat jetzt die Kooperation von Kister</w:t>
      </w:r>
      <w:r w:rsidR="001E46E6">
        <w:rPr>
          <w:rFonts w:cs="Helvetica"/>
          <w:b/>
          <w:bCs/>
          <w:sz w:val="20"/>
        </w:rPr>
        <w:t>s</w:t>
      </w:r>
      <w:r w:rsidR="00AF0BE2">
        <w:rPr>
          <w:rFonts w:cs="Helvetica"/>
          <w:b/>
          <w:bCs/>
          <w:sz w:val="20"/>
        </w:rPr>
        <w:t xml:space="preserve"> und </w:t>
      </w:r>
      <w:proofErr w:type="spellStart"/>
      <w:r w:rsidR="00864136">
        <w:rPr>
          <w:rFonts w:cs="Helvetica"/>
          <w:b/>
          <w:bCs/>
          <w:sz w:val="20"/>
        </w:rPr>
        <w:t>M</w:t>
      </w:r>
      <w:r w:rsidR="00AF0BE2">
        <w:rPr>
          <w:rFonts w:cs="Helvetica"/>
          <w:b/>
          <w:bCs/>
          <w:sz w:val="20"/>
        </w:rPr>
        <w:t>eter</w:t>
      </w:r>
      <w:r w:rsidR="00864136">
        <w:rPr>
          <w:rFonts w:cs="Helvetica"/>
          <w:b/>
          <w:bCs/>
          <w:sz w:val="20"/>
        </w:rPr>
        <w:t>P</w:t>
      </w:r>
      <w:r w:rsidR="00AF0BE2">
        <w:rPr>
          <w:rFonts w:cs="Helvetica"/>
          <w:b/>
          <w:bCs/>
          <w:sz w:val="20"/>
        </w:rPr>
        <w:t>an</w:t>
      </w:r>
      <w:proofErr w:type="spellEnd"/>
      <w:r w:rsidR="00AF0BE2">
        <w:rPr>
          <w:rFonts w:cs="Helvetica"/>
          <w:b/>
          <w:bCs/>
          <w:sz w:val="20"/>
        </w:rPr>
        <w:t xml:space="preserve"> die nahtlose Anbindung </w:t>
      </w:r>
      <w:r w:rsidR="00914A72" w:rsidRPr="00914A72">
        <w:rPr>
          <w:rFonts w:cs="Helvetica"/>
          <w:b/>
          <w:bCs/>
          <w:sz w:val="20"/>
        </w:rPr>
        <w:t>ihrer Smart-</w:t>
      </w:r>
      <w:proofErr w:type="spellStart"/>
      <w:r w:rsidR="00914A72" w:rsidRPr="00914A72">
        <w:rPr>
          <w:rFonts w:cs="Helvetica"/>
          <w:b/>
          <w:bCs/>
          <w:sz w:val="20"/>
        </w:rPr>
        <w:t>Metering</w:t>
      </w:r>
      <w:proofErr w:type="spellEnd"/>
      <w:r w:rsidR="00914A72" w:rsidRPr="00914A72">
        <w:rPr>
          <w:rFonts w:cs="Helvetica"/>
          <w:b/>
          <w:bCs/>
          <w:sz w:val="20"/>
        </w:rPr>
        <w:t xml:space="preserve">-Plattform auf Basis von </w:t>
      </w:r>
      <w:proofErr w:type="spellStart"/>
      <w:r w:rsidR="00914A72" w:rsidRPr="00914A72">
        <w:rPr>
          <w:rFonts w:cs="Helvetica"/>
          <w:b/>
          <w:bCs/>
          <w:sz w:val="20"/>
        </w:rPr>
        <w:t>BelVis</w:t>
      </w:r>
      <w:proofErr w:type="spellEnd"/>
      <w:r w:rsidR="00914A72" w:rsidRPr="00914A72">
        <w:rPr>
          <w:rFonts w:cs="Helvetica"/>
          <w:b/>
          <w:bCs/>
          <w:sz w:val="20"/>
        </w:rPr>
        <w:t xml:space="preserve"> MDM an die </w:t>
      </w:r>
      <w:r w:rsidR="00AF0BE2">
        <w:rPr>
          <w:rFonts w:cs="Helvetica"/>
          <w:b/>
          <w:bCs/>
          <w:sz w:val="20"/>
        </w:rPr>
        <w:t xml:space="preserve">Wilken Branchenlösungen ENER:GY und </w:t>
      </w:r>
      <w:proofErr w:type="spellStart"/>
      <w:r w:rsidR="00AF0BE2">
        <w:rPr>
          <w:rFonts w:cs="Helvetica"/>
          <w:b/>
          <w:bCs/>
          <w:sz w:val="20"/>
        </w:rPr>
        <w:t>NTS.suite</w:t>
      </w:r>
      <w:proofErr w:type="spellEnd"/>
      <w:r w:rsidR="00AF0BE2">
        <w:rPr>
          <w:rFonts w:cs="Helvetica"/>
          <w:b/>
          <w:bCs/>
          <w:sz w:val="20"/>
        </w:rPr>
        <w:t xml:space="preserve"> sowie dem ERP-System CS/2 erfolgreich um</w:t>
      </w:r>
      <w:r w:rsidR="00345753">
        <w:rPr>
          <w:rFonts w:cs="Helvetica"/>
          <w:b/>
          <w:bCs/>
          <w:sz w:val="20"/>
        </w:rPr>
        <w:t>ge</w:t>
      </w:r>
      <w:r w:rsidR="00AF0BE2">
        <w:rPr>
          <w:rFonts w:cs="Helvetica"/>
          <w:b/>
          <w:bCs/>
          <w:sz w:val="20"/>
        </w:rPr>
        <w:t>setzt.</w:t>
      </w:r>
      <w:r w:rsidR="00345753">
        <w:rPr>
          <w:rFonts w:cs="Helvetica"/>
          <w:b/>
          <w:bCs/>
          <w:sz w:val="20"/>
        </w:rPr>
        <w:t xml:space="preserve"> Wie diese Integration in der Praxis aussieht, zeigen die drei Unternehmen auf der </w:t>
      </w:r>
      <w:r w:rsidR="00F33075">
        <w:rPr>
          <w:rFonts w:cs="Helvetica"/>
          <w:b/>
          <w:bCs/>
          <w:sz w:val="20"/>
        </w:rPr>
        <w:br/>
      </w:r>
      <w:r w:rsidR="00345753">
        <w:rPr>
          <w:rFonts w:cs="Helvetica"/>
          <w:b/>
          <w:bCs/>
          <w:sz w:val="20"/>
        </w:rPr>
        <w:t>E-world 2017 im Februar in Essen.</w:t>
      </w:r>
      <w:r w:rsidR="00AF0BE2">
        <w:rPr>
          <w:rFonts w:cs="Helvetica"/>
          <w:b/>
          <w:bCs/>
          <w:sz w:val="20"/>
        </w:rPr>
        <w:t xml:space="preserve"> </w:t>
      </w:r>
    </w:p>
    <w:p w14:paraId="6736E646" w14:textId="402650C7" w:rsidR="0044765C" w:rsidRPr="00345753" w:rsidRDefault="00F33075" w:rsidP="00635CE5">
      <w:pPr>
        <w:spacing w:line="312" w:lineRule="auto"/>
        <w:rPr>
          <w:rFonts w:cs="Helvetica"/>
          <w:sz w:val="20"/>
        </w:rPr>
      </w:pPr>
      <w:r w:rsidRPr="00F33075">
        <w:rPr>
          <w:rFonts w:cs="Helvetica"/>
          <w:sz w:val="20"/>
        </w:rPr>
        <w:t xml:space="preserve">„Vielen Unternehmen ist es nicht bewusst, dass rund 70 Prozent aller der mit der Gateway-Administration zusammenhängenden Abläufe die vorhandenen Softwaresysteme wie die Gerätebeschaffung, das Gerätemanagement, die Verwaltung der </w:t>
      </w:r>
      <w:proofErr w:type="spellStart"/>
      <w:r w:rsidRPr="00F33075">
        <w:rPr>
          <w:rFonts w:cs="Helvetica"/>
          <w:sz w:val="20"/>
        </w:rPr>
        <w:t>mMe</w:t>
      </w:r>
      <w:proofErr w:type="spellEnd"/>
      <w:r w:rsidRPr="00F33075">
        <w:rPr>
          <w:rFonts w:cs="Helvetica"/>
          <w:sz w:val="20"/>
        </w:rPr>
        <w:t xml:space="preserve"> und </w:t>
      </w:r>
      <w:proofErr w:type="spellStart"/>
      <w:r w:rsidRPr="00F33075">
        <w:rPr>
          <w:rFonts w:cs="Helvetica"/>
          <w:sz w:val="20"/>
        </w:rPr>
        <w:t>iMSys</w:t>
      </w:r>
      <w:proofErr w:type="spellEnd"/>
      <w:r w:rsidRPr="00F33075">
        <w:rPr>
          <w:rFonts w:cs="Helvetica"/>
          <w:sz w:val="20"/>
        </w:rPr>
        <w:t xml:space="preserve"> </w:t>
      </w:r>
      <w:r>
        <w:rPr>
          <w:rFonts w:cs="Helvetica"/>
          <w:sz w:val="20"/>
        </w:rPr>
        <w:t>sowie</w:t>
      </w:r>
      <w:r w:rsidRPr="00F33075">
        <w:rPr>
          <w:rFonts w:cs="Helvetica"/>
          <w:sz w:val="20"/>
        </w:rPr>
        <w:t xml:space="preserve"> die Abrechnung im kaufmännischen ERP-System betreffen“</w:t>
      </w:r>
      <w:r w:rsidR="001E46E6" w:rsidRPr="00345753">
        <w:rPr>
          <w:rFonts w:cs="Helvetica"/>
          <w:sz w:val="20"/>
        </w:rPr>
        <w:t>, erklärt Peter Schulte-</w:t>
      </w:r>
      <w:proofErr w:type="spellStart"/>
      <w:r w:rsidR="001E46E6" w:rsidRPr="00345753">
        <w:rPr>
          <w:rFonts w:cs="Helvetica"/>
          <w:sz w:val="20"/>
        </w:rPr>
        <w:t>Rentrop</w:t>
      </w:r>
      <w:proofErr w:type="spellEnd"/>
      <w:r w:rsidR="001E46E6" w:rsidRPr="00345753">
        <w:rPr>
          <w:rFonts w:cs="Helvetica"/>
          <w:sz w:val="20"/>
        </w:rPr>
        <w:t xml:space="preserve">, bei der Wilken Software Group für den Vertrieb Versorgungswirtschaft verantwortlich, den Zusammenhang. Deswegen empfiehlt Wilken seinen Anwendern, dieser Anbindung mindestens eben soviel Augenmerk zu schenken wie den SMGA-Prozessen selbst. „Wir sind deswegen bereits mit weiteren SMGA-Herstellern und </w:t>
      </w:r>
      <w:r w:rsidR="001A1096" w:rsidRPr="00345753">
        <w:rPr>
          <w:rFonts w:cs="Helvetica"/>
          <w:sz w:val="20"/>
        </w:rPr>
        <w:t>-</w:t>
      </w:r>
      <w:r w:rsidR="001E46E6" w:rsidRPr="00345753">
        <w:rPr>
          <w:rFonts w:cs="Helvetica"/>
          <w:sz w:val="20"/>
        </w:rPr>
        <w:t xml:space="preserve">Dienstleistern </w:t>
      </w:r>
      <w:r w:rsidR="001A1096" w:rsidRPr="00345753">
        <w:rPr>
          <w:rFonts w:cs="Helvetica"/>
          <w:sz w:val="20"/>
        </w:rPr>
        <w:t xml:space="preserve">über die tiefe Integration ihrer Lösung mit unseren operativen Systemen via P/5 SMGA Interface </w:t>
      </w:r>
      <w:r w:rsidR="001E46E6" w:rsidRPr="00345753">
        <w:rPr>
          <w:rFonts w:cs="Helvetica"/>
          <w:sz w:val="20"/>
        </w:rPr>
        <w:t>im Gespräch</w:t>
      </w:r>
      <w:r w:rsidR="00FC4BAD">
        <w:rPr>
          <w:rFonts w:cs="Helvetica"/>
          <w:sz w:val="20"/>
        </w:rPr>
        <w:t>“</w:t>
      </w:r>
      <w:r w:rsidR="001A1096" w:rsidRPr="00345753">
        <w:rPr>
          <w:rFonts w:cs="Helvetica"/>
          <w:sz w:val="20"/>
        </w:rPr>
        <w:t>, berichtet Peter Schulte-</w:t>
      </w:r>
      <w:proofErr w:type="spellStart"/>
      <w:r w:rsidR="001A1096" w:rsidRPr="00345753">
        <w:rPr>
          <w:rFonts w:cs="Helvetica"/>
          <w:sz w:val="20"/>
        </w:rPr>
        <w:t>Rentrop</w:t>
      </w:r>
      <w:proofErr w:type="spellEnd"/>
      <w:r w:rsidR="001A1096" w:rsidRPr="00345753">
        <w:rPr>
          <w:rFonts w:cs="Helvetica"/>
          <w:sz w:val="20"/>
        </w:rPr>
        <w:t>.</w:t>
      </w:r>
    </w:p>
    <w:p w14:paraId="1B0D1890" w14:textId="664B6757" w:rsidR="0044765C" w:rsidRPr="001A1096" w:rsidRDefault="001A1096" w:rsidP="00635CE5">
      <w:pPr>
        <w:spacing w:line="312" w:lineRule="auto"/>
        <w:rPr>
          <w:rFonts w:cs="Helvetica"/>
          <w:bCs/>
          <w:sz w:val="20"/>
        </w:rPr>
      </w:pPr>
      <w:r>
        <w:rPr>
          <w:rFonts w:cs="Helvetica"/>
          <w:bCs/>
          <w:sz w:val="20"/>
        </w:rPr>
        <w:t>Die Berührungspunkte zwischen SMGA und operativen Systemen sind vielfältig. S</w:t>
      </w:r>
      <w:r w:rsidRPr="001A1096">
        <w:rPr>
          <w:rFonts w:cs="Helvetica"/>
          <w:bCs/>
          <w:sz w:val="20"/>
        </w:rPr>
        <w:t xml:space="preserve">o werden die elektronischen Lieferscheine für die Gateways direkt in die Geräteverwaltung von ENER:GY bzw. der </w:t>
      </w:r>
      <w:proofErr w:type="spellStart"/>
      <w:r w:rsidRPr="001A1096">
        <w:rPr>
          <w:rFonts w:cs="Helvetica"/>
          <w:bCs/>
          <w:sz w:val="20"/>
        </w:rPr>
        <w:t>NTS.suite</w:t>
      </w:r>
      <w:proofErr w:type="spellEnd"/>
      <w:r w:rsidRPr="001A1096">
        <w:rPr>
          <w:rFonts w:cs="Helvetica"/>
          <w:bCs/>
          <w:sz w:val="20"/>
        </w:rPr>
        <w:t xml:space="preserve"> eingespielt. Für die Planung von Rollouts und Gerätewechseln stellen beide System</w:t>
      </w:r>
      <w:r w:rsidR="00FC4BAD">
        <w:rPr>
          <w:rFonts w:cs="Helvetica"/>
          <w:bCs/>
          <w:sz w:val="20"/>
        </w:rPr>
        <w:t>e</w:t>
      </w:r>
      <w:r w:rsidRPr="001A1096">
        <w:rPr>
          <w:rFonts w:cs="Helvetica"/>
          <w:bCs/>
          <w:sz w:val="20"/>
        </w:rPr>
        <w:t xml:space="preserve"> dann Informationen etwa über die verbauten Zähler, deren Eichfristen oder über die Pflichtein</w:t>
      </w:r>
      <w:r w:rsidRPr="001A1096">
        <w:rPr>
          <w:rFonts w:cs="Helvetica"/>
          <w:bCs/>
          <w:sz w:val="20"/>
        </w:rPr>
        <w:lastRenderedPageBreak/>
        <w:t>bauquoten zur Verfügung</w:t>
      </w:r>
      <w:r w:rsidR="00FC4BAD">
        <w:rPr>
          <w:rFonts w:cs="Helvetica"/>
          <w:bCs/>
          <w:sz w:val="20"/>
        </w:rPr>
        <w:t>.</w:t>
      </w:r>
      <w:r w:rsidRPr="001A1096">
        <w:rPr>
          <w:rFonts w:cs="Helvetica"/>
          <w:bCs/>
          <w:sz w:val="20"/>
        </w:rPr>
        <w:t xml:space="preserve"> </w:t>
      </w:r>
      <w:r w:rsidR="00FC4BAD">
        <w:rPr>
          <w:rFonts w:cs="Helvetica"/>
          <w:bCs/>
          <w:sz w:val="20"/>
        </w:rPr>
        <w:t>D</w:t>
      </w:r>
      <w:r w:rsidRPr="001A1096">
        <w:rPr>
          <w:rFonts w:cs="Helvetica"/>
          <w:bCs/>
          <w:sz w:val="20"/>
        </w:rPr>
        <w:t xml:space="preserve">igitale Checklisten </w:t>
      </w:r>
      <w:r w:rsidR="00F33075" w:rsidRPr="001A1096">
        <w:rPr>
          <w:rFonts w:cs="Helvetica"/>
          <w:bCs/>
          <w:sz w:val="20"/>
        </w:rPr>
        <w:t xml:space="preserve">unterstützen </w:t>
      </w:r>
      <w:r w:rsidR="00F33075">
        <w:rPr>
          <w:rFonts w:cs="Helvetica"/>
          <w:bCs/>
          <w:sz w:val="20"/>
        </w:rPr>
        <w:t xml:space="preserve">als mobile Anwendung </w:t>
      </w:r>
      <w:r w:rsidR="00F33075" w:rsidRPr="001A1096">
        <w:rPr>
          <w:rFonts w:cs="Helvetica"/>
          <w:bCs/>
          <w:sz w:val="20"/>
        </w:rPr>
        <w:t>die IST-Aufnahme</w:t>
      </w:r>
      <w:r w:rsidR="00F33075">
        <w:rPr>
          <w:rFonts w:cs="Helvetica"/>
          <w:bCs/>
          <w:sz w:val="20"/>
        </w:rPr>
        <w:t xml:space="preserve"> vor Ort</w:t>
      </w:r>
      <w:r w:rsidRPr="001A1096">
        <w:rPr>
          <w:rFonts w:cs="Helvetica"/>
          <w:bCs/>
          <w:sz w:val="20"/>
        </w:rPr>
        <w:t xml:space="preserve">. Sämtliche für das </w:t>
      </w:r>
      <w:proofErr w:type="spellStart"/>
      <w:r w:rsidRPr="001A1096">
        <w:rPr>
          <w:rFonts w:cs="Helvetica"/>
          <w:bCs/>
          <w:sz w:val="20"/>
        </w:rPr>
        <w:t>Workforce</w:t>
      </w:r>
      <w:proofErr w:type="spellEnd"/>
      <w:r w:rsidRPr="001A1096">
        <w:rPr>
          <w:rFonts w:cs="Helvetica"/>
          <w:bCs/>
          <w:sz w:val="20"/>
        </w:rPr>
        <w:t xml:space="preserve">- und Rolloutmanagement notwendigen Daten sind somit an zentraler Stelle abgelegt und werden von dort aus an die beteiligten Anwendungen verteilt. Ein besonderer Vorteil ist auch, dass die alte und neue Zählerwelt prozessidentisch abgebildet </w:t>
      </w:r>
      <w:proofErr w:type="gramStart"/>
      <w:r w:rsidRPr="001A1096">
        <w:rPr>
          <w:rFonts w:cs="Helvetica"/>
          <w:bCs/>
          <w:sz w:val="20"/>
        </w:rPr>
        <w:t>sind</w:t>
      </w:r>
      <w:proofErr w:type="gramEnd"/>
      <w:r w:rsidRPr="001A1096">
        <w:rPr>
          <w:rFonts w:cs="Helvetica"/>
          <w:bCs/>
          <w:sz w:val="20"/>
        </w:rPr>
        <w:t xml:space="preserve">. Auf diese Weise </w:t>
      </w:r>
      <w:r>
        <w:rPr>
          <w:rFonts w:cs="Helvetica"/>
          <w:bCs/>
          <w:sz w:val="20"/>
        </w:rPr>
        <w:t>werden</w:t>
      </w:r>
      <w:r w:rsidRPr="001A1096">
        <w:rPr>
          <w:rFonts w:cs="Helvetica"/>
          <w:bCs/>
          <w:sz w:val="20"/>
        </w:rPr>
        <w:t xml:space="preserve"> sämtlich</w:t>
      </w:r>
      <w:r w:rsidR="00FC4BAD">
        <w:rPr>
          <w:rFonts w:cs="Helvetica"/>
          <w:bCs/>
          <w:sz w:val="20"/>
        </w:rPr>
        <w:t>e</w:t>
      </w:r>
      <w:r w:rsidRPr="001A1096">
        <w:rPr>
          <w:rFonts w:cs="Helvetica"/>
          <w:bCs/>
          <w:sz w:val="20"/>
        </w:rPr>
        <w:t xml:space="preserve"> Messeinrichtungen – digital wie analog – über ein einziges System verwaltet. Auch die Abrechnung der Messstellen erfolgt integriert über ENER:GY bzw. </w:t>
      </w:r>
      <w:proofErr w:type="spellStart"/>
      <w:r w:rsidRPr="001A1096">
        <w:rPr>
          <w:rFonts w:cs="Helvetica"/>
          <w:bCs/>
          <w:sz w:val="20"/>
        </w:rPr>
        <w:t>NTS.suite</w:t>
      </w:r>
      <w:proofErr w:type="spellEnd"/>
      <w:r w:rsidRPr="001A1096">
        <w:rPr>
          <w:rFonts w:cs="Helvetica"/>
          <w:bCs/>
          <w:sz w:val="20"/>
        </w:rPr>
        <w:t>, so dass keine „Nebenabrechnung“ notwendig ist. Das gilt für die Abrechnung des Netzbetreibers ebenso wie für den Messstellenbetreiber und den Lieferanten. Die integrierte Prozessabbildung erleichtert vor allem Letzteren das Leben, denn über das P/5 SMGA Interface lässt sich auch die Kommunikation mit „fremden“ SMGAs in unterschiedlichen Netzgebieten abbilden. Die Integrationsschicht ermöglicht darüber hinaus die Visualisierung der Verbrauchsdaten über Portale oder mobile Anwendungen.</w:t>
      </w:r>
    </w:p>
    <w:tbl>
      <w:tblPr>
        <w:tblW w:w="9180" w:type="dxa"/>
        <w:tblLook w:val="04A0" w:firstRow="1" w:lastRow="0" w:firstColumn="1" w:lastColumn="0" w:noHBand="0" w:noVBand="1"/>
      </w:tblPr>
      <w:tblGrid>
        <w:gridCol w:w="4361"/>
        <w:gridCol w:w="4819"/>
      </w:tblGrid>
      <w:tr w:rsidR="00595EA6" w:rsidRPr="00595EA6" w14:paraId="6328E0C0" w14:textId="77777777" w:rsidTr="00017967">
        <w:tc>
          <w:tcPr>
            <w:tcW w:w="4361" w:type="dxa"/>
            <w:shd w:val="clear" w:color="auto" w:fill="auto"/>
          </w:tcPr>
          <w:p w14:paraId="3CDF43F2" w14:textId="77777777" w:rsidR="00595EA6" w:rsidRPr="00595EA6" w:rsidRDefault="00595EA6" w:rsidP="00595EA6">
            <w:pPr>
              <w:spacing w:line="240" w:lineRule="auto"/>
              <w:ind w:right="-1701"/>
              <w:rPr>
                <w:rFonts w:ascii="Arial" w:hAnsi="Arial" w:cs="Calibri"/>
                <w:b/>
                <w:sz w:val="16"/>
                <w:szCs w:val="26"/>
                <w:lang w:eastAsia="de-DE"/>
              </w:rPr>
            </w:pPr>
            <w:r w:rsidRPr="00595EA6">
              <w:rPr>
                <w:rFonts w:ascii="Arial" w:hAnsi="Arial" w:cs="Calibri"/>
                <w:b/>
                <w:sz w:val="16"/>
                <w:szCs w:val="26"/>
                <w:lang w:eastAsia="de-DE"/>
              </w:rPr>
              <w:t>Kontaktdaten:</w:t>
            </w:r>
            <w:r w:rsidRPr="00595EA6">
              <w:rPr>
                <w:rFonts w:ascii="Arial" w:hAnsi="Arial" w:cs="Calibri"/>
                <w:b/>
                <w:sz w:val="16"/>
                <w:szCs w:val="26"/>
                <w:lang w:eastAsia="de-DE"/>
              </w:rPr>
              <w:br/>
            </w:r>
            <w:r w:rsidRPr="00595EA6">
              <w:rPr>
                <w:rFonts w:ascii="Arial" w:hAnsi="Arial" w:cs="Calibri"/>
                <w:bCs/>
                <w:sz w:val="16"/>
                <w:szCs w:val="26"/>
                <w:lang w:eastAsia="de-DE"/>
              </w:rPr>
              <w:t>Wilken Software Group – Peter Schulte-</w:t>
            </w:r>
            <w:proofErr w:type="spellStart"/>
            <w:r w:rsidRPr="00595EA6">
              <w:rPr>
                <w:rFonts w:ascii="Arial" w:hAnsi="Arial" w:cs="Calibri"/>
                <w:bCs/>
                <w:sz w:val="16"/>
                <w:szCs w:val="26"/>
                <w:lang w:eastAsia="de-DE"/>
              </w:rPr>
              <w:t>Rentrop</w:t>
            </w:r>
            <w:proofErr w:type="spellEnd"/>
            <w:r w:rsidRPr="00595EA6">
              <w:rPr>
                <w:rFonts w:ascii="Arial" w:hAnsi="Arial" w:cs="Calibri"/>
                <w:bCs/>
                <w:sz w:val="16"/>
                <w:szCs w:val="26"/>
                <w:lang w:eastAsia="de-DE"/>
              </w:rPr>
              <w:br/>
            </w:r>
            <w:proofErr w:type="spellStart"/>
            <w:r w:rsidRPr="00595EA6">
              <w:rPr>
                <w:rFonts w:ascii="Arial" w:hAnsi="Arial" w:cs="Calibri"/>
                <w:bCs/>
                <w:sz w:val="16"/>
                <w:szCs w:val="26"/>
                <w:lang w:eastAsia="de-DE"/>
              </w:rPr>
              <w:t>Hörvelsinger</w:t>
            </w:r>
            <w:proofErr w:type="spellEnd"/>
            <w:r w:rsidRPr="00595EA6">
              <w:rPr>
                <w:rFonts w:ascii="Arial" w:hAnsi="Arial" w:cs="Calibri"/>
                <w:bCs/>
                <w:sz w:val="16"/>
                <w:szCs w:val="26"/>
                <w:lang w:eastAsia="de-DE"/>
              </w:rPr>
              <w:t xml:space="preserve"> Weg 29-31 – 89081 Ulm</w:t>
            </w:r>
            <w:r w:rsidRPr="00595EA6">
              <w:rPr>
                <w:rFonts w:ascii="Arial" w:hAnsi="Arial" w:cs="Calibri"/>
                <w:bCs/>
                <w:sz w:val="16"/>
                <w:szCs w:val="26"/>
                <w:lang w:eastAsia="de-DE"/>
              </w:rPr>
              <w:tab/>
            </w:r>
            <w:r w:rsidRPr="00595EA6">
              <w:rPr>
                <w:rFonts w:ascii="Arial" w:hAnsi="Arial" w:cs="Calibri"/>
                <w:bCs/>
                <w:sz w:val="16"/>
                <w:szCs w:val="26"/>
                <w:lang w:eastAsia="de-DE"/>
              </w:rPr>
              <w:br/>
              <w:t xml:space="preserve">Tel.: +49 731 96 50-0 </w:t>
            </w:r>
            <w:r w:rsidRPr="00595EA6">
              <w:rPr>
                <w:rFonts w:ascii="Arial" w:hAnsi="Arial" w:cs="Calibri"/>
                <w:bCs/>
                <w:sz w:val="16"/>
                <w:szCs w:val="26"/>
                <w:lang w:eastAsia="de-DE"/>
              </w:rPr>
              <w:br/>
            </w:r>
            <w:hyperlink r:id="rId7" w:history="1">
              <w:r w:rsidRPr="00595EA6">
                <w:rPr>
                  <w:rStyle w:val="Link"/>
                  <w:rFonts w:ascii="Arial" w:hAnsi="Arial" w:cs="Calibri"/>
                  <w:bCs/>
                  <w:sz w:val="16"/>
                  <w:szCs w:val="26"/>
                  <w:lang w:eastAsia="de-DE"/>
                </w:rPr>
                <w:t>presse@wilken.de</w:t>
              </w:r>
            </w:hyperlink>
            <w:r w:rsidRPr="00595EA6">
              <w:rPr>
                <w:rFonts w:ascii="Arial" w:hAnsi="Arial" w:cs="Calibri"/>
                <w:bCs/>
                <w:sz w:val="16"/>
                <w:szCs w:val="26"/>
                <w:lang w:eastAsia="de-DE"/>
              </w:rPr>
              <w:t xml:space="preserve"> – </w:t>
            </w:r>
            <w:hyperlink r:id="rId8" w:history="1">
              <w:r w:rsidRPr="00595EA6">
                <w:rPr>
                  <w:rStyle w:val="Link"/>
                  <w:rFonts w:ascii="Arial" w:hAnsi="Arial" w:cs="Calibri"/>
                  <w:bCs/>
                  <w:sz w:val="16"/>
                  <w:szCs w:val="26"/>
                  <w:lang w:eastAsia="de-DE"/>
                </w:rPr>
                <w:t>www.wilken.de</w:t>
              </w:r>
            </w:hyperlink>
          </w:p>
        </w:tc>
        <w:tc>
          <w:tcPr>
            <w:tcW w:w="4819" w:type="dxa"/>
            <w:shd w:val="clear" w:color="auto" w:fill="auto"/>
          </w:tcPr>
          <w:p w14:paraId="5C3E755A" w14:textId="77777777" w:rsidR="00595EA6" w:rsidRPr="00595EA6" w:rsidRDefault="00595EA6" w:rsidP="00595EA6">
            <w:pPr>
              <w:spacing w:line="240" w:lineRule="auto"/>
              <w:ind w:right="-1701"/>
              <w:rPr>
                <w:rFonts w:ascii="Arial" w:hAnsi="Arial" w:cs="Calibri"/>
                <w:b/>
                <w:sz w:val="16"/>
                <w:szCs w:val="26"/>
                <w:lang w:eastAsia="de-DE"/>
              </w:rPr>
            </w:pPr>
            <w:r w:rsidRPr="00595EA6">
              <w:rPr>
                <w:rFonts w:ascii="Arial" w:hAnsi="Arial" w:cs="Calibri"/>
                <w:b/>
                <w:sz w:val="16"/>
                <w:szCs w:val="26"/>
                <w:lang w:eastAsia="de-DE"/>
              </w:rPr>
              <w:t>Presse- und Öffentlichkeitsarbeit:</w:t>
            </w:r>
            <w:r w:rsidRPr="00595EA6">
              <w:rPr>
                <w:rFonts w:ascii="Arial" w:hAnsi="Arial" w:cs="Calibri"/>
                <w:b/>
                <w:sz w:val="16"/>
                <w:szCs w:val="26"/>
                <w:lang w:eastAsia="de-DE"/>
              </w:rPr>
              <w:br/>
            </w:r>
            <w:r w:rsidRPr="00595EA6">
              <w:rPr>
                <w:rFonts w:ascii="Arial" w:hAnsi="Arial" w:cs="Calibri"/>
                <w:bCs/>
                <w:sz w:val="16"/>
                <w:szCs w:val="26"/>
                <w:lang w:eastAsia="de-DE"/>
              </w:rPr>
              <w:t>Press’n’Relations GmbH – Uwe Pagel</w:t>
            </w:r>
            <w:r w:rsidRPr="00595EA6">
              <w:rPr>
                <w:rFonts w:ascii="Arial" w:hAnsi="Arial" w:cs="Calibri"/>
                <w:bCs/>
                <w:sz w:val="16"/>
                <w:szCs w:val="26"/>
                <w:lang w:eastAsia="de-DE"/>
              </w:rPr>
              <w:br/>
              <w:t>Magirusstraße 33 – 89077 Ulm</w:t>
            </w:r>
            <w:r w:rsidRPr="00595EA6">
              <w:rPr>
                <w:rFonts w:ascii="Arial" w:hAnsi="Arial" w:cs="Calibri"/>
                <w:bCs/>
                <w:sz w:val="16"/>
                <w:szCs w:val="26"/>
                <w:lang w:eastAsia="de-DE"/>
              </w:rPr>
              <w:br/>
              <w:t xml:space="preserve">Tel.: +49 731 962 87-29 </w:t>
            </w:r>
            <w:r w:rsidRPr="00595EA6">
              <w:rPr>
                <w:rFonts w:ascii="Arial" w:hAnsi="Arial" w:cs="Calibri"/>
                <w:bCs/>
                <w:sz w:val="16"/>
                <w:szCs w:val="26"/>
                <w:lang w:eastAsia="de-DE"/>
              </w:rPr>
              <w:br/>
            </w:r>
            <w:hyperlink r:id="rId9" w:history="1">
              <w:r w:rsidRPr="00595EA6">
                <w:rPr>
                  <w:rStyle w:val="Link"/>
                  <w:rFonts w:ascii="Arial" w:hAnsi="Arial" w:cs="Calibri"/>
                  <w:bCs/>
                  <w:sz w:val="16"/>
                  <w:szCs w:val="26"/>
                  <w:lang w:eastAsia="de-DE"/>
                </w:rPr>
                <w:t>upa@press-n-relations.de</w:t>
              </w:r>
            </w:hyperlink>
            <w:r w:rsidRPr="00595EA6">
              <w:rPr>
                <w:rFonts w:ascii="Arial" w:hAnsi="Arial" w:cs="Calibri"/>
                <w:bCs/>
                <w:sz w:val="16"/>
                <w:szCs w:val="26"/>
                <w:lang w:eastAsia="de-DE"/>
              </w:rPr>
              <w:t xml:space="preserve"> – </w:t>
            </w:r>
            <w:hyperlink r:id="rId10" w:history="1">
              <w:r w:rsidRPr="00595EA6">
                <w:rPr>
                  <w:rStyle w:val="Link"/>
                  <w:rFonts w:ascii="Arial" w:hAnsi="Arial" w:cs="Calibri"/>
                  <w:bCs/>
                  <w:sz w:val="16"/>
                  <w:szCs w:val="26"/>
                  <w:lang w:eastAsia="de-DE"/>
                </w:rPr>
                <w:t>www.press-n-relations.com</w:t>
              </w:r>
            </w:hyperlink>
          </w:p>
        </w:tc>
      </w:tr>
    </w:tbl>
    <w:p w14:paraId="32430489" w14:textId="77777777" w:rsidR="00595EA6" w:rsidRPr="00595EA6" w:rsidRDefault="00595EA6" w:rsidP="00595EA6">
      <w:pPr>
        <w:spacing w:line="240" w:lineRule="auto"/>
        <w:ind w:right="-1701"/>
        <w:rPr>
          <w:rFonts w:ascii="Arial" w:hAnsi="Arial" w:cs="Calibri"/>
          <w:b/>
          <w:sz w:val="16"/>
          <w:szCs w:val="26"/>
          <w:lang w:eastAsia="de-DE"/>
        </w:rPr>
      </w:pPr>
      <w:r w:rsidRPr="00595EA6">
        <w:rPr>
          <w:rFonts w:ascii="Arial" w:hAnsi="Arial" w:cs="Calibri"/>
          <w:b/>
          <w:sz w:val="16"/>
          <w:szCs w:val="26"/>
          <w:lang w:eastAsia="de-DE"/>
        </w:rPr>
        <w:t>Über die Wilken Software Group</w:t>
      </w:r>
      <w:r w:rsidRPr="00595EA6">
        <w:rPr>
          <w:rFonts w:ascii="Arial" w:hAnsi="Arial" w:cs="Calibri"/>
          <w:b/>
          <w:sz w:val="16"/>
          <w:szCs w:val="26"/>
          <w:lang w:eastAsia="de-DE"/>
        </w:rPr>
        <w:br/>
      </w:r>
      <w:r w:rsidRPr="00595EA6">
        <w:rPr>
          <w:rFonts w:ascii="Arial" w:hAnsi="Arial" w:cs="Calibri"/>
          <w:bCs/>
          <w:sz w:val="16"/>
          <w:szCs w:val="26"/>
          <w:lang w:eastAsia="de-DE"/>
        </w:rPr>
        <w:t>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p>
    <w:p w14:paraId="003A4912" w14:textId="5A955E30" w:rsidR="000C7E9B" w:rsidRPr="000C7E9B" w:rsidRDefault="000C7E9B" w:rsidP="000C7E9B">
      <w:pPr>
        <w:spacing w:line="240" w:lineRule="auto"/>
        <w:ind w:right="-1701"/>
        <w:rPr>
          <w:rFonts w:ascii="Arial" w:hAnsi="Arial" w:cs="Calibri"/>
          <w:b/>
          <w:sz w:val="16"/>
          <w:szCs w:val="26"/>
          <w:lang w:eastAsia="de-DE"/>
        </w:rPr>
      </w:pPr>
      <w:r w:rsidRPr="000C7E9B">
        <w:rPr>
          <w:rFonts w:ascii="Arial" w:hAnsi="Arial" w:cs="Calibri"/>
          <w:b/>
          <w:bCs/>
          <w:sz w:val="16"/>
          <w:szCs w:val="26"/>
          <w:lang w:eastAsia="de-DE"/>
        </w:rPr>
        <w:t>Über KISTERS</w:t>
      </w:r>
      <w:r w:rsidRPr="000C7E9B">
        <w:rPr>
          <w:rFonts w:ascii="Arial" w:hAnsi="Arial" w:cs="Calibri"/>
          <w:b/>
          <w:sz w:val="16"/>
          <w:szCs w:val="26"/>
          <w:lang w:eastAsia="de-DE"/>
        </w:rPr>
        <w:t> </w:t>
      </w:r>
      <w:r>
        <w:rPr>
          <w:rFonts w:ascii="Arial" w:hAnsi="Arial" w:cs="Calibri"/>
          <w:b/>
          <w:sz w:val="16"/>
          <w:szCs w:val="26"/>
          <w:lang w:eastAsia="de-DE"/>
        </w:rPr>
        <w:br/>
      </w:r>
      <w:r w:rsidRPr="000C7E9B">
        <w:rPr>
          <w:rFonts w:ascii="Arial" w:hAnsi="Arial" w:cs="Calibri"/>
          <w:bCs/>
          <w:sz w:val="16"/>
          <w:szCs w:val="26"/>
          <w:lang w:eastAsia="de-DE"/>
        </w:rPr>
        <w:t xml:space="preserve">Die KISTERS AG ist ein weltweit tätiges IT-Unternehmen, das mit über 500 Mitarbeitern u.a. Ressourcen-Management-Systeme für Energie, Wasser und Luft entwickelt. Aufgrund der fachlichen Kompetenz und der Branchen- und Einsatzerfahrung in zahlreichen Ländern ist KISTERS ein international erfolgreicher Lösungspartner. Für die Energiewirtschaft mit ihren Geschäftsfeldern Energiegewinnung, -verteilung, -vermarktung/-handel sowie -nutzung entwickelt KISTERS marktkonforme und zukunftsweisende Lösungen. Das Portfolio enthält Software für u.a. Energiedaten- und Portfoliomanagement, Prognose, Virtuelle Kraftwerke, Smart </w:t>
      </w:r>
      <w:proofErr w:type="spellStart"/>
      <w:r w:rsidRPr="000C7E9B">
        <w:rPr>
          <w:rFonts w:ascii="Arial" w:hAnsi="Arial" w:cs="Calibri"/>
          <w:bCs/>
          <w:sz w:val="16"/>
          <w:szCs w:val="26"/>
          <w:lang w:eastAsia="de-DE"/>
        </w:rPr>
        <w:t>Metering</w:t>
      </w:r>
      <w:proofErr w:type="spellEnd"/>
      <w:r w:rsidRPr="000C7E9B">
        <w:rPr>
          <w:rFonts w:ascii="Arial" w:hAnsi="Arial" w:cs="Calibri"/>
          <w:bCs/>
          <w:sz w:val="16"/>
          <w:szCs w:val="26"/>
          <w:lang w:eastAsia="de-DE"/>
        </w:rPr>
        <w:t xml:space="preserve">, Smart </w:t>
      </w:r>
      <w:proofErr w:type="spellStart"/>
      <w:r w:rsidRPr="000C7E9B">
        <w:rPr>
          <w:rFonts w:ascii="Arial" w:hAnsi="Arial" w:cs="Calibri"/>
          <w:bCs/>
          <w:sz w:val="16"/>
          <w:szCs w:val="26"/>
          <w:lang w:eastAsia="de-DE"/>
        </w:rPr>
        <w:t>Grid</w:t>
      </w:r>
      <w:proofErr w:type="spellEnd"/>
      <w:r w:rsidRPr="000C7E9B">
        <w:rPr>
          <w:rFonts w:ascii="Arial" w:hAnsi="Arial" w:cs="Calibri"/>
          <w:bCs/>
          <w:sz w:val="16"/>
          <w:szCs w:val="26"/>
          <w:lang w:eastAsia="de-DE"/>
        </w:rPr>
        <w:t xml:space="preserve">/Leittechnik sowie für das </w:t>
      </w:r>
      <w:proofErr w:type="spellStart"/>
      <w:r w:rsidRPr="000C7E9B">
        <w:rPr>
          <w:rFonts w:ascii="Arial" w:hAnsi="Arial" w:cs="Calibri"/>
          <w:bCs/>
          <w:sz w:val="16"/>
          <w:szCs w:val="26"/>
          <w:lang w:eastAsia="de-DE"/>
        </w:rPr>
        <w:t>Lifecycle</w:t>
      </w:r>
      <w:proofErr w:type="spellEnd"/>
      <w:r w:rsidRPr="000C7E9B">
        <w:rPr>
          <w:rFonts w:ascii="Arial" w:hAnsi="Arial" w:cs="Calibri"/>
          <w:bCs/>
          <w:sz w:val="16"/>
          <w:szCs w:val="26"/>
          <w:lang w:eastAsia="de-DE"/>
        </w:rPr>
        <w:t>- und Asset-Management von Anlagen und Netzen. Mehr als 750 Unternehmen aus der Energiewirtschaft und der Industrie setzen auf KISTERS Software. </w:t>
      </w:r>
    </w:p>
    <w:p w14:paraId="52A30E9D" w14:textId="16E9940B" w:rsidR="00635CE5" w:rsidRPr="00635CE5" w:rsidRDefault="00595EA6" w:rsidP="00635CE5">
      <w:pPr>
        <w:spacing w:line="240" w:lineRule="auto"/>
        <w:ind w:right="-1701"/>
        <w:rPr>
          <w:rFonts w:ascii="Arial" w:hAnsi="Arial" w:cs="Calibri"/>
          <w:bCs/>
          <w:sz w:val="16"/>
          <w:szCs w:val="26"/>
          <w:lang w:eastAsia="de-DE"/>
        </w:rPr>
      </w:pPr>
      <w:r w:rsidRPr="00595EA6">
        <w:rPr>
          <w:rFonts w:ascii="Arial" w:hAnsi="Arial" w:cs="Calibri"/>
          <w:b/>
          <w:sz w:val="16"/>
          <w:szCs w:val="26"/>
          <w:lang w:eastAsia="de-DE"/>
        </w:rPr>
        <w:t xml:space="preserve">Über </w:t>
      </w:r>
      <w:proofErr w:type="spellStart"/>
      <w:r w:rsidRPr="00595EA6">
        <w:rPr>
          <w:rFonts w:ascii="Arial" w:hAnsi="Arial" w:cs="Calibri"/>
          <w:b/>
          <w:sz w:val="16"/>
          <w:szCs w:val="26"/>
          <w:lang w:eastAsia="de-DE"/>
        </w:rPr>
        <w:t>meterpan</w:t>
      </w:r>
      <w:proofErr w:type="spellEnd"/>
      <w:r w:rsidR="00635CE5">
        <w:rPr>
          <w:rFonts w:ascii="Arial" w:hAnsi="Arial" w:cs="Calibri"/>
          <w:b/>
          <w:sz w:val="16"/>
          <w:szCs w:val="26"/>
          <w:lang w:eastAsia="de-DE"/>
        </w:rPr>
        <w:br/>
      </w:r>
      <w:r w:rsidR="00635CE5" w:rsidRPr="00635CE5">
        <w:rPr>
          <w:rFonts w:ascii="Arial" w:hAnsi="Arial" w:cs="Calibri"/>
          <w:bCs/>
          <w:sz w:val="16"/>
          <w:szCs w:val="26"/>
          <w:lang w:eastAsia="de-DE"/>
        </w:rPr>
        <w:t xml:space="preserve">Die </w:t>
      </w:r>
      <w:proofErr w:type="spellStart"/>
      <w:r w:rsidR="00635CE5" w:rsidRPr="00635CE5">
        <w:rPr>
          <w:rFonts w:ascii="Arial" w:hAnsi="Arial" w:cs="Calibri"/>
          <w:bCs/>
          <w:sz w:val="16"/>
          <w:szCs w:val="26"/>
          <w:lang w:eastAsia="de-DE"/>
        </w:rPr>
        <w:t>MeterPan</w:t>
      </w:r>
      <w:proofErr w:type="spellEnd"/>
      <w:r w:rsidR="00635CE5" w:rsidRPr="00635CE5">
        <w:rPr>
          <w:rFonts w:ascii="Arial" w:hAnsi="Arial" w:cs="Calibri"/>
          <w:bCs/>
          <w:sz w:val="16"/>
          <w:szCs w:val="26"/>
          <w:lang w:eastAsia="de-DE"/>
        </w:rPr>
        <w:t xml:space="preserve"> GmbH ist ein Unternehmen der IVU Informationssysteme GmbH, der DZG Oranienburg mbH, der Deutschen Netzmarketing GmbH und der Stadtwerke Norderstedt. Jedes dieser Unternehmen sorgt mit seinen Erfahrungen und seiner Expertise dafür, dass die </w:t>
      </w:r>
      <w:proofErr w:type="spellStart"/>
      <w:r w:rsidR="00635CE5" w:rsidRPr="00635CE5">
        <w:rPr>
          <w:rFonts w:ascii="Arial" w:hAnsi="Arial" w:cs="Calibri"/>
          <w:bCs/>
          <w:sz w:val="16"/>
          <w:szCs w:val="26"/>
          <w:lang w:eastAsia="de-DE"/>
        </w:rPr>
        <w:t>MeterPan</w:t>
      </w:r>
      <w:proofErr w:type="spellEnd"/>
      <w:r w:rsidR="00635CE5" w:rsidRPr="00635CE5">
        <w:rPr>
          <w:rFonts w:ascii="Arial" w:hAnsi="Arial" w:cs="Calibri"/>
          <w:bCs/>
          <w:sz w:val="16"/>
          <w:szCs w:val="26"/>
          <w:lang w:eastAsia="de-DE"/>
        </w:rPr>
        <w:t xml:space="preserve"> ihre Kunden über die gesamte Strecke begleiten kann: Von der Lieferung und Installation der Messsysteme über die Messdienstleistung bis hin zur Gateway-Administration als Hosting- und Dienstleistungslösung – </w:t>
      </w:r>
      <w:proofErr w:type="spellStart"/>
      <w:r w:rsidR="00635CE5" w:rsidRPr="00635CE5">
        <w:rPr>
          <w:rFonts w:ascii="Arial" w:hAnsi="Arial" w:cs="Calibri"/>
          <w:bCs/>
          <w:sz w:val="16"/>
          <w:szCs w:val="26"/>
          <w:lang w:eastAsia="de-DE"/>
        </w:rPr>
        <w:t>MeterPan</w:t>
      </w:r>
      <w:proofErr w:type="spellEnd"/>
      <w:r w:rsidR="00635CE5" w:rsidRPr="00635CE5">
        <w:rPr>
          <w:rFonts w:ascii="Arial" w:hAnsi="Arial" w:cs="Calibri"/>
          <w:bCs/>
          <w:sz w:val="16"/>
          <w:szCs w:val="26"/>
          <w:lang w:eastAsia="de-DE"/>
        </w:rPr>
        <w:t xml:space="preserve"> versorgt ihre Kunden mit einer professionellen und modularen Komplettlösung für alle Belange des neuen Messwesens.</w:t>
      </w:r>
    </w:p>
    <w:p w14:paraId="615863D1" w14:textId="067733F3" w:rsidR="00FE48A6" w:rsidRPr="00B2745D" w:rsidRDefault="00FE48A6" w:rsidP="00C51C55"/>
    <w:sectPr w:rsidR="00FE48A6" w:rsidRPr="00B2745D" w:rsidSect="00D53DA2">
      <w:headerReference w:type="default" r:id="rId11"/>
      <w:footerReference w:type="even" r:id="rId12"/>
      <w:footerReference w:type="default" r:id="rId13"/>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D7137" w14:textId="77777777" w:rsidR="00DC31CE" w:rsidRDefault="00DC31CE">
      <w:r>
        <w:separator/>
      </w:r>
    </w:p>
  </w:endnote>
  <w:endnote w:type="continuationSeparator" w:id="0">
    <w:p w14:paraId="2979B613" w14:textId="77777777" w:rsidR="00DC31CE" w:rsidRDefault="00DC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rdia New">
    <w:panose1 w:val="020B0304020202020204"/>
    <w:charset w:val="00"/>
    <w:family w:val="auto"/>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3AD0B1DC"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A0657" w14:textId="77777777" w:rsidR="00DC31CE" w:rsidRDefault="00DC31CE">
      <w:r>
        <w:separator/>
      </w:r>
    </w:p>
  </w:footnote>
  <w:footnote w:type="continuationSeparator" w:id="0">
    <w:p w14:paraId="17C97CE3" w14:textId="77777777" w:rsidR="00DC31CE" w:rsidRDefault="00DC31C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2F269C15" w:rsidR="003A43A2" w:rsidRDefault="00560751" w:rsidP="00FE48A6">
    <w:pPr>
      <w:pStyle w:val="Kopfzeile"/>
      <w:tabs>
        <w:tab w:val="clear" w:pos="9072"/>
        <w:tab w:val="right" w:pos="9639"/>
      </w:tabs>
      <w:ind w:right="-2268"/>
      <w:jc w:val="right"/>
    </w:pPr>
    <w:r>
      <w:rPr>
        <w:noProof/>
        <w:lang w:eastAsia="de-DE" w:bidi="th-TH"/>
      </w:rPr>
      <w:drawing>
        <wp:inline distT="0" distB="0" distL="0" distR="0" wp14:anchorId="773EA219" wp14:editId="6E51B5E4">
          <wp:extent cx="1473123" cy="810661"/>
          <wp:effectExtent l="0" t="0" r="635"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120D4"/>
    <w:rsid w:val="00020962"/>
    <w:rsid w:val="0002498B"/>
    <w:rsid w:val="00032F50"/>
    <w:rsid w:val="00036B01"/>
    <w:rsid w:val="00040D86"/>
    <w:rsid w:val="00045258"/>
    <w:rsid w:val="0005086D"/>
    <w:rsid w:val="00051FB3"/>
    <w:rsid w:val="00060F4F"/>
    <w:rsid w:val="00064DC6"/>
    <w:rsid w:val="000712DC"/>
    <w:rsid w:val="000734D1"/>
    <w:rsid w:val="000809E7"/>
    <w:rsid w:val="00092780"/>
    <w:rsid w:val="00093AA5"/>
    <w:rsid w:val="00097330"/>
    <w:rsid w:val="000A6D42"/>
    <w:rsid w:val="000B2038"/>
    <w:rsid w:val="000B5AD9"/>
    <w:rsid w:val="000C0569"/>
    <w:rsid w:val="000C08EF"/>
    <w:rsid w:val="000C13A4"/>
    <w:rsid w:val="000C2BB8"/>
    <w:rsid w:val="000C313B"/>
    <w:rsid w:val="000C7E9B"/>
    <w:rsid w:val="000D5A8E"/>
    <w:rsid w:val="000D5B06"/>
    <w:rsid w:val="000D5FE9"/>
    <w:rsid w:val="000E5D79"/>
    <w:rsid w:val="000F6D38"/>
    <w:rsid w:val="00102BB9"/>
    <w:rsid w:val="00106410"/>
    <w:rsid w:val="00107620"/>
    <w:rsid w:val="00114F49"/>
    <w:rsid w:val="00122695"/>
    <w:rsid w:val="00122B29"/>
    <w:rsid w:val="00122F47"/>
    <w:rsid w:val="0012491E"/>
    <w:rsid w:val="00127E87"/>
    <w:rsid w:val="001307C5"/>
    <w:rsid w:val="00135DEE"/>
    <w:rsid w:val="00152D07"/>
    <w:rsid w:val="00165471"/>
    <w:rsid w:val="001708FB"/>
    <w:rsid w:val="00172559"/>
    <w:rsid w:val="00175745"/>
    <w:rsid w:val="001858F8"/>
    <w:rsid w:val="00194E4F"/>
    <w:rsid w:val="001A1096"/>
    <w:rsid w:val="001A2076"/>
    <w:rsid w:val="001A4984"/>
    <w:rsid w:val="001B1862"/>
    <w:rsid w:val="001C58AF"/>
    <w:rsid w:val="001C6862"/>
    <w:rsid w:val="001C6A6A"/>
    <w:rsid w:val="001D12AA"/>
    <w:rsid w:val="001E0FCA"/>
    <w:rsid w:val="001E200F"/>
    <w:rsid w:val="001E308F"/>
    <w:rsid w:val="001E46E6"/>
    <w:rsid w:val="00235691"/>
    <w:rsid w:val="002556E7"/>
    <w:rsid w:val="00272362"/>
    <w:rsid w:val="00275197"/>
    <w:rsid w:val="002751DA"/>
    <w:rsid w:val="002A28CE"/>
    <w:rsid w:val="002A4BEA"/>
    <w:rsid w:val="002B275A"/>
    <w:rsid w:val="002C201B"/>
    <w:rsid w:val="002C5994"/>
    <w:rsid w:val="002D0338"/>
    <w:rsid w:val="002D1696"/>
    <w:rsid w:val="002D19F2"/>
    <w:rsid w:val="002D1F28"/>
    <w:rsid w:val="002D28F5"/>
    <w:rsid w:val="002D7510"/>
    <w:rsid w:val="002E1BC0"/>
    <w:rsid w:val="0031677D"/>
    <w:rsid w:val="003179A3"/>
    <w:rsid w:val="00324F5C"/>
    <w:rsid w:val="00333E51"/>
    <w:rsid w:val="00345753"/>
    <w:rsid w:val="003467EA"/>
    <w:rsid w:val="00363C56"/>
    <w:rsid w:val="00366811"/>
    <w:rsid w:val="00366E84"/>
    <w:rsid w:val="0037633E"/>
    <w:rsid w:val="00376B33"/>
    <w:rsid w:val="0038387B"/>
    <w:rsid w:val="003A1A5E"/>
    <w:rsid w:val="003A1B6D"/>
    <w:rsid w:val="003A43A2"/>
    <w:rsid w:val="003A775C"/>
    <w:rsid w:val="003C2165"/>
    <w:rsid w:val="003D55A3"/>
    <w:rsid w:val="003D7800"/>
    <w:rsid w:val="003E10C2"/>
    <w:rsid w:val="003E189B"/>
    <w:rsid w:val="003E1CF6"/>
    <w:rsid w:val="003E5F6C"/>
    <w:rsid w:val="003F3403"/>
    <w:rsid w:val="003F55EF"/>
    <w:rsid w:val="004043AF"/>
    <w:rsid w:val="004054D6"/>
    <w:rsid w:val="00405CCA"/>
    <w:rsid w:val="00406D81"/>
    <w:rsid w:val="00410CD5"/>
    <w:rsid w:val="004110F6"/>
    <w:rsid w:val="00425A22"/>
    <w:rsid w:val="00425E5F"/>
    <w:rsid w:val="00432E47"/>
    <w:rsid w:val="0044765C"/>
    <w:rsid w:val="00454B81"/>
    <w:rsid w:val="00457490"/>
    <w:rsid w:val="00470089"/>
    <w:rsid w:val="004712B6"/>
    <w:rsid w:val="00477E0F"/>
    <w:rsid w:val="0048030E"/>
    <w:rsid w:val="004851B3"/>
    <w:rsid w:val="0048658B"/>
    <w:rsid w:val="004909C2"/>
    <w:rsid w:val="00493267"/>
    <w:rsid w:val="004A2502"/>
    <w:rsid w:val="004A32B5"/>
    <w:rsid w:val="004A76DC"/>
    <w:rsid w:val="004B430F"/>
    <w:rsid w:val="004B6B57"/>
    <w:rsid w:val="004C24AD"/>
    <w:rsid w:val="004C38CC"/>
    <w:rsid w:val="004D42F9"/>
    <w:rsid w:val="004E2379"/>
    <w:rsid w:val="004E5964"/>
    <w:rsid w:val="004F2F02"/>
    <w:rsid w:val="004F79BE"/>
    <w:rsid w:val="0050632B"/>
    <w:rsid w:val="00511F1D"/>
    <w:rsid w:val="00513A25"/>
    <w:rsid w:val="00517604"/>
    <w:rsid w:val="00521E09"/>
    <w:rsid w:val="005246FF"/>
    <w:rsid w:val="00535049"/>
    <w:rsid w:val="00535FC2"/>
    <w:rsid w:val="005519C2"/>
    <w:rsid w:val="0055421E"/>
    <w:rsid w:val="00560751"/>
    <w:rsid w:val="005639AD"/>
    <w:rsid w:val="00565FD4"/>
    <w:rsid w:val="00574C52"/>
    <w:rsid w:val="00575F36"/>
    <w:rsid w:val="00576A13"/>
    <w:rsid w:val="00576B32"/>
    <w:rsid w:val="00583BF7"/>
    <w:rsid w:val="0058795D"/>
    <w:rsid w:val="005937FF"/>
    <w:rsid w:val="00595CF3"/>
    <w:rsid w:val="00595EA6"/>
    <w:rsid w:val="0059648C"/>
    <w:rsid w:val="005B3718"/>
    <w:rsid w:val="005C0411"/>
    <w:rsid w:val="005D06AC"/>
    <w:rsid w:val="005D23B7"/>
    <w:rsid w:val="005E006B"/>
    <w:rsid w:val="005F2C2F"/>
    <w:rsid w:val="005F375D"/>
    <w:rsid w:val="005F3918"/>
    <w:rsid w:val="0060646D"/>
    <w:rsid w:val="00614428"/>
    <w:rsid w:val="00617317"/>
    <w:rsid w:val="006205F9"/>
    <w:rsid w:val="00632098"/>
    <w:rsid w:val="00635CE5"/>
    <w:rsid w:val="00644E9F"/>
    <w:rsid w:val="00645730"/>
    <w:rsid w:val="006568C1"/>
    <w:rsid w:val="00667CBE"/>
    <w:rsid w:val="00675809"/>
    <w:rsid w:val="00693603"/>
    <w:rsid w:val="006963F7"/>
    <w:rsid w:val="006A0673"/>
    <w:rsid w:val="006A0FEA"/>
    <w:rsid w:val="006B0312"/>
    <w:rsid w:val="006B72FA"/>
    <w:rsid w:val="006E0BB7"/>
    <w:rsid w:val="006E468B"/>
    <w:rsid w:val="006E5937"/>
    <w:rsid w:val="006F6C95"/>
    <w:rsid w:val="00733F48"/>
    <w:rsid w:val="0073656F"/>
    <w:rsid w:val="007367F7"/>
    <w:rsid w:val="00737E3A"/>
    <w:rsid w:val="00741F98"/>
    <w:rsid w:val="00746812"/>
    <w:rsid w:val="00752F6B"/>
    <w:rsid w:val="00757073"/>
    <w:rsid w:val="0076126F"/>
    <w:rsid w:val="00764A09"/>
    <w:rsid w:val="00770008"/>
    <w:rsid w:val="007706D1"/>
    <w:rsid w:val="00772476"/>
    <w:rsid w:val="00774940"/>
    <w:rsid w:val="00783CEE"/>
    <w:rsid w:val="00791F82"/>
    <w:rsid w:val="00793AB8"/>
    <w:rsid w:val="007A2057"/>
    <w:rsid w:val="007B0E4F"/>
    <w:rsid w:val="007B4B9E"/>
    <w:rsid w:val="007C1274"/>
    <w:rsid w:val="007C3EFB"/>
    <w:rsid w:val="007C5A78"/>
    <w:rsid w:val="007E1E5C"/>
    <w:rsid w:val="007E37CB"/>
    <w:rsid w:val="007F7D4A"/>
    <w:rsid w:val="00803D59"/>
    <w:rsid w:val="00804587"/>
    <w:rsid w:val="00811D53"/>
    <w:rsid w:val="0081245E"/>
    <w:rsid w:val="00823230"/>
    <w:rsid w:val="00823A31"/>
    <w:rsid w:val="008331D8"/>
    <w:rsid w:val="0083770B"/>
    <w:rsid w:val="0084392B"/>
    <w:rsid w:val="008474DE"/>
    <w:rsid w:val="00853823"/>
    <w:rsid w:val="00863D68"/>
    <w:rsid w:val="00864136"/>
    <w:rsid w:val="0088157B"/>
    <w:rsid w:val="008825F3"/>
    <w:rsid w:val="0088514D"/>
    <w:rsid w:val="00894092"/>
    <w:rsid w:val="00894BE0"/>
    <w:rsid w:val="008A57BB"/>
    <w:rsid w:val="008B4462"/>
    <w:rsid w:val="008B5B1E"/>
    <w:rsid w:val="008B69E2"/>
    <w:rsid w:val="008B7437"/>
    <w:rsid w:val="008C5997"/>
    <w:rsid w:val="008D185B"/>
    <w:rsid w:val="008D3090"/>
    <w:rsid w:val="008D392D"/>
    <w:rsid w:val="008E6C77"/>
    <w:rsid w:val="008F07C1"/>
    <w:rsid w:val="008F2D96"/>
    <w:rsid w:val="008F68EF"/>
    <w:rsid w:val="00902719"/>
    <w:rsid w:val="00903A51"/>
    <w:rsid w:val="009043EE"/>
    <w:rsid w:val="00914A72"/>
    <w:rsid w:val="00916458"/>
    <w:rsid w:val="00921B7A"/>
    <w:rsid w:val="0093086E"/>
    <w:rsid w:val="009333FD"/>
    <w:rsid w:val="009378C5"/>
    <w:rsid w:val="00943667"/>
    <w:rsid w:val="00947BDC"/>
    <w:rsid w:val="009520FE"/>
    <w:rsid w:val="00961AD9"/>
    <w:rsid w:val="009668A5"/>
    <w:rsid w:val="00970937"/>
    <w:rsid w:val="00971D24"/>
    <w:rsid w:val="00973837"/>
    <w:rsid w:val="00980D69"/>
    <w:rsid w:val="00984451"/>
    <w:rsid w:val="00984EEC"/>
    <w:rsid w:val="009873C5"/>
    <w:rsid w:val="009A30BF"/>
    <w:rsid w:val="009A7A52"/>
    <w:rsid w:val="009B0EFC"/>
    <w:rsid w:val="009B1B65"/>
    <w:rsid w:val="009C6A33"/>
    <w:rsid w:val="009C7BF7"/>
    <w:rsid w:val="009D20BB"/>
    <w:rsid w:val="009F1031"/>
    <w:rsid w:val="00A0122C"/>
    <w:rsid w:val="00A0763D"/>
    <w:rsid w:val="00A10E4F"/>
    <w:rsid w:val="00A12303"/>
    <w:rsid w:val="00A124CC"/>
    <w:rsid w:val="00A12E20"/>
    <w:rsid w:val="00A14223"/>
    <w:rsid w:val="00A30045"/>
    <w:rsid w:val="00A31345"/>
    <w:rsid w:val="00A3451E"/>
    <w:rsid w:val="00A363D4"/>
    <w:rsid w:val="00A51F3A"/>
    <w:rsid w:val="00A56D07"/>
    <w:rsid w:val="00A604E8"/>
    <w:rsid w:val="00A65506"/>
    <w:rsid w:val="00A6600D"/>
    <w:rsid w:val="00A672F6"/>
    <w:rsid w:val="00A67754"/>
    <w:rsid w:val="00A73AC3"/>
    <w:rsid w:val="00A77BBC"/>
    <w:rsid w:val="00A85E92"/>
    <w:rsid w:val="00A92B64"/>
    <w:rsid w:val="00A941BA"/>
    <w:rsid w:val="00AA2FE1"/>
    <w:rsid w:val="00AB7591"/>
    <w:rsid w:val="00AE3863"/>
    <w:rsid w:val="00AF0BE2"/>
    <w:rsid w:val="00AF1D9E"/>
    <w:rsid w:val="00B1628C"/>
    <w:rsid w:val="00B2745D"/>
    <w:rsid w:val="00B4126D"/>
    <w:rsid w:val="00B54F30"/>
    <w:rsid w:val="00B62065"/>
    <w:rsid w:val="00B63171"/>
    <w:rsid w:val="00B86EC2"/>
    <w:rsid w:val="00B87471"/>
    <w:rsid w:val="00BA5FB0"/>
    <w:rsid w:val="00BA7303"/>
    <w:rsid w:val="00BB487D"/>
    <w:rsid w:val="00BC2F70"/>
    <w:rsid w:val="00BC2F7F"/>
    <w:rsid w:val="00BC5768"/>
    <w:rsid w:val="00BC7023"/>
    <w:rsid w:val="00BE053E"/>
    <w:rsid w:val="00BE1471"/>
    <w:rsid w:val="00BE5B4A"/>
    <w:rsid w:val="00BF00B8"/>
    <w:rsid w:val="00BF70C0"/>
    <w:rsid w:val="00C00270"/>
    <w:rsid w:val="00C0359B"/>
    <w:rsid w:val="00C11718"/>
    <w:rsid w:val="00C124D1"/>
    <w:rsid w:val="00C25852"/>
    <w:rsid w:val="00C51C55"/>
    <w:rsid w:val="00C6146F"/>
    <w:rsid w:val="00C6183F"/>
    <w:rsid w:val="00C62E40"/>
    <w:rsid w:val="00C644DB"/>
    <w:rsid w:val="00C73CA9"/>
    <w:rsid w:val="00C7604D"/>
    <w:rsid w:val="00C83E25"/>
    <w:rsid w:val="00C96BC2"/>
    <w:rsid w:val="00CA2704"/>
    <w:rsid w:val="00CD395A"/>
    <w:rsid w:val="00CE4B1C"/>
    <w:rsid w:val="00CF4E1F"/>
    <w:rsid w:val="00D0021E"/>
    <w:rsid w:val="00D13CB5"/>
    <w:rsid w:val="00D16139"/>
    <w:rsid w:val="00D20DFE"/>
    <w:rsid w:val="00D26FA2"/>
    <w:rsid w:val="00D35749"/>
    <w:rsid w:val="00D35F0E"/>
    <w:rsid w:val="00D500C9"/>
    <w:rsid w:val="00D50D14"/>
    <w:rsid w:val="00D52F3D"/>
    <w:rsid w:val="00D5304C"/>
    <w:rsid w:val="00D53DA2"/>
    <w:rsid w:val="00D77FE4"/>
    <w:rsid w:val="00D83959"/>
    <w:rsid w:val="00D923CC"/>
    <w:rsid w:val="00D95B01"/>
    <w:rsid w:val="00DA2579"/>
    <w:rsid w:val="00DA3F70"/>
    <w:rsid w:val="00DA4F82"/>
    <w:rsid w:val="00DB0CE5"/>
    <w:rsid w:val="00DC31CE"/>
    <w:rsid w:val="00DC445F"/>
    <w:rsid w:val="00DC5F6C"/>
    <w:rsid w:val="00DC7643"/>
    <w:rsid w:val="00DD7286"/>
    <w:rsid w:val="00DE1531"/>
    <w:rsid w:val="00DE2EB6"/>
    <w:rsid w:val="00DE4B79"/>
    <w:rsid w:val="00DF68C5"/>
    <w:rsid w:val="00E02730"/>
    <w:rsid w:val="00E1218D"/>
    <w:rsid w:val="00E37B54"/>
    <w:rsid w:val="00E409DF"/>
    <w:rsid w:val="00E47E25"/>
    <w:rsid w:val="00E530A5"/>
    <w:rsid w:val="00E54882"/>
    <w:rsid w:val="00E62903"/>
    <w:rsid w:val="00E62CBD"/>
    <w:rsid w:val="00E83A83"/>
    <w:rsid w:val="00E915CC"/>
    <w:rsid w:val="00EA0E6E"/>
    <w:rsid w:val="00EA755D"/>
    <w:rsid w:val="00EB026E"/>
    <w:rsid w:val="00EB1349"/>
    <w:rsid w:val="00EB77F7"/>
    <w:rsid w:val="00EC14F0"/>
    <w:rsid w:val="00ED247E"/>
    <w:rsid w:val="00ED53FF"/>
    <w:rsid w:val="00EE15AD"/>
    <w:rsid w:val="00EE403A"/>
    <w:rsid w:val="00EE44FC"/>
    <w:rsid w:val="00EF0E88"/>
    <w:rsid w:val="00EF1E53"/>
    <w:rsid w:val="00F112E3"/>
    <w:rsid w:val="00F11A58"/>
    <w:rsid w:val="00F122B4"/>
    <w:rsid w:val="00F20B7D"/>
    <w:rsid w:val="00F23364"/>
    <w:rsid w:val="00F24B57"/>
    <w:rsid w:val="00F254C3"/>
    <w:rsid w:val="00F3050A"/>
    <w:rsid w:val="00F31CE5"/>
    <w:rsid w:val="00F33075"/>
    <w:rsid w:val="00F42BC2"/>
    <w:rsid w:val="00F44C5C"/>
    <w:rsid w:val="00F45E0A"/>
    <w:rsid w:val="00F47247"/>
    <w:rsid w:val="00F50498"/>
    <w:rsid w:val="00F55A89"/>
    <w:rsid w:val="00F61560"/>
    <w:rsid w:val="00F61A36"/>
    <w:rsid w:val="00F717EB"/>
    <w:rsid w:val="00F771FF"/>
    <w:rsid w:val="00F9031E"/>
    <w:rsid w:val="00F96E98"/>
    <w:rsid w:val="00FA13E1"/>
    <w:rsid w:val="00FA3705"/>
    <w:rsid w:val="00FB0927"/>
    <w:rsid w:val="00FB3528"/>
    <w:rsid w:val="00FB6A61"/>
    <w:rsid w:val="00FB7D61"/>
    <w:rsid w:val="00FC18FD"/>
    <w:rsid w:val="00FC4BAD"/>
    <w:rsid w:val="00FD7591"/>
    <w:rsid w:val="00FE48A6"/>
    <w:rsid w:val="00FF3351"/>
    <w:rsid w:val="00FF3B59"/>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056665">
      <w:bodyDiv w:val="1"/>
      <w:marLeft w:val="0"/>
      <w:marRight w:val="0"/>
      <w:marTop w:val="0"/>
      <w:marBottom w:val="0"/>
      <w:divBdr>
        <w:top w:val="none" w:sz="0" w:space="0" w:color="auto"/>
        <w:left w:val="none" w:sz="0" w:space="0" w:color="auto"/>
        <w:bottom w:val="none" w:sz="0" w:space="0" w:color="auto"/>
        <w:right w:val="none" w:sz="0" w:space="0" w:color="auto"/>
      </w:divBdr>
    </w:div>
    <w:div w:id="18800435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5154</Characters>
  <Application>Microsoft Macintosh Word</Application>
  <DocSecurity>0</DocSecurity>
  <Lines>42</Lines>
  <Paragraphs>11</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PRESSEINFORMATION </vt:lpstr>
      <vt:lpstr>Ulm, 24. November 2016</vt:lpstr>
    </vt:vector>
  </TitlesOfParts>
  <Company>Press'n'Relations </Company>
  <LinksUpToDate>false</LinksUpToDate>
  <CharactersWithSpaces>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7</cp:revision>
  <cp:lastPrinted>2016-11-18T15:37:00Z</cp:lastPrinted>
  <dcterms:created xsi:type="dcterms:W3CDTF">2016-11-22T07:29:00Z</dcterms:created>
  <dcterms:modified xsi:type="dcterms:W3CDTF">2016-11-22T12:20:00Z</dcterms:modified>
</cp:coreProperties>
</file>