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FC1FC2">
      <w:pPr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333A9BD1" w14:textId="362F426C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FC1FC2">
        <w:rPr>
          <w:sz w:val="20"/>
        </w:rPr>
        <w:t>7</w:t>
      </w:r>
      <w:r w:rsidR="001019ED">
        <w:rPr>
          <w:sz w:val="20"/>
        </w:rPr>
        <w:t>. Dez</w:t>
      </w:r>
      <w:r w:rsidR="00F61A36">
        <w:rPr>
          <w:sz w:val="20"/>
        </w:rPr>
        <w:t>ember</w:t>
      </w:r>
      <w:r w:rsidRPr="00B2745D">
        <w:rPr>
          <w:sz w:val="20"/>
        </w:rPr>
        <w:t xml:space="preserve"> 201</w:t>
      </w:r>
      <w:r w:rsidR="000E54C9">
        <w:rPr>
          <w:sz w:val="20"/>
        </w:rPr>
        <w:t>7</w:t>
      </w:r>
    </w:p>
    <w:p w14:paraId="2ACA755F" w14:textId="2F30DC35" w:rsidR="000E54C9" w:rsidRPr="000E54C9" w:rsidRDefault="000E54C9" w:rsidP="000E54C9">
      <w:pPr>
        <w:ind w:right="-993"/>
        <w:rPr>
          <w:rFonts w:cs="Arial"/>
          <w:b/>
        </w:rPr>
      </w:pPr>
      <w:r w:rsidRPr="002E4FB3">
        <w:rPr>
          <w:rFonts w:cs="Arial"/>
          <w:b/>
        </w:rPr>
        <w:t>E-world 201</w:t>
      </w:r>
      <w:r>
        <w:rPr>
          <w:rFonts w:cs="Arial"/>
          <w:b/>
        </w:rPr>
        <w:t>7 – 7</w:t>
      </w:r>
      <w:r w:rsidRPr="002E4FB3">
        <w:rPr>
          <w:rFonts w:cs="Arial"/>
          <w:b/>
        </w:rPr>
        <w:t xml:space="preserve">. </w:t>
      </w:r>
      <w:r>
        <w:rPr>
          <w:rFonts w:cs="Arial"/>
          <w:b/>
        </w:rPr>
        <w:t>bis</w:t>
      </w:r>
      <w:r w:rsidRPr="002E4FB3">
        <w:rPr>
          <w:rFonts w:cs="Arial"/>
          <w:b/>
        </w:rPr>
        <w:t xml:space="preserve"> </w:t>
      </w:r>
      <w:r>
        <w:rPr>
          <w:rFonts w:cs="Arial"/>
          <w:b/>
        </w:rPr>
        <w:t>9. Februar 2017</w:t>
      </w:r>
      <w:r w:rsidRPr="002E4FB3">
        <w:rPr>
          <w:rFonts w:cs="Arial"/>
          <w:b/>
        </w:rPr>
        <w:t xml:space="preserve"> in Essen </w:t>
      </w:r>
      <w:r>
        <w:rPr>
          <w:rFonts w:cs="Arial"/>
          <w:b/>
        </w:rPr>
        <w:t>–</w:t>
      </w:r>
      <w:r w:rsidRPr="002E4FB3">
        <w:rPr>
          <w:rFonts w:cs="Arial"/>
          <w:b/>
        </w:rPr>
        <w:t xml:space="preserve"> Halle 3, Stand </w:t>
      </w:r>
      <w:r>
        <w:rPr>
          <w:rFonts w:cs="Arial"/>
          <w:b/>
        </w:rPr>
        <w:t>131</w:t>
      </w:r>
    </w:p>
    <w:p w14:paraId="67E2BA79" w14:textId="5107358D" w:rsidR="007E1E5C" w:rsidRPr="00A77B4C" w:rsidRDefault="00A678B8" w:rsidP="00A77B4C">
      <w:pPr>
        <w:spacing w:line="312" w:lineRule="auto"/>
        <w:ind w:right="-19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Alles easy: </w:t>
      </w:r>
      <w:r w:rsidR="00A77B4C">
        <w:rPr>
          <w:b/>
          <w:bCs/>
          <w:sz w:val="28"/>
          <w:szCs w:val="28"/>
        </w:rPr>
        <w:t xml:space="preserve">Von </w:t>
      </w:r>
      <w:r w:rsidR="008513EE">
        <w:rPr>
          <w:b/>
          <w:bCs/>
          <w:sz w:val="28"/>
          <w:szCs w:val="28"/>
        </w:rPr>
        <w:t xml:space="preserve">Prozessautomatisierung </w:t>
      </w:r>
      <w:r w:rsidR="00A77B4C">
        <w:rPr>
          <w:b/>
          <w:bCs/>
          <w:sz w:val="28"/>
          <w:szCs w:val="28"/>
        </w:rPr>
        <w:t xml:space="preserve">über </w:t>
      </w:r>
      <w:r w:rsidR="008513EE">
        <w:rPr>
          <w:b/>
          <w:bCs/>
          <w:sz w:val="28"/>
          <w:szCs w:val="28"/>
        </w:rPr>
        <w:br/>
        <w:t xml:space="preserve">SMGA &amp; easy metering </w:t>
      </w:r>
      <w:r w:rsidR="00A77B4C">
        <w:rPr>
          <w:b/>
          <w:bCs/>
          <w:sz w:val="28"/>
          <w:szCs w:val="28"/>
        </w:rPr>
        <w:t xml:space="preserve">bis </w:t>
      </w:r>
      <w:r w:rsidR="008513EE">
        <w:rPr>
          <w:b/>
          <w:bCs/>
          <w:sz w:val="28"/>
          <w:szCs w:val="28"/>
        </w:rPr>
        <w:t>Business Analytics</w:t>
      </w:r>
      <w:r w:rsidR="00DC5F6C">
        <w:rPr>
          <w:b/>
          <w:bCs/>
          <w:sz w:val="28"/>
          <w:szCs w:val="28"/>
        </w:rPr>
        <w:br/>
      </w:r>
      <w:r w:rsidR="00A77B4C">
        <w:rPr>
          <w:b/>
          <w:bCs/>
          <w:szCs w:val="22"/>
        </w:rPr>
        <w:t>Wilken Software Group</w:t>
      </w:r>
      <w:r w:rsidR="006E0BB7">
        <w:rPr>
          <w:b/>
          <w:bCs/>
          <w:szCs w:val="22"/>
        </w:rPr>
        <w:t xml:space="preserve"> </w:t>
      </w:r>
      <w:r w:rsidR="00A77B4C">
        <w:rPr>
          <w:b/>
          <w:bCs/>
          <w:szCs w:val="22"/>
        </w:rPr>
        <w:t>mit vollem Messefahrplan auf der E-world</w:t>
      </w:r>
    </w:p>
    <w:p w14:paraId="48FC7DD9" w14:textId="711FDD90" w:rsidR="00317F93" w:rsidRDefault="00A77B4C" w:rsidP="00A77B4C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>Die Wilken Software Group zeigt auf der E-world 2017 in Essen ein ganzes Bündel an Erweiterungen</w:t>
      </w:r>
      <w:r w:rsidR="005B4249">
        <w:rPr>
          <w:rFonts w:cs="Helvetica"/>
          <w:b/>
          <w:bCs/>
          <w:sz w:val="20"/>
        </w:rPr>
        <w:t xml:space="preserve"> und </w:t>
      </w:r>
      <w:r w:rsidR="00D641CA">
        <w:rPr>
          <w:rFonts w:cs="Helvetica"/>
          <w:b/>
          <w:bCs/>
          <w:sz w:val="20"/>
        </w:rPr>
        <w:t xml:space="preserve">neuen </w:t>
      </w:r>
      <w:r w:rsidR="005B4249">
        <w:rPr>
          <w:rFonts w:cs="Helvetica"/>
          <w:b/>
          <w:bCs/>
          <w:sz w:val="20"/>
        </w:rPr>
        <w:t>Features</w:t>
      </w:r>
      <w:r>
        <w:rPr>
          <w:rFonts w:cs="Helvetica"/>
          <w:b/>
          <w:bCs/>
          <w:sz w:val="20"/>
        </w:rPr>
        <w:t xml:space="preserve"> für die Branchenlösungen ENER:GY und NTS.suite</w:t>
      </w:r>
      <w:r w:rsidR="00317F93">
        <w:rPr>
          <w:rFonts w:cs="Helvetica"/>
          <w:b/>
          <w:bCs/>
          <w:sz w:val="20"/>
        </w:rPr>
        <w:t xml:space="preserve"> sowie für das ERP-System CS/2</w:t>
      </w:r>
      <w:r w:rsidR="00345753">
        <w:rPr>
          <w:rFonts w:cs="Helvetica"/>
          <w:b/>
          <w:bCs/>
          <w:sz w:val="20"/>
        </w:rPr>
        <w:t>.</w:t>
      </w:r>
      <w:r>
        <w:rPr>
          <w:rFonts w:cs="Helvetica"/>
          <w:b/>
          <w:bCs/>
          <w:sz w:val="20"/>
        </w:rPr>
        <w:t xml:space="preserve"> </w:t>
      </w:r>
    </w:p>
    <w:p w14:paraId="72AB4441" w14:textId="5D089626" w:rsidR="00F02FBC" w:rsidRDefault="002D32ED" w:rsidP="00A77B4C">
      <w:pPr>
        <w:rPr>
          <w:rFonts w:cs="Helvetica"/>
          <w:sz w:val="20"/>
        </w:rPr>
      </w:pPr>
      <w:r w:rsidRPr="00532F73">
        <w:rPr>
          <w:rFonts w:cs="Helvetica"/>
          <w:sz w:val="20"/>
        </w:rPr>
        <w:t xml:space="preserve">Ein Fokus liegt auf der </w:t>
      </w:r>
      <w:r w:rsidRPr="00A64B2E">
        <w:rPr>
          <w:rFonts w:cs="Helvetica"/>
          <w:b/>
          <w:bCs/>
          <w:sz w:val="20"/>
        </w:rPr>
        <w:t>Prozessautomatisierung</w:t>
      </w:r>
      <w:r w:rsidRPr="00532F73">
        <w:rPr>
          <w:rFonts w:cs="Helvetica"/>
          <w:sz w:val="20"/>
        </w:rPr>
        <w:t>. Wilken zeigt hier, wie sich mithilfe der neuen P/5 Prozess</w:t>
      </w:r>
      <w:r>
        <w:rPr>
          <w:rFonts w:cs="Helvetica"/>
          <w:sz w:val="20"/>
        </w:rPr>
        <w:t>-E</w:t>
      </w:r>
      <w:r w:rsidRPr="00532F73">
        <w:rPr>
          <w:rFonts w:cs="Helvetica"/>
          <w:sz w:val="20"/>
        </w:rPr>
        <w:t xml:space="preserve">ngine zahlreiche Abläufe digitalisieren lassen, etwa im Kampagnen- oder Vertragsmanagement. </w:t>
      </w:r>
      <w:r w:rsidR="00FC1FC2" w:rsidRPr="00FC1FC2">
        <w:rPr>
          <w:rFonts w:cs="Helvetica"/>
          <w:sz w:val="20"/>
        </w:rPr>
        <w:t xml:space="preserve">Für die NTS.suite stehen ebenfalls </w:t>
      </w:r>
      <w:r w:rsidR="00FC1FC2" w:rsidRPr="00FC1FC2">
        <w:rPr>
          <w:rFonts w:cs="Helvetica"/>
          <w:b/>
          <w:bCs/>
          <w:sz w:val="20"/>
        </w:rPr>
        <w:t>weitere Workflows</w:t>
      </w:r>
      <w:r w:rsidR="00FC1FC2" w:rsidRPr="00FC1FC2">
        <w:rPr>
          <w:rFonts w:cs="Helvetica"/>
          <w:sz w:val="20"/>
        </w:rPr>
        <w:t xml:space="preserve"> insbesondere für komplexe Prozesse wie die zählpunktscharfe Mehr- Mindermengenabrechnung zur Verfügung.</w:t>
      </w:r>
    </w:p>
    <w:p w14:paraId="7F098EEB" w14:textId="77777777" w:rsidR="00FC1FC2" w:rsidRDefault="002D32ED" w:rsidP="00A77B4C">
      <w:pPr>
        <w:rPr>
          <w:rFonts w:cs="Helvetica"/>
          <w:sz w:val="20"/>
        </w:rPr>
      </w:pPr>
      <w:r w:rsidRPr="00532F73">
        <w:rPr>
          <w:rFonts w:cs="Helvetica"/>
          <w:sz w:val="20"/>
        </w:rPr>
        <w:t xml:space="preserve">Mit </w:t>
      </w:r>
      <w:r w:rsidRPr="00A64B2E">
        <w:rPr>
          <w:rFonts w:cs="Helvetica"/>
          <w:b/>
          <w:bCs/>
          <w:sz w:val="20"/>
        </w:rPr>
        <w:t>Wilken easy metering</w:t>
      </w:r>
      <w:r w:rsidRPr="00532F73">
        <w:rPr>
          <w:rFonts w:cs="Helvetica"/>
          <w:sz w:val="20"/>
        </w:rPr>
        <w:t xml:space="preserve"> präsentiert Wilken am Beispiel Kisters und MeterPan</w:t>
      </w:r>
      <w:r w:rsidR="00F02FBC">
        <w:rPr>
          <w:rFonts w:cs="Helvetica"/>
          <w:sz w:val="20"/>
        </w:rPr>
        <w:t xml:space="preserve"> ein Praxisbeispiel</w:t>
      </w:r>
      <w:r w:rsidRPr="00532F73">
        <w:rPr>
          <w:rFonts w:cs="Helvetica"/>
          <w:sz w:val="20"/>
        </w:rPr>
        <w:t>, wie sich SMGA-Anbieter über das P/5 SMGA Interface tief in die operativen ERP- und</w:t>
      </w:r>
      <w:r w:rsidR="00F02FBC" w:rsidRPr="00F02FBC">
        <w:rPr>
          <w:rFonts w:cs="Helvetica"/>
          <w:sz w:val="20"/>
        </w:rPr>
        <w:t xml:space="preserve"> </w:t>
      </w:r>
      <w:r w:rsidR="00F02FBC" w:rsidRPr="00532F73">
        <w:rPr>
          <w:rFonts w:cs="Helvetica"/>
          <w:sz w:val="20"/>
        </w:rPr>
        <w:t xml:space="preserve">Abrechnungslösungen </w:t>
      </w:r>
      <w:r w:rsidR="00227EBC">
        <w:rPr>
          <w:rFonts w:cs="Helvetica"/>
          <w:sz w:val="20"/>
        </w:rPr>
        <w:t>CS/2, ENER</w:t>
      </w:r>
      <w:r w:rsidR="00F02FBC">
        <w:rPr>
          <w:rFonts w:cs="Helvetica"/>
          <w:sz w:val="20"/>
        </w:rPr>
        <w:t>:GY und NTS.suite</w:t>
      </w:r>
      <w:r w:rsidR="00F02FBC" w:rsidRPr="00532F73">
        <w:rPr>
          <w:rFonts w:cs="Helvetica"/>
          <w:sz w:val="20"/>
        </w:rPr>
        <w:t xml:space="preserve"> integrieren lassen.</w:t>
      </w:r>
      <w:r w:rsidR="00F02FBC">
        <w:rPr>
          <w:rFonts w:cs="Helvetica"/>
          <w:sz w:val="20"/>
        </w:rPr>
        <w:t xml:space="preserve"> Die nahtlose und prozessoptimierte Anbindung der unterschiedlichen SMGA-Anbieter ist erfolgsentscheidend, da mehr als </w:t>
      </w:r>
      <w:r w:rsidR="00F02FBC" w:rsidRPr="00F02FBC">
        <w:rPr>
          <w:rFonts w:cs="Helvetica"/>
          <w:sz w:val="20"/>
        </w:rPr>
        <w:t xml:space="preserve">70 Prozent aller der mit der Gateway-Administration zusammenhängenden Abläufe die vorhandenen Softwaresysteme wie die Gerätebeschaffung, das Gerätemanagement, die Verwaltung der mMe und iMSys </w:t>
      </w:r>
      <w:r w:rsidR="006C7239">
        <w:rPr>
          <w:rFonts w:cs="Helvetica"/>
          <w:sz w:val="20"/>
        </w:rPr>
        <w:t>oder</w:t>
      </w:r>
      <w:r w:rsidR="00F02FBC" w:rsidRPr="00F02FBC">
        <w:rPr>
          <w:rFonts w:cs="Helvetica"/>
          <w:sz w:val="20"/>
        </w:rPr>
        <w:t xml:space="preserve"> die Abrechnung betreffen</w:t>
      </w:r>
      <w:r w:rsidR="00F02FBC">
        <w:rPr>
          <w:rFonts w:cs="Helvetica"/>
          <w:sz w:val="20"/>
        </w:rPr>
        <w:t>.</w:t>
      </w:r>
      <w:r w:rsidR="00FC1FC2" w:rsidRPr="00FC1FC2">
        <w:rPr>
          <w:rFonts w:cs="Helvetica"/>
          <w:color w:val="548DD4" w:themeColor="text2" w:themeTint="99"/>
          <w:sz w:val="20"/>
        </w:rPr>
        <w:t xml:space="preserve"> </w:t>
      </w:r>
      <w:r w:rsidR="00FC1FC2" w:rsidRPr="00FC1FC2">
        <w:rPr>
          <w:rFonts w:cs="Helvetica"/>
          <w:sz w:val="20"/>
        </w:rPr>
        <w:t>Insbesondere werden die vertrieblichen Aktivitäten durch eine beliebige Tarifierung, d</w:t>
      </w:r>
      <w:r w:rsidR="00FC1FC2">
        <w:rPr>
          <w:rFonts w:cs="Helvetica"/>
          <w:sz w:val="20"/>
        </w:rPr>
        <w:t>as heißt die</w:t>
      </w:r>
      <w:r w:rsidR="00FC1FC2" w:rsidRPr="00FC1FC2">
        <w:rPr>
          <w:rFonts w:cs="Helvetica"/>
          <w:sz w:val="20"/>
        </w:rPr>
        <w:t xml:space="preserve"> Abrechnung von lastbezogenen, preisbezogenen oder dynamischen Preis</w:t>
      </w:r>
      <w:r w:rsidR="00FC1FC2">
        <w:rPr>
          <w:rFonts w:cs="Helvetica"/>
          <w:sz w:val="20"/>
        </w:rPr>
        <w:t>b</w:t>
      </w:r>
      <w:r w:rsidR="00FC1FC2" w:rsidRPr="00FC1FC2">
        <w:rPr>
          <w:rFonts w:cs="Helvetica"/>
          <w:sz w:val="20"/>
        </w:rPr>
        <w:t>estandteilen umfassend unterstützt.</w:t>
      </w:r>
    </w:p>
    <w:p w14:paraId="417AD5BA" w14:textId="2CBCD43F" w:rsidR="00532F73" w:rsidRPr="00317F93" w:rsidRDefault="005B4249" w:rsidP="00A77B4C">
      <w:pPr>
        <w:rPr>
          <w:rFonts w:cs="Helvetica"/>
          <w:sz w:val="20"/>
        </w:rPr>
      </w:pPr>
      <w:r w:rsidRPr="00317F93">
        <w:rPr>
          <w:rFonts w:cs="Helvetica"/>
          <w:sz w:val="20"/>
        </w:rPr>
        <w:t xml:space="preserve">Ein </w:t>
      </w:r>
      <w:r w:rsidR="00F02FBC">
        <w:rPr>
          <w:rFonts w:cs="Helvetica"/>
          <w:sz w:val="20"/>
        </w:rPr>
        <w:t xml:space="preserve">weiteres </w:t>
      </w:r>
      <w:r w:rsidRPr="00317F93">
        <w:rPr>
          <w:rFonts w:cs="Helvetica"/>
          <w:sz w:val="20"/>
        </w:rPr>
        <w:t>zentrales Thema ist das neue</w:t>
      </w:r>
      <w:r w:rsidR="00AF0BE2" w:rsidRPr="00317F93">
        <w:rPr>
          <w:rFonts w:cs="Helvetica"/>
          <w:sz w:val="20"/>
        </w:rPr>
        <w:t xml:space="preserve"> </w:t>
      </w:r>
      <w:r w:rsidR="00AE0B77" w:rsidRPr="00317F93">
        <w:rPr>
          <w:rFonts w:cs="Helvetica"/>
          <w:sz w:val="20"/>
        </w:rPr>
        <w:t xml:space="preserve">Modul </w:t>
      </w:r>
      <w:r w:rsidRPr="00317F93">
        <w:rPr>
          <w:rFonts w:cs="Helvetica"/>
          <w:b/>
          <w:bCs/>
          <w:sz w:val="20"/>
        </w:rPr>
        <w:t>Wilken Business Analytics</w:t>
      </w:r>
      <w:r w:rsidRPr="00317F93">
        <w:rPr>
          <w:rFonts w:cs="Helvetica"/>
          <w:sz w:val="20"/>
        </w:rPr>
        <w:t>, das die Möglichkeiten de</w:t>
      </w:r>
      <w:r w:rsidR="00000644" w:rsidRPr="00317F93">
        <w:rPr>
          <w:rFonts w:cs="Helvetica"/>
          <w:sz w:val="20"/>
        </w:rPr>
        <w:t>r bestehenden Reporting-Systeme</w:t>
      </w:r>
      <w:r w:rsidRPr="00317F93">
        <w:rPr>
          <w:rFonts w:cs="Helvetica"/>
          <w:sz w:val="20"/>
        </w:rPr>
        <w:t xml:space="preserve"> deutlich erweitert. </w:t>
      </w:r>
      <w:r w:rsidR="00122599" w:rsidRPr="00317F93">
        <w:rPr>
          <w:rFonts w:cs="Helvetica"/>
          <w:sz w:val="20"/>
        </w:rPr>
        <w:t>Dazu gehört ein</w:t>
      </w:r>
      <w:r w:rsidRPr="00317F93">
        <w:rPr>
          <w:rFonts w:cs="Helvetica"/>
          <w:sz w:val="20"/>
        </w:rPr>
        <w:t xml:space="preserve"> neue</w:t>
      </w:r>
      <w:r w:rsidR="00122599" w:rsidRPr="00317F93">
        <w:rPr>
          <w:rFonts w:cs="Helvetica"/>
          <w:sz w:val="20"/>
        </w:rPr>
        <w:t>s</w:t>
      </w:r>
      <w:r w:rsidRPr="00317F93">
        <w:rPr>
          <w:rFonts w:cs="Helvetica"/>
          <w:sz w:val="20"/>
        </w:rPr>
        <w:t xml:space="preserve"> Online-Dashboard, über das Sachbearbeiter unter</w:t>
      </w:r>
      <w:r w:rsidRPr="00317F93">
        <w:rPr>
          <w:rFonts w:cs="Helvetica"/>
          <w:sz w:val="20"/>
        </w:rPr>
        <w:lastRenderedPageBreak/>
        <w:t>schiedliche Informationen einfach per Drag-and-Drop auswählen</w:t>
      </w:r>
      <w:r w:rsidR="00882AF0" w:rsidRPr="00317F93">
        <w:rPr>
          <w:rFonts w:cs="Helvetica"/>
          <w:sz w:val="20"/>
        </w:rPr>
        <w:t xml:space="preserve"> und in Bezug setzen</w:t>
      </w:r>
      <w:r w:rsidRPr="00317F93">
        <w:rPr>
          <w:rFonts w:cs="Helvetica"/>
          <w:sz w:val="20"/>
        </w:rPr>
        <w:t xml:space="preserve"> können. Diese werden grafisch aufbereitet im Webbrowser dargestellt und </w:t>
      </w:r>
      <w:r w:rsidR="00122599" w:rsidRPr="00317F93">
        <w:rPr>
          <w:rFonts w:cs="Helvetica"/>
          <w:sz w:val="20"/>
        </w:rPr>
        <w:t>unterstützen</w:t>
      </w:r>
      <w:r w:rsidRPr="00317F93">
        <w:rPr>
          <w:rFonts w:cs="Helvetica"/>
          <w:sz w:val="20"/>
        </w:rPr>
        <w:t xml:space="preserve"> so beispielweise die </w:t>
      </w:r>
      <w:r w:rsidR="00882AF0" w:rsidRPr="00317F93">
        <w:rPr>
          <w:rFonts w:cs="Helvetica"/>
          <w:sz w:val="20"/>
        </w:rPr>
        <w:t xml:space="preserve">tägliche </w:t>
      </w:r>
      <w:r w:rsidRPr="00317F93">
        <w:rPr>
          <w:rFonts w:cs="Helvetica"/>
          <w:sz w:val="20"/>
        </w:rPr>
        <w:t>Vertriebssteuerung. Die volle Business Analytics-Funktionalität bietet ein neues</w:t>
      </w:r>
      <w:r w:rsidR="00317F93" w:rsidRPr="00317F93">
        <w:rPr>
          <w:rFonts w:cs="Helvetica"/>
          <w:sz w:val="20"/>
        </w:rPr>
        <w:t>, für</w:t>
      </w:r>
      <w:r w:rsidR="00317F93">
        <w:rPr>
          <w:rFonts w:cs="Helvetica"/>
          <w:sz w:val="20"/>
        </w:rPr>
        <w:t xml:space="preserve"> CS/2 und</w:t>
      </w:r>
      <w:r w:rsidR="00317F93" w:rsidRPr="00317F93">
        <w:rPr>
          <w:rFonts w:cs="Helvetica"/>
          <w:sz w:val="20"/>
        </w:rPr>
        <w:t xml:space="preserve"> ENER:GY</w:t>
      </w:r>
      <w:r w:rsidR="00E059D0" w:rsidRPr="00317F93">
        <w:rPr>
          <w:rFonts w:cs="Helvetica"/>
          <w:sz w:val="20"/>
        </w:rPr>
        <w:t xml:space="preserve"> vorkonfiguriertes</w:t>
      </w:r>
      <w:r w:rsidRPr="00317F93">
        <w:rPr>
          <w:rFonts w:cs="Helvetica"/>
          <w:sz w:val="20"/>
        </w:rPr>
        <w:t xml:space="preserve"> Einsteigerpaket</w:t>
      </w:r>
      <w:r w:rsidR="00E059D0" w:rsidRPr="00317F93">
        <w:rPr>
          <w:rFonts w:cs="Helvetica"/>
          <w:sz w:val="20"/>
        </w:rPr>
        <w:t>. Dies kann in wenigen Tagen produktiv gesetzt werden. Denn die Nutzer benötigen keinerlei Datenbankkenntnisse für den Aufbau vor Reports. Sie bewegen sich ausschließlich in ihrer bekannten Begriffswelt und können so</w:t>
      </w:r>
      <w:r w:rsidR="000A7E7E" w:rsidRPr="00317F93">
        <w:rPr>
          <w:rFonts w:cs="Helvetica"/>
          <w:sz w:val="20"/>
        </w:rPr>
        <w:t xml:space="preserve"> selbstständig und</w:t>
      </w:r>
      <w:r w:rsidR="00E059D0" w:rsidRPr="00317F93">
        <w:rPr>
          <w:rFonts w:cs="Helvetica"/>
          <w:sz w:val="20"/>
        </w:rPr>
        <w:t xml:space="preserve"> unterstützt von Assistenten</w:t>
      </w:r>
      <w:r w:rsidR="000A7E7E" w:rsidRPr="00317F93">
        <w:rPr>
          <w:rFonts w:cs="Helvetica"/>
          <w:sz w:val="20"/>
        </w:rPr>
        <w:t xml:space="preserve"> </w:t>
      </w:r>
      <w:r w:rsidR="00E059D0" w:rsidRPr="00317F93">
        <w:rPr>
          <w:rFonts w:cs="Helvetica"/>
          <w:sz w:val="20"/>
        </w:rPr>
        <w:t xml:space="preserve">die unterschiedlichen Auswertungen zusammenstellen. </w:t>
      </w:r>
    </w:p>
    <w:p w14:paraId="0E9C5CC5" w14:textId="3F0C84FA" w:rsidR="000A3319" w:rsidRDefault="00E059D0" w:rsidP="00A77B4C">
      <w:pPr>
        <w:rPr>
          <w:rFonts w:cs="Helvetica"/>
          <w:sz w:val="20"/>
        </w:rPr>
      </w:pPr>
      <w:r>
        <w:rPr>
          <w:rFonts w:cs="Helvetica"/>
          <w:sz w:val="20"/>
        </w:rPr>
        <w:t>Auf dem Messefahrplan der Wilken Software Group stehen darüber hinaus zahlreiche weitere Stationen</w:t>
      </w:r>
      <w:r w:rsidR="000A7E7E">
        <w:rPr>
          <w:rFonts w:cs="Helvetica"/>
          <w:sz w:val="20"/>
        </w:rPr>
        <w:t xml:space="preserve">: Dazu gehören die neuen Prebilling-Funktionen für die Integration von </w:t>
      </w:r>
      <w:r>
        <w:rPr>
          <w:rFonts w:cs="Helvetica"/>
          <w:sz w:val="20"/>
        </w:rPr>
        <w:t xml:space="preserve">E-Mobility ebenso </w:t>
      </w:r>
      <w:r w:rsidR="000A7E7E">
        <w:rPr>
          <w:rFonts w:cs="Helvetica"/>
          <w:sz w:val="20"/>
        </w:rPr>
        <w:t>wie die Themen Mieterstrom</w:t>
      </w:r>
      <w:r w:rsidR="000A3319">
        <w:rPr>
          <w:rFonts w:cs="Helvetica"/>
          <w:sz w:val="20"/>
        </w:rPr>
        <w:t>,</w:t>
      </w:r>
      <w:r w:rsidR="000A7E7E">
        <w:rPr>
          <w:rFonts w:cs="Helvetica"/>
          <w:sz w:val="20"/>
        </w:rPr>
        <w:t xml:space="preserve"> die Abbildung von Energiespeichern im Wilken Einspeisermanagement</w:t>
      </w:r>
      <w:r w:rsidR="000A3319">
        <w:rPr>
          <w:rFonts w:cs="Helvetica"/>
          <w:sz w:val="20"/>
        </w:rPr>
        <w:t xml:space="preserve"> oder das intelligente Posteingangsmanagement für Wilken easy market</w:t>
      </w:r>
      <w:r w:rsidR="000A7E7E">
        <w:rPr>
          <w:rFonts w:cs="Helvetica"/>
          <w:sz w:val="20"/>
        </w:rPr>
        <w:t xml:space="preserve">. </w:t>
      </w:r>
    </w:p>
    <w:p w14:paraId="51DED942" w14:textId="4729AF39" w:rsidR="00FC1FC2" w:rsidRDefault="00FC1FC2" w:rsidP="00FC1FC2">
      <w:pPr>
        <w:rPr>
          <w:rFonts w:cs="Helvetica"/>
          <w:b/>
          <w:bCs/>
          <w:sz w:val="20"/>
        </w:rPr>
      </w:pPr>
      <w:r w:rsidRPr="006C7239">
        <w:rPr>
          <w:rFonts w:cs="Helvetica"/>
          <w:b/>
          <w:bCs/>
          <w:sz w:val="20"/>
        </w:rPr>
        <w:t xml:space="preserve">Der vollständige Messefahrplan ist </w:t>
      </w:r>
      <w:r>
        <w:rPr>
          <w:rFonts w:cs="Helvetica"/>
          <w:b/>
          <w:bCs/>
          <w:sz w:val="20"/>
        </w:rPr>
        <w:t xml:space="preserve">ab dem 9. Januar 2017 </w:t>
      </w:r>
      <w:r w:rsidRPr="006C7239">
        <w:rPr>
          <w:rFonts w:cs="Helvetica"/>
          <w:b/>
          <w:bCs/>
          <w:sz w:val="20"/>
        </w:rPr>
        <w:t xml:space="preserve">unter </w:t>
      </w:r>
      <w:bookmarkStart w:id="0" w:name="_GoBack"/>
      <w:bookmarkEnd w:id="0"/>
      <w:r w:rsidR="006235F9">
        <w:rPr>
          <w:rFonts w:cs="Helvetica"/>
          <w:b/>
          <w:bCs/>
          <w:sz w:val="20"/>
        </w:rPr>
        <w:fldChar w:fldCharType="begin"/>
      </w:r>
      <w:r w:rsidR="006235F9">
        <w:rPr>
          <w:rFonts w:cs="Helvetica"/>
          <w:b/>
          <w:bCs/>
          <w:sz w:val="20"/>
        </w:rPr>
        <w:instrText xml:space="preserve"> HYPERLINK "http://</w:instrText>
      </w:r>
      <w:r w:rsidR="006235F9" w:rsidRPr="006235F9">
        <w:rPr>
          <w:rFonts w:cs="Helvetica"/>
          <w:b/>
          <w:bCs/>
          <w:sz w:val="20"/>
        </w:rPr>
        <w:instrText>www.wilken.de/E-world-2017-Fahrplan</w:instrText>
      </w:r>
      <w:r w:rsidR="006235F9">
        <w:rPr>
          <w:rFonts w:cs="Helvetica"/>
          <w:b/>
          <w:bCs/>
          <w:sz w:val="20"/>
        </w:rPr>
        <w:instrText xml:space="preserve">" </w:instrText>
      </w:r>
      <w:r w:rsidR="006235F9">
        <w:rPr>
          <w:rFonts w:cs="Helvetica"/>
          <w:b/>
          <w:bCs/>
          <w:sz w:val="20"/>
        </w:rPr>
        <w:fldChar w:fldCharType="separate"/>
      </w:r>
      <w:r w:rsidR="006235F9" w:rsidRPr="00F2618C">
        <w:rPr>
          <w:rStyle w:val="Link"/>
          <w:rFonts w:cs="Helvetica"/>
          <w:b/>
          <w:bCs/>
          <w:sz w:val="20"/>
        </w:rPr>
        <w:t>www.wilken.de/E-world-2017-Fahrplan</w:t>
      </w:r>
      <w:r w:rsidR="006235F9">
        <w:rPr>
          <w:rFonts w:cs="Helvetica"/>
          <w:b/>
          <w:bCs/>
          <w:sz w:val="20"/>
        </w:rPr>
        <w:fldChar w:fldCharType="end"/>
      </w:r>
      <w:r w:rsidRPr="006C7239">
        <w:rPr>
          <w:rFonts w:cs="Helvetica"/>
          <w:b/>
          <w:bCs/>
          <w:sz w:val="20"/>
        </w:rPr>
        <w:t xml:space="preserve"> abrufbar.</w:t>
      </w:r>
    </w:p>
    <w:p w14:paraId="6E83D066" w14:textId="77777777" w:rsidR="00FC1FC2" w:rsidRPr="00F02FBC" w:rsidRDefault="00FC1FC2" w:rsidP="00A77B4C">
      <w:pPr>
        <w:rPr>
          <w:rFonts w:cs="Helvetica"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95EA6" w:rsidRPr="00595EA6" w14:paraId="6328E0C0" w14:textId="77777777" w:rsidTr="00017967">
        <w:tc>
          <w:tcPr>
            <w:tcW w:w="4361" w:type="dxa"/>
            <w:shd w:val="clear" w:color="auto" w:fill="auto"/>
          </w:tcPr>
          <w:p w14:paraId="3CDF43F2" w14:textId="77777777" w:rsidR="00595EA6" w:rsidRPr="00595EA6" w:rsidRDefault="00595EA6" w:rsidP="00595EA6">
            <w:pPr>
              <w:spacing w:line="240" w:lineRule="auto"/>
              <w:ind w:right="-1701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595E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Pr="00595E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Wilken Software Group – Peter Schulte-Rentrop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>Hörvelsinger Weg 29-31 – 89081 Ulm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ab/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 xml:space="preserve">Tel.: +49 731 96 50-0 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hyperlink r:id="rId7" w:history="1">
              <w:r w:rsidRPr="00595EA6">
                <w:rPr>
                  <w:rStyle w:val="Link"/>
                  <w:rFonts w:ascii="Arial" w:hAnsi="Arial" w:cs="Calibri"/>
                  <w:bCs/>
                  <w:sz w:val="16"/>
                  <w:szCs w:val="26"/>
                  <w:lang w:eastAsia="de-DE"/>
                </w:rPr>
                <w:t>presse@wilken.de</w:t>
              </w:r>
            </w:hyperlink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595EA6">
                <w:rPr>
                  <w:rStyle w:val="Link"/>
                  <w:rFonts w:ascii="Arial" w:hAnsi="Arial" w:cs="Calibri"/>
                  <w:bCs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5C3E755A" w14:textId="77777777" w:rsidR="00595EA6" w:rsidRPr="00595EA6" w:rsidRDefault="00595EA6" w:rsidP="00595EA6">
            <w:pPr>
              <w:spacing w:line="240" w:lineRule="auto"/>
              <w:ind w:right="-1701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595E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595E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>Press’n’Relations GmbH – Uwe Pagel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>Magirusstraße 33 – 89077 Ulm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  <w:t xml:space="preserve">Tel.: +49 731 962 87-29 </w:t>
            </w:r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br/>
            </w:r>
            <w:hyperlink r:id="rId9" w:history="1">
              <w:r w:rsidRPr="00595EA6">
                <w:rPr>
                  <w:rStyle w:val="Link"/>
                  <w:rFonts w:ascii="Arial" w:hAnsi="Arial" w:cs="Calibri"/>
                  <w:bCs/>
                  <w:sz w:val="16"/>
                  <w:szCs w:val="26"/>
                  <w:lang w:eastAsia="de-DE"/>
                </w:rPr>
                <w:t>upa@press-n-relations.de</w:t>
              </w:r>
            </w:hyperlink>
            <w:r w:rsidRPr="00595EA6">
              <w:rPr>
                <w:rFonts w:ascii="Arial" w:hAnsi="Arial" w:cs="Calibri"/>
                <w:bCs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Pr="00595EA6">
                <w:rPr>
                  <w:rStyle w:val="Link"/>
                  <w:rFonts w:ascii="Arial" w:hAnsi="Arial" w:cs="Calibri"/>
                  <w:bCs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32430489" w14:textId="77777777" w:rsidR="00595EA6" w:rsidRPr="00595EA6" w:rsidRDefault="00595EA6" w:rsidP="00595EA6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  <w:r w:rsidRPr="00595EA6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 w:rsidRPr="00595EA6">
        <w:rPr>
          <w:rFonts w:ascii="Arial" w:hAnsi="Arial" w:cs="Calibri"/>
          <w:b/>
          <w:sz w:val="16"/>
          <w:szCs w:val="26"/>
          <w:lang w:eastAsia="de-DE"/>
        </w:rPr>
        <w:br/>
      </w:r>
      <w:r w:rsidRPr="00595EA6">
        <w:rPr>
          <w:rFonts w:ascii="Arial" w:hAnsi="Arial" w:cs="Calibri"/>
          <w:bCs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615863D1" w14:textId="067733F3" w:rsidR="00FE48A6" w:rsidRPr="00B2745D" w:rsidRDefault="00FE48A6" w:rsidP="00C51C55"/>
    <w:sectPr w:rsidR="00FE48A6" w:rsidRPr="00B2745D" w:rsidSect="00FC1FC2">
      <w:headerReference w:type="default" r:id="rId11"/>
      <w:footerReference w:type="even" r:id="rId12"/>
      <w:footerReference w:type="default" r:id="rId13"/>
      <w:pgSz w:w="11906" w:h="16838"/>
      <w:pgMar w:top="2009" w:right="3400" w:bottom="1396" w:left="1418" w:header="611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80107" w14:textId="77777777" w:rsidR="00D93A8E" w:rsidRDefault="00D93A8E">
      <w:r>
        <w:separator/>
      </w:r>
    </w:p>
  </w:endnote>
  <w:endnote w:type="continuationSeparator" w:id="0">
    <w:p w14:paraId="2E81D846" w14:textId="77777777" w:rsidR="00D93A8E" w:rsidRDefault="00D9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CC660" w14:textId="77777777" w:rsidR="00D93A8E" w:rsidRDefault="00D93A8E">
      <w:r>
        <w:separator/>
      </w:r>
    </w:p>
  </w:footnote>
  <w:footnote w:type="continuationSeparator" w:id="0">
    <w:p w14:paraId="714502A0" w14:textId="77777777" w:rsidR="00D93A8E" w:rsidRDefault="00D93A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0644"/>
    <w:rsid w:val="000017B9"/>
    <w:rsid w:val="0000454B"/>
    <w:rsid w:val="00011F67"/>
    <w:rsid w:val="000120D4"/>
    <w:rsid w:val="00020962"/>
    <w:rsid w:val="0002498B"/>
    <w:rsid w:val="00032F50"/>
    <w:rsid w:val="00036B01"/>
    <w:rsid w:val="00040D86"/>
    <w:rsid w:val="00045258"/>
    <w:rsid w:val="0005086D"/>
    <w:rsid w:val="00051FB3"/>
    <w:rsid w:val="00060F4F"/>
    <w:rsid w:val="00064DC6"/>
    <w:rsid w:val="000712DC"/>
    <w:rsid w:val="000734D1"/>
    <w:rsid w:val="000809E7"/>
    <w:rsid w:val="00092780"/>
    <w:rsid w:val="00093AA5"/>
    <w:rsid w:val="00097330"/>
    <w:rsid w:val="000A3319"/>
    <w:rsid w:val="000A6D42"/>
    <w:rsid w:val="000A7E7E"/>
    <w:rsid w:val="000B2038"/>
    <w:rsid w:val="000B5AD9"/>
    <w:rsid w:val="000C0569"/>
    <w:rsid w:val="000C08EF"/>
    <w:rsid w:val="000C13A4"/>
    <w:rsid w:val="000C2BB8"/>
    <w:rsid w:val="000C313B"/>
    <w:rsid w:val="000C7E9B"/>
    <w:rsid w:val="000D5A8E"/>
    <w:rsid w:val="000D5B06"/>
    <w:rsid w:val="000D5FE9"/>
    <w:rsid w:val="000E54C9"/>
    <w:rsid w:val="000E5D79"/>
    <w:rsid w:val="000F6D38"/>
    <w:rsid w:val="001019ED"/>
    <w:rsid w:val="00102BB9"/>
    <w:rsid w:val="00106410"/>
    <w:rsid w:val="00107620"/>
    <w:rsid w:val="00114F49"/>
    <w:rsid w:val="0012259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1096"/>
    <w:rsid w:val="001A2076"/>
    <w:rsid w:val="001A4984"/>
    <w:rsid w:val="001B016B"/>
    <w:rsid w:val="001B1862"/>
    <w:rsid w:val="001B38F7"/>
    <w:rsid w:val="001C58AF"/>
    <w:rsid w:val="001C6862"/>
    <w:rsid w:val="001C6A6A"/>
    <w:rsid w:val="001D12AA"/>
    <w:rsid w:val="001E0FCA"/>
    <w:rsid w:val="001E200F"/>
    <w:rsid w:val="001E308F"/>
    <w:rsid w:val="001E46E6"/>
    <w:rsid w:val="00227EBC"/>
    <w:rsid w:val="00235691"/>
    <w:rsid w:val="002556E7"/>
    <w:rsid w:val="00272362"/>
    <w:rsid w:val="00275197"/>
    <w:rsid w:val="002751DA"/>
    <w:rsid w:val="002A28CE"/>
    <w:rsid w:val="002A4BEA"/>
    <w:rsid w:val="002B275A"/>
    <w:rsid w:val="002C201B"/>
    <w:rsid w:val="002C5994"/>
    <w:rsid w:val="002D0338"/>
    <w:rsid w:val="002D1696"/>
    <w:rsid w:val="002D19F2"/>
    <w:rsid w:val="002D1F28"/>
    <w:rsid w:val="002D28F5"/>
    <w:rsid w:val="002D32ED"/>
    <w:rsid w:val="002D7510"/>
    <w:rsid w:val="002E1BC0"/>
    <w:rsid w:val="0031677D"/>
    <w:rsid w:val="003179A3"/>
    <w:rsid w:val="00317F93"/>
    <w:rsid w:val="00324F5C"/>
    <w:rsid w:val="00333E51"/>
    <w:rsid w:val="00345753"/>
    <w:rsid w:val="003467EA"/>
    <w:rsid w:val="00363C56"/>
    <w:rsid w:val="00366811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E5F6C"/>
    <w:rsid w:val="003F3403"/>
    <w:rsid w:val="003F55EF"/>
    <w:rsid w:val="004043AF"/>
    <w:rsid w:val="004054D6"/>
    <w:rsid w:val="00405CCA"/>
    <w:rsid w:val="00406D81"/>
    <w:rsid w:val="00410CD5"/>
    <w:rsid w:val="004110F6"/>
    <w:rsid w:val="00425A22"/>
    <w:rsid w:val="00425E5F"/>
    <w:rsid w:val="00432E47"/>
    <w:rsid w:val="0044765C"/>
    <w:rsid w:val="00454B81"/>
    <w:rsid w:val="00457490"/>
    <w:rsid w:val="00470089"/>
    <w:rsid w:val="004712B6"/>
    <w:rsid w:val="00477E0F"/>
    <w:rsid w:val="0048030E"/>
    <w:rsid w:val="004851B3"/>
    <w:rsid w:val="0048658B"/>
    <w:rsid w:val="004909C2"/>
    <w:rsid w:val="00493267"/>
    <w:rsid w:val="004A2502"/>
    <w:rsid w:val="004A32B5"/>
    <w:rsid w:val="004A76DC"/>
    <w:rsid w:val="004B430F"/>
    <w:rsid w:val="004B6B57"/>
    <w:rsid w:val="004C24AD"/>
    <w:rsid w:val="004C35FA"/>
    <w:rsid w:val="004C38CC"/>
    <w:rsid w:val="004D42F9"/>
    <w:rsid w:val="004E2379"/>
    <w:rsid w:val="004E5964"/>
    <w:rsid w:val="004F2F02"/>
    <w:rsid w:val="004F56F1"/>
    <w:rsid w:val="004F79BE"/>
    <w:rsid w:val="0050632B"/>
    <w:rsid w:val="00511F1D"/>
    <w:rsid w:val="00513A25"/>
    <w:rsid w:val="00517604"/>
    <w:rsid w:val="00521E09"/>
    <w:rsid w:val="005246FF"/>
    <w:rsid w:val="00532F73"/>
    <w:rsid w:val="00535049"/>
    <w:rsid w:val="00535FC2"/>
    <w:rsid w:val="005519C2"/>
    <w:rsid w:val="0055421E"/>
    <w:rsid w:val="00560751"/>
    <w:rsid w:val="005639AD"/>
    <w:rsid w:val="00565FD4"/>
    <w:rsid w:val="00574C52"/>
    <w:rsid w:val="00575F36"/>
    <w:rsid w:val="00576A13"/>
    <w:rsid w:val="00576B32"/>
    <w:rsid w:val="00583BF7"/>
    <w:rsid w:val="0058795D"/>
    <w:rsid w:val="005937FF"/>
    <w:rsid w:val="00595CF3"/>
    <w:rsid w:val="00595EA6"/>
    <w:rsid w:val="0059648C"/>
    <w:rsid w:val="005B3718"/>
    <w:rsid w:val="005B4249"/>
    <w:rsid w:val="005C0411"/>
    <w:rsid w:val="005D06AC"/>
    <w:rsid w:val="005D070B"/>
    <w:rsid w:val="005D23B7"/>
    <w:rsid w:val="005E006B"/>
    <w:rsid w:val="005F2C2F"/>
    <w:rsid w:val="005F375D"/>
    <w:rsid w:val="005F3918"/>
    <w:rsid w:val="0060646D"/>
    <w:rsid w:val="00614428"/>
    <w:rsid w:val="00617317"/>
    <w:rsid w:val="006205F9"/>
    <w:rsid w:val="006235F9"/>
    <w:rsid w:val="00632098"/>
    <w:rsid w:val="00635CE5"/>
    <w:rsid w:val="00644E9F"/>
    <w:rsid w:val="00645730"/>
    <w:rsid w:val="006568C1"/>
    <w:rsid w:val="00667CBE"/>
    <w:rsid w:val="00675809"/>
    <w:rsid w:val="00693603"/>
    <w:rsid w:val="006963F7"/>
    <w:rsid w:val="006A0673"/>
    <w:rsid w:val="006A0FEA"/>
    <w:rsid w:val="006B0312"/>
    <w:rsid w:val="006B72FA"/>
    <w:rsid w:val="006C7239"/>
    <w:rsid w:val="006D3182"/>
    <w:rsid w:val="006E0BB7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3EF9"/>
    <w:rsid w:val="00757073"/>
    <w:rsid w:val="0076126F"/>
    <w:rsid w:val="00764A09"/>
    <w:rsid w:val="00770008"/>
    <w:rsid w:val="007706D1"/>
    <w:rsid w:val="00770853"/>
    <w:rsid w:val="00772476"/>
    <w:rsid w:val="00774940"/>
    <w:rsid w:val="00783CEE"/>
    <w:rsid w:val="00791F82"/>
    <w:rsid w:val="00793AB8"/>
    <w:rsid w:val="007A2057"/>
    <w:rsid w:val="007B0E4F"/>
    <w:rsid w:val="007B4B9E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13EE"/>
    <w:rsid w:val="00853823"/>
    <w:rsid w:val="00863D68"/>
    <w:rsid w:val="00864136"/>
    <w:rsid w:val="0088157B"/>
    <w:rsid w:val="008825F3"/>
    <w:rsid w:val="00882AF0"/>
    <w:rsid w:val="0088514D"/>
    <w:rsid w:val="00894092"/>
    <w:rsid w:val="00894BE0"/>
    <w:rsid w:val="008A57BB"/>
    <w:rsid w:val="008B4462"/>
    <w:rsid w:val="008B5B1E"/>
    <w:rsid w:val="008B69E2"/>
    <w:rsid w:val="008B7437"/>
    <w:rsid w:val="008C5997"/>
    <w:rsid w:val="008D185B"/>
    <w:rsid w:val="008D3090"/>
    <w:rsid w:val="008D392D"/>
    <w:rsid w:val="008E6C77"/>
    <w:rsid w:val="008F07C1"/>
    <w:rsid w:val="008F2D96"/>
    <w:rsid w:val="008F3EA0"/>
    <w:rsid w:val="008F68EF"/>
    <w:rsid w:val="00902719"/>
    <w:rsid w:val="00903A51"/>
    <w:rsid w:val="009043EE"/>
    <w:rsid w:val="00914A72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6745F"/>
    <w:rsid w:val="00970937"/>
    <w:rsid w:val="00971D24"/>
    <w:rsid w:val="00973837"/>
    <w:rsid w:val="00980D69"/>
    <w:rsid w:val="00984451"/>
    <w:rsid w:val="00984EEC"/>
    <w:rsid w:val="009873C5"/>
    <w:rsid w:val="009A30BF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0E4F"/>
    <w:rsid w:val="00A12303"/>
    <w:rsid w:val="00A124CC"/>
    <w:rsid w:val="00A12E20"/>
    <w:rsid w:val="00A14223"/>
    <w:rsid w:val="00A30045"/>
    <w:rsid w:val="00A31345"/>
    <w:rsid w:val="00A3451E"/>
    <w:rsid w:val="00A363D4"/>
    <w:rsid w:val="00A51F3A"/>
    <w:rsid w:val="00A56D07"/>
    <w:rsid w:val="00A604E8"/>
    <w:rsid w:val="00A64B2E"/>
    <w:rsid w:val="00A65506"/>
    <w:rsid w:val="00A6600D"/>
    <w:rsid w:val="00A672F6"/>
    <w:rsid w:val="00A67754"/>
    <w:rsid w:val="00A678B8"/>
    <w:rsid w:val="00A73AC3"/>
    <w:rsid w:val="00A77B4C"/>
    <w:rsid w:val="00A77BBC"/>
    <w:rsid w:val="00A85E92"/>
    <w:rsid w:val="00A92B64"/>
    <w:rsid w:val="00A941BA"/>
    <w:rsid w:val="00AA2FE1"/>
    <w:rsid w:val="00AB7591"/>
    <w:rsid w:val="00AE0B77"/>
    <w:rsid w:val="00AE3863"/>
    <w:rsid w:val="00AF0BE2"/>
    <w:rsid w:val="00AF1D9E"/>
    <w:rsid w:val="00B1628C"/>
    <w:rsid w:val="00B2745D"/>
    <w:rsid w:val="00B4126D"/>
    <w:rsid w:val="00B54F30"/>
    <w:rsid w:val="00B62065"/>
    <w:rsid w:val="00B63171"/>
    <w:rsid w:val="00B86EC2"/>
    <w:rsid w:val="00B87471"/>
    <w:rsid w:val="00BA5FB0"/>
    <w:rsid w:val="00BA7303"/>
    <w:rsid w:val="00BB2877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51C55"/>
    <w:rsid w:val="00C6146F"/>
    <w:rsid w:val="00C6183F"/>
    <w:rsid w:val="00C62E40"/>
    <w:rsid w:val="00C644DB"/>
    <w:rsid w:val="00C73CA9"/>
    <w:rsid w:val="00C7604D"/>
    <w:rsid w:val="00C83E25"/>
    <w:rsid w:val="00C87F52"/>
    <w:rsid w:val="00C96BC2"/>
    <w:rsid w:val="00CA2704"/>
    <w:rsid w:val="00CD395A"/>
    <w:rsid w:val="00CE4B1C"/>
    <w:rsid w:val="00CF4E1F"/>
    <w:rsid w:val="00D0021E"/>
    <w:rsid w:val="00D13CB5"/>
    <w:rsid w:val="00D16139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641CA"/>
    <w:rsid w:val="00D77FE4"/>
    <w:rsid w:val="00D83959"/>
    <w:rsid w:val="00D923CC"/>
    <w:rsid w:val="00D93A8E"/>
    <w:rsid w:val="00D95B01"/>
    <w:rsid w:val="00DA2579"/>
    <w:rsid w:val="00DA3F70"/>
    <w:rsid w:val="00DA4F82"/>
    <w:rsid w:val="00DB0CE5"/>
    <w:rsid w:val="00DC31CE"/>
    <w:rsid w:val="00DC445F"/>
    <w:rsid w:val="00DC5F6C"/>
    <w:rsid w:val="00DC7643"/>
    <w:rsid w:val="00DD7286"/>
    <w:rsid w:val="00DE1531"/>
    <w:rsid w:val="00DE2EB6"/>
    <w:rsid w:val="00DE4B79"/>
    <w:rsid w:val="00DF68C5"/>
    <w:rsid w:val="00E02730"/>
    <w:rsid w:val="00E059D0"/>
    <w:rsid w:val="00E1218D"/>
    <w:rsid w:val="00E37B54"/>
    <w:rsid w:val="00E409DF"/>
    <w:rsid w:val="00E47E25"/>
    <w:rsid w:val="00E530A5"/>
    <w:rsid w:val="00E54882"/>
    <w:rsid w:val="00E62903"/>
    <w:rsid w:val="00E62CBD"/>
    <w:rsid w:val="00E83A83"/>
    <w:rsid w:val="00E915CC"/>
    <w:rsid w:val="00EA0E6E"/>
    <w:rsid w:val="00EA755D"/>
    <w:rsid w:val="00EB026E"/>
    <w:rsid w:val="00EB1349"/>
    <w:rsid w:val="00EB77F7"/>
    <w:rsid w:val="00EC14F0"/>
    <w:rsid w:val="00ED247E"/>
    <w:rsid w:val="00ED53FF"/>
    <w:rsid w:val="00EE15AD"/>
    <w:rsid w:val="00EE403A"/>
    <w:rsid w:val="00EE44FC"/>
    <w:rsid w:val="00EF0E88"/>
    <w:rsid w:val="00EF1E53"/>
    <w:rsid w:val="00F02FBC"/>
    <w:rsid w:val="00F112E3"/>
    <w:rsid w:val="00F11A58"/>
    <w:rsid w:val="00F122B4"/>
    <w:rsid w:val="00F20B7D"/>
    <w:rsid w:val="00F23364"/>
    <w:rsid w:val="00F24B57"/>
    <w:rsid w:val="00F254C3"/>
    <w:rsid w:val="00F3050A"/>
    <w:rsid w:val="00F31CE5"/>
    <w:rsid w:val="00F33075"/>
    <w:rsid w:val="00F42BC2"/>
    <w:rsid w:val="00F44C5C"/>
    <w:rsid w:val="00F45E0A"/>
    <w:rsid w:val="00F47247"/>
    <w:rsid w:val="00F50498"/>
    <w:rsid w:val="00F55A89"/>
    <w:rsid w:val="00F61560"/>
    <w:rsid w:val="00F61A36"/>
    <w:rsid w:val="00F717EB"/>
    <w:rsid w:val="00F771FF"/>
    <w:rsid w:val="00F9031E"/>
    <w:rsid w:val="00F96E98"/>
    <w:rsid w:val="00FA13E1"/>
    <w:rsid w:val="00FA3705"/>
    <w:rsid w:val="00FB0927"/>
    <w:rsid w:val="00FB3528"/>
    <w:rsid w:val="00FB6A61"/>
    <w:rsid w:val="00FB7D61"/>
    <w:rsid w:val="00FC18FD"/>
    <w:rsid w:val="00FC1FC2"/>
    <w:rsid w:val="00FC4BAD"/>
    <w:rsid w:val="00FD7591"/>
    <w:rsid w:val="00FE48A6"/>
    <w:rsid w:val="00FF3351"/>
    <w:rsid w:val="00FF3B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3684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5. Dezember 2017</vt:lpstr>
    </vt:vector>
  </TitlesOfParts>
  <Company>Press'n'Relations 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3</cp:revision>
  <cp:lastPrinted>2016-11-24T13:24:00Z</cp:lastPrinted>
  <dcterms:created xsi:type="dcterms:W3CDTF">2016-12-06T11:25:00Z</dcterms:created>
  <dcterms:modified xsi:type="dcterms:W3CDTF">2016-12-07T07:21:00Z</dcterms:modified>
</cp:coreProperties>
</file>