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186F4D45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94016F">
        <w:rPr>
          <w:rFonts w:ascii="Helvetica" w:hAnsi="Helvetica"/>
          <w:sz w:val="20"/>
        </w:rPr>
        <w:t>3</w:t>
      </w:r>
      <w:r w:rsidRPr="003D6EC8">
        <w:rPr>
          <w:rFonts w:ascii="Helvetica" w:hAnsi="Helvetica"/>
          <w:sz w:val="20"/>
        </w:rPr>
        <w:t xml:space="preserve">. </w:t>
      </w:r>
      <w:r w:rsidR="00C62288">
        <w:rPr>
          <w:rFonts w:ascii="Helvetica" w:hAnsi="Helvetica"/>
          <w:sz w:val="20"/>
        </w:rPr>
        <w:t>Mai</w:t>
      </w:r>
      <w:r w:rsidR="00AE295D" w:rsidRPr="003D6EC8">
        <w:rPr>
          <w:rFonts w:ascii="Helvetica" w:hAnsi="Helvetica"/>
          <w:sz w:val="20"/>
        </w:rPr>
        <w:t xml:space="preserve"> 2012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77777777" w:rsidR="009833BE" w:rsidRPr="001D6950" w:rsidRDefault="009833BE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 ist startbereit für die E-Bilanz</w:t>
      </w:r>
    </w:p>
    <w:p w14:paraId="7370B610" w14:textId="52D01FC5" w:rsidR="009833BE" w:rsidRDefault="009D400B" w:rsidP="0020524C">
      <w:pPr>
        <w:spacing w:line="360" w:lineRule="auto"/>
        <w:ind w:right="-1985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Spezifische Taxonomie für </w:t>
      </w:r>
      <w:r w:rsidR="00A2319B">
        <w:rPr>
          <w:rFonts w:ascii="Helvetica" w:hAnsi="Helvetica" w:cs="Arial"/>
          <w:b/>
          <w:bCs/>
          <w:sz w:val="22"/>
          <w:szCs w:val="22"/>
        </w:rPr>
        <w:t>kommunale Eigenbetriebe</w:t>
      </w:r>
      <w:r w:rsidR="00A06875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>wi</w:t>
      </w:r>
      <w:r w:rsidR="009833BE">
        <w:rPr>
          <w:rFonts w:ascii="Helvetica" w:hAnsi="Helvetica" w:cs="Arial"/>
          <w:b/>
          <w:bCs/>
          <w:sz w:val="22"/>
          <w:szCs w:val="22"/>
        </w:rPr>
        <w:t>rd berücksichtigt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7C3A3E0" w14:textId="1B126B40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Mit einem eigenen Vorgehensmodell unterstützt Wilken Unternehmen bei der Einführung der E-Bilanz, die ab dem 1. Januar 2013 zur Pflicht wird. Neben den funktionalen Anpassungen seines ERP-Systems CS/2 bietet der Ulmer Software-Hersteller seinen Kunden auch fachliche U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terstützung bei der Durchführung von E-Bilanz-Projekten. „Um die A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forderungen der E-Bilanz umsetzen zu können, reicht es nicht, ein ne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>es Release der Finanzbuchhaltungs-Software einzuführen. Denn das neue Verfahren wirkt sich zum einen auf den Kontenrahmen sowie zum anderen auf eine ganze Reihe vor- und nachgelagerter Systeme aus“, beschreibt Jörn Struck, in der Geschäftsleitung der Wilken GmbH z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>ständig für den Bereich ERP, die Anforderungen. Deswegen wird in 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 xml:space="preserve">nem ersten Schritt das bestehende Rechnungswesen genau analysiert. Danach werden Mapping-Regeln erarbeitet, mit denen die </w:t>
      </w:r>
      <w:proofErr w:type="spellStart"/>
      <w:r>
        <w:rPr>
          <w:rFonts w:ascii="Helvetica" w:hAnsi="Helvetica" w:cs="Arial"/>
          <w:b/>
          <w:sz w:val="20"/>
        </w:rPr>
        <w:t>Taxonomi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konformität</w:t>
      </w:r>
      <w:proofErr w:type="spellEnd"/>
      <w:r>
        <w:rPr>
          <w:rFonts w:ascii="Helvetica" w:hAnsi="Helvetica" w:cs="Arial"/>
          <w:b/>
          <w:sz w:val="20"/>
        </w:rPr>
        <w:t xml:space="preserve"> sichergestellt werden kann, die Kontenpläne entsprechend angepasst sowie das Verfahren für die Erstellung des XBRL-Datenträgers implementiert. „Mit dem Vorgehensmodell senken wir den Aufwand und beschleunigen die Umsetzung der E-Bilanz. Dennoch em</w:t>
      </w:r>
      <w:r>
        <w:rPr>
          <w:rFonts w:ascii="Helvetica" w:hAnsi="Helvetica" w:cs="Arial"/>
          <w:b/>
          <w:sz w:val="20"/>
        </w:rPr>
        <w:t>p</w:t>
      </w:r>
      <w:r>
        <w:rPr>
          <w:rFonts w:ascii="Helvetica" w:hAnsi="Helvetica" w:cs="Arial"/>
          <w:b/>
          <w:sz w:val="20"/>
        </w:rPr>
        <w:t>fehlen wir allen Unternehmen, die entsprechenden Projekte baldmö</w:t>
      </w:r>
      <w:r>
        <w:rPr>
          <w:rFonts w:ascii="Helvetica" w:hAnsi="Helvetica" w:cs="Arial"/>
          <w:b/>
          <w:sz w:val="20"/>
        </w:rPr>
        <w:t>g</w:t>
      </w:r>
      <w:r>
        <w:rPr>
          <w:rFonts w:ascii="Helvetica" w:hAnsi="Helvetica" w:cs="Arial"/>
          <w:b/>
          <w:sz w:val="20"/>
        </w:rPr>
        <w:t>lichst aufzusetzen, damit etwaige Umstellungs-Tätigkeiten rechtzeitig vor Beginn des Geschäftsjahres 2013 umgesetzt werden können“, erlä</w:t>
      </w:r>
      <w:r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>tert Struck. Denn es ist absehbar, dass es in der zweiten Jahreshälfte zu einem Projektstau kommen könnte, weil dann viele Unternehmen gleichzeitig die Vorbereitungsprojekte zur E-Bilanz durchführen wo</w:t>
      </w:r>
      <w:r>
        <w:rPr>
          <w:rFonts w:ascii="Helvetica" w:hAnsi="Helvetica" w:cs="Arial"/>
          <w:b/>
          <w:sz w:val="20"/>
        </w:rPr>
        <w:t>l</w:t>
      </w:r>
      <w:r>
        <w:rPr>
          <w:rFonts w:ascii="Helvetica" w:hAnsi="Helvetica" w:cs="Arial"/>
          <w:b/>
          <w:sz w:val="20"/>
        </w:rPr>
        <w:t>len</w:t>
      </w:r>
      <w:proofErr w:type="gramStart"/>
      <w:r w:rsidR="00625750">
        <w:rPr>
          <w:rFonts w:ascii="Helvetica" w:hAnsi="Helvetica" w:cs="Arial"/>
          <w:b/>
          <w:sz w:val="20"/>
        </w:rPr>
        <w:t>.</w:t>
      </w:r>
      <w:r>
        <w:rPr>
          <w:rFonts w:ascii="Helvetica" w:hAnsi="Helvetica" w:cs="Arial"/>
          <w:b/>
          <w:sz w:val="20"/>
        </w:rPr>
        <w:t>“</w:t>
      </w:r>
      <w:proofErr w:type="gramEnd"/>
    </w:p>
    <w:p w14:paraId="17728A17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2028534C" w14:textId="2CA93185" w:rsidR="00C05C89" w:rsidRPr="00750978" w:rsidRDefault="00C05C89" w:rsidP="00C05C89">
      <w:pPr>
        <w:spacing w:line="360" w:lineRule="auto"/>
        <w:rPr>
          <w:rFonts w:ascii="Helvetica" w:hAnsi="Helvetica" w:cs="Arial"/>
          <w:sz w:val="20"/>
        </w:rPr>
      </w:pPr>
      <w:r w:rsidRPr="00750978">
        <w:rPr>
          <w:rFonts w:ascii="Helvetica" w:hAnsi="Helvetica" w:cs="Arial"/>
          <w:sz w:val="20"/>
        </w:rPr>
        <w:t xml:space="preserve">Alle bilanzierenden Unternehmen – unabhängig von Rechtsform und Größe – sind von den Vorgaben des </w:t>
      </w:r>
      <w:r>
        <w:rPr>
          <w:rFonts w:ascii="Helvetica" w:hAnsi="Helvetica" w:cs="Arial"/>
          <w:sz w:val="20"/>
        </w:rPr>
        <w:t>Bundesministeriums für Finanzen</w:t>
      </w:r>
      <w:r w:rsidRPr="00750978">
        <w:rPr>
          <w:rFonts w:ascii="Helvetica" w:hAnsi="Helvetica" w:cs="Arial"/>
          <w:sz w:val="20"/>
        </w:rPr>
        <w:t xml:space="preserve"> betroffen und müssen entsprechende Vorkehrungen treffen. Gru</w:t>
      </w:r>
      <w:r>
        <w:rPr>
          <w:rFonts w:ascii="Helvetica" w:hAnsi="Helvetica" w:cs="Arial"/>
          <w:sz w:val="20"/>
        </w:rPr>
        <w:t>ndsätzlich sind bereits Ja</w:t>
      </w:r>
      <w:r>
        <w:rPr>
          <w:rFonts w:ascii="Helvetica" w:hAnsi="Helvetica" w:cs="Arial"/>
          <w:sz w:val="20"/>
        </w:rPr>
        <w:t>h</w:t>
      </w:r>
      <w:r>
        <w:rPr>
          <w:rFonts w:ascii="Helvetica" w:hAnsi="Helvetica" w:cs="Arial"/>
          <w:sz w:val="20"/>
        </w:rPr>
        <w:t>res</w:t>
      </w:r>
      <w:r w:rsidRPr="00750978">
        <w:rPr>
          <w:rFonts w:ascii="Helvetica" w:hAnsi="Helvetica" w:cs="Arial"/>
          <w:sz w:val="20"/>
        </w:rPr>
        <w:t>abschlüsse für Wirtschaftsjahre, die nach dem 31. Dezember 2011 begi</w:t>
      </w:r>
      <w:r w:rsidRPr="00750978">
        <w:rPr>
          <w:rFonts w:ascii="Helvetica" w:hAnsi="Helvetica" w:cs="Arial"/>
          <w:sz w:val="20"/>
        </w:rPr>
        <w:t>n</w:t>
      </w:r>
      <w:r w:rsidRPr="00750978">
        <w:rPr>
          <w:rFonts w:ascii="Helvetica" w:hAnsi="Helvetica" w:cs="Arial"/>
          <w:sz w:val="20"/>
        </w:rPr>
        <w:t>nen, elektronisch zu übermitteln.</w:t>
      </w:r>
      <w:r>
        <w:rPr>
          <w:rFonts w:ascii="Helvetica" w:hAnsi="Helvetica" w:cs="Arial"/>
          <w:sz w:val="20"/>
        </w:rPr>
        <w:t xml:space="preserve"> </w:t>
      </w:r>
      <w:r w:rsidRPr="005C7429">
        <w:rPr>
          <w:rFonts w:ascii="Helvetica" w:hAnsi="Helvetica" w:cs="Arial"/>
          <w:sz w:val="20"/>
        </w:rPr>
        <w:t>Im Ra</w:t>
      </w:r>
      <w:r>
        <w:rPr>
          <w:rFonts w:ascii="Helvetica" w:hAnsi="Helvetica" w:cs="Arial"/>
          <w:sz w:val="20"/>
        </w:rPr>
        <w:t>hmen der sogenannten Nichtbea</w:t>
      </w:r>
      <w:r>
        <w:rPr>
          <w:rFonts w:ascii="Helvetica" w:hAnsi="Helvetica" w:cs="Arial"/>
          <w:sz w:val="20"/>
        </w:rPr>
        <w:t>n</w:t>
      </w:r>
      <w:r w:rsidRPr="005C7429">
        <w:rPr>
          <w:rFonts w:ascii="Helvetica" w:hAnsi="Helvetica" w:cs="Arial"/>
          <w:sz w:val="20"/>
        </w:rPr>
        <w:t>standungsregelung kön</w:t>
      </w:r>
      <w:r>
        <w:rPr>
          <w:rFonts w:ascii="Helvetica" w:hAnsi="Helvetica" w:cs="Arial"/>
          <w:sz w:val="20"/>
        </w:rPr>
        <w:t>nen die Steuer</w:t>
      </w:r>
      <w:r w:rsidRPr="005C7429">
        <w:rPr>
          <w:rFonts w:ascii="Helvetica" w:hAnsi="Helvetica" w:cs="Arial"/>
          <w:sz w:val="20"/>
        </w:rPr>
        <w:t>bilanz nebst Gewinn- und Verlustrec</w:t>
      </w:r>
      <w:r w:rsidRPr="005C7429">
        <w:rPr>
          <w:rFonts w:ascii="Helvetica" w:hAnsi="Helvetica" w:cs="Arial"/>
          <w:sz w:val="20"/>
        </w:rPr>
        <w:t>h</w:t>
      </w:r>
      <w:r w:rsidRPr="005C7429">
        <w:rPr>
          <w:rFonts w:ascii="Helvetica" w:hAnsi="Helvetica" w:cs="Arial"/>
          <w:sz w:val="20"/>
        </w:rPr>
        <w:lastRenderedPageBreak/>
        <w:t>nung für das Wirtschaftsjahr 2012 zwar noch in Papierform abgegeben we</w:t>
      </w:r>
      <w:r w:rsidRPr="005C7429">
        <w:rPr>
          <w:rFonts w:ascii="Helvetica" w:hAnsi="Helvetica" w:cs="Arial"/>
          <w:sz w:val="20"/>
        </w:rPr>
        <w:t>r</w:t>
      </w:r>
      <w:r w:rsidRPr="005C7429">
        <w:rPr>
          <w:rFonts w:ascii="Helvetica" w:hAnsi="Helvetica" w:cs="Arial"/>
          <w:sz w:val="20"/>
        </w:rPr>
        <w:t xml:space="preserve">den. Ab dem Jahr 2014 gibt es aber kein Entrinnen mehr: </w:t>
      </w:r>
      <w:r>
        <w:rPr>
          <w:rFonts w:ascii="Helvetica" w:hAnsi="Helvetica" w:cs="Arial"/>
          <w:sz w:val="20"/>
        </w:rPr>
        <w:t>D</w:t>
      </w:r>
      <w:r w:rsidRPr="005C7429">
        <w:rPr>
          <w:rFonts w:ascii="Helvetica" w:hAnsi="Helvetica" w:cs="Arial"/>
          <w:sz w:val="20"/>
        </w:rPr>
        <w:t xml:space="preserve">ie E-Bilanz muss elektronisch </w:t>
      </w:r>
      <w:r>
        <w:rPr>
          <w:rFonts w:ascii="Helvetica" w:hAnsi="Helvetica" w:cs="Arial"/>
          <w:sz w:val="20"/>
        </w:rPr>
        <w:t>übermittelt</w:t>
      </w:r>
      <w:r w:rsidRPr="005C7429">
        <w:rPr>
          <w:rFonts w:ascii="Helvetica" w:hAnsi="Helvetica" w:cs="Arial"/>
          <w:sz w:val="20"/>
        </w:rPr>
        <w:t xml:space="preserve"> werden.</w:t>
      </w:r>
      <w:r>
        <w:rPr>
          <w:rFonts w:ascii="Helvetica" w:hAnsi="Helvetica" w:cs="Arial"/>
          <w:sz w:val="20"/>
        </w:rPr>
        <w:t xml:space="preserve"> „Die eigentliche Softwarefunktionalität wird erst in 2014 benötigt – die vorbereitenden Projekte sollten in 2012 durchg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>führt werden“</w:t>
      </w:r>
      <w:r w:rsidR="00625750">
        <w:rPr>
          <w:rFonts w:ascii="Helvetica" w:hAnsi="Helvetica" w:cs="Arial"/>
          <w:sz w:val="20"/>
        </w:rPr>
        <w:t>,</w:t>
      </w:r>
      <w:bookmarkStart w:id="0" w:name="_GoBack"/>
      <w:bookmarkEnd w:id="0"/>
      <w:r>
        <w:rPr>
          <w:rFonts w:ascii="Helvetica" w:hAnsi="Helvetica" w:cs="Arial"/>
          <w:sz w:val="20"/>
        </w:rPr>
        <w:t xml:space="preserve"> erläutert Jörn Struck.</w:t>
      </w:r>
    </w:p>
    <w:p w14:paraId="46105444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7B7D7D61" w14:textId="77777777" w:rsidR="00C05C89" w:rsidRPr="005C742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  <w:r w:rsidRPr="005C7429">
        <w:rPr>
          <w:rFonts w:ascii="Helvetica" w:hAnsi="Helvetica" w:cs="Arial"/>
          <w:b/>
          <w:sz w:val="20"/>
        </w:rPr>
        <w:t>XBRL und Taxonomie</w:t>
      </w:r>
    </w:p>
    <w:p w14:paraId="183FF9C9" w14:textId="77777777" w:rsidR="00C05C89" w:rsidRDefault="00C05C89" w:rsidP="00C05C89">
      <w:pPr>
        <w:spacing w:line="360" w:lineRule="auto"/>
        <w:rPr>
          <w:rFonts w:ascii="Helvetica" w:hAnsi="Helvetica" w:cs="Arial"/>
          <w:sz w:val="20"/>
        </w:rPr>
      </w:pPr>
      <w:r w:rsidRPr="00B70801">
        <w:rPr>
          <w:rFonts w:ascii="Helvetica" w:hAnsi="Helvetica" w:cs="Arial"/>
          <w:sz w:val="20"/>
        </w:rPr>
        <w:t xml:space="preserve">Der Inhalt der Bilanz sowie der </w:t>
      </w:r>
      <w:proofErr w:type="spellStart"/>
      <w:r w:rsidRPr="00B70801">
        <w:rPr>
          <w:rFonts w:ascii="Helvetica" w:hAnsi="Helvetica" w:cs="Arial"/>
          <w:sz w:val="20"/>
        </w:rPr>
        <w:t>GuV</w:t>
      </w:r>
      <w:proofErr w:type="spellEnd"/>
      <w:r w:rsidRPr="00B70801">
        <w:rPr>
          <w:rFonts w:ascii="Helvetica" w:hAnsi="Helvetica" w:cs="Arial"/>
          <w:sz w:val="20"/>
        </w:rPr>
        <w:t xml:space="preserve"> sind in Form eines von der Finanzverwa</w:t>
      </w:r>
      <w:r w:rsidRPr="00B70801">
        <w:rPr>
          <w:rFonts w:ascii="Helvetica" w:hAnsi="Helvetica" w:cs="Arial"/>
          <w:sz w:val="20"/>
        </w:rPr>
        <w:t>l</w:t>
      </w:r>
      <w:r w:rsidRPr="00B70801">
        <w:rPr>
          <w:rFonts w:ascii="Helvetica" w:hAnsi="Helvetica" w:cs="Arial"/>
          <w:sz w:val="20"/>
        </w:rPr>
        <w:t>tung vorges</w:t>
      </w:r>
      <w:r>
        <w:rPr>
          <w:rFonts w:ascii="Helvetica" w:hAnsi="Helvetica" w:cs="Arial"/>
          <w:sz w:val="20"/>
        </w:rPr>
        <w:t>chriebenen Datensatzes zu über</w:t>
      </w:r>
      <w:r w:rsidRPr="00B70801">
        <w:rPr>
          <w:rFonts w:ascii="Helvetica" w:hAnsi="Helvetica" w:cs="Arial"/>
          <w:sz w:val="20"/>
        </w:rPr>
        <w:t>mitteln. Die Übertragung muss stan</w:t>
      </w:r>
      <w:r>
        <w:rPr>
          <w:rFonts w:ascii="Helvetica" w:hAnsi="Helvetica" w:cs="Arial"/>
          <w:sz w:val="20"/>
        </w:rPr>
        <w:t>dar</w:t>
      </w:r>
      <w:r w:rsidRPr="00B70801">
        <w:rPr>
          <w:rFonts w:ascii="Helvetica" w:hAnsi="Helvetica" w:cs="Arial"/>
          <w:sz w:val="20"/>
        </w:rPr>
        <w:t xml:space="preserve">disiert </w:t>
      </w:r>
      <w:r>
        <w:rPr>
          <w:rFonts w:ascii="Helvetica" w:hAnsi="Helvetica" w:cs="Arial"/>
          <w:sz w:val="20"/>
        </w:rPr>
        <w:t>als</w:t>
      </w:r>
      <w:r w:rsidRPr="00B70801">
        <w:rPr>
          <w:rFonts w:ascii="Helvetica" w:hAnsi="Helvetica" w:cs="Arial"/>
          <w:sz w:val="20"/>
        </w:rPr>
        <w:t xml:space="preserve"> XBRL-Datensa</w:t>
      </w:r>
      <w:r>
        <w:rPr>
          <w:rFonts w:ascii="Helvetica" w:hAnsi="Helvetica" w:cs="Arial"/>
          <w:sz w:val="20"/>
        </w:rPr>
        <w:t>tz</w:t>
      </w:r>
      <w:r w:rsidRPr="00B70801">
        <w:rPr>
          <w:rFonts w:ascii="Helvetica" w:hAnsi="Helvetica" w:cs="Arial"/>
          <w:sz w:val="20"/>
        </w:rPr>
        <w:t xml:space="preserve"> erfolgen. Dieses einheitliche Über</w:t>
      </w:r>
      <w:r>
        <w:rPr>
          <w:rFonts w:ascii="Helvetica" w:hAnsi="Helvetica" w:cs="Arial"/>
          <w:sz w:val="20"/>
        </w:rPr>
        <w:t>tra</w:t>
      </w:r>
      <w:r w:rsidRPr="00B70801">
        <w:rPr>
          <w:rFonts w:ascii="Helvetica" w:hAnsi="Helvetica" w:cs="Arial"/>
          <w:sz w:val="20"/>
        </w:rPr>
        <w:t>gung</w:t>
      </w:r>
      <w:r w:rsidRPr="00B70801">
        <w:rPr>
          <w:rFonts w:ascii="Helvetica" w:hAnsi="Helvetica" w:cs="Arial"/>
          <w:sz w:val="20"/>
        </w:rPr>
        <w:t>s</w:t>
      </w:r>
      <w:r w:rsidRPr="00B70801">
        <w:rPr>
          <w:rFonts w:ascii="Helvetica" w:hAnsi="Helvetica" w:cs="Arial"/>
          <w:sz w:val="20"/>
        </w:rPr>
        <w:t>format ist von der Finanzverwaltung festgelegt und dient als elektronische Sprache für das Financial Reporting. Daher auch der Name: XBRL = extensi</w:t>
      </w:r>
      <w:r w:rsidRPr="00B70801">
        <w:rPr>
          <w:rFonts w:ascii="Helvetica" w:hAnsi="Helvetica" w:cs="Arial"/>
          <w:sz w:val="20"/>
        </w:rPr>
        <w:t>b</w:t>
      </w:r>
      <w:r w:rsidRPr="00B70801">
        <w:rPr>
          <w:rFonts w:ascii="Helvetica" w:hAnsi="Helvetica" w:cs="Arial"/>
          <w:sz w:val="20"/>
        </w:rPr>
        <w:t>le Business Reporting Language</w:t>
      </w:r>
      <w:r>
        <w:rPr>
          <w:rFonts w:ascii="Helvetica" w:hAnsi="Helvetica" w:cs="Arial"/>
          <w:sz w:val="20"/>
        </w:rPr>
        <w:t>.</w:t>
      </w:r>
    </w:p>
    <w:p w14:paraId="695E5E1F" w14:textId="77777777" w:rsidR="00C05C89" w:rsidRDefault="00C05C89" w:rsidP="00C05C89">
      <w:pPr>
        <w:spacing w:line="360" w:lineRule="auto"/>
        <w:rPr>
          <w:rFonts w:ascii="Helvetica" w:hAnsi="Helvetica" w:cs="Arial"/>
          <w:sz w:val="20"/>
        </w:rPr>
      </w:pPr>
    </w:p>
    <w:p w14:paraId="3CA9DF56" w14:textId="644DBDC0" w:rsidR="005C7429" w:rsidRPr="00B70801" w:rsidRDefault="00C05C89" w:rsidP="00C05C89">
      <w:pPr>
        <w:spacing w:line="360" w:lineRule="auto"/>
        <w:rPr>
          <w:rFonts w:ascii="Helvetica" w:hAnsi="Helvetica" w:cs="Arial"/>
          <w:sz w:val="20"/>
        </w:rPr>
      </w:pPr>
      <w:r w:rsidRPr="005C7429">
        <w:rPr>
          <w:rFonts w:ascii="Helvetica" w:hAnsi="Helvetica" w:cs="Arial"/>
          <w:sz w:val="20"/>
        </w:rPr>
        <w:t xml:space="preserve">Die Taxonomien (quasi </w:t>
      </w:r>
      <w:r>
        <w:rPr>
          <w:rFonts w:ascii="Helvetica" w:hAnsi="Helvetica" w:cs="Arial"/>
          <w:sz w:val="20"/>
        </w:rPr>
        <w:t>die</w:t>
      </w:r>
      <w:r w:rsidRPr="005C7429">
        <w:rPr>
          <w:rFonts w:ascii="Helvetica" w:hAnsi="Helvetica" w:cs="Arial"/>
          <w:sz w:val="20"/>
        </w:rPr>
        <w:t xml:space="preserve"> ‚Kontenpl</w:t>
      </w:r>
      <w:r>
        <w:rPr>
          <w:rFonts w:ascii="Helvetica" w:hAnsi="Helvetica" w:cs="Arial"/>
          <w:sz w:val="20"/>
        </w:rPr>
        <w:t>ä</w:t>
      </w:r>
      <w:r w:rsidRPr="005C7429"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>e</w:t>
      </w:r>
      <w:r w:rsidRPr="005C7429">
        <w:rPr>
          <w:rFonts w:ascii="Helvetica" w:hAnsi="Helvetica" w:cs="Arial"/>
          <w:sz w:val="20"/>
        </w:rPr>
        <w:t xml:space="preserve">‘) wurden ebenfalls vom </w:t>
      </w:r>
      <w:r>
        <w:rPr>
          <w:rFonts w:ascii="Helvetica" w:hAnsi="Helvetica" w:cs="Arial"/>
          <w:sz w:val="20"/>
        </w:rPr>
        <w:t>Bundesm</w:t>
      </w:r>
      <w:r>
        <w:rPr>
          <w:rFonts w:ascii="Helvetica" w:hAnsi="Helvetica" w:cs="Arial"/>
          <w:sz w:val="20"/>
        </w:rPr>
        <w:t>i</w:t>
      </w:r>
      <w:r>
        <w:rPr>
          <w:rFonts w:ascii="Helvetica" w:hAnsi="Helvetica" w:cs="Arial"/>
          <w:sz w:val="20"/>
        </w:rPr>
        <w:t>nisterium der Finanzen</w:t>
      </w:r>
      <w:r w:rsidRPr="005C7429">
        <w:rPr>
          <w:rFonts w:ascii="Helvetica" w:hAnsi="Helvetica" w:cs="Arial"/>
          <w:sz w:val="20"/>
        </w:rPr>
        <w:t xml:space="preserve"> veröffentlicht. Sie dienen als semantische Grundlage der E-Bilanz u</w:t>
      </w:r>
      <w:r>
        <w:rPr>
          <w:rFonts w:ascii="Helvetica" w:hAnsi="Helvetica" w:cs="Arial"/>
          <w:sz w:val="20"/>
        </w:rPr>
        <w:t>nd orientieren sich an der HGB-</w:t>
      </w:r>
      <w:r w:rsidRPr="005C7429">
        <w:rPr>
          <w:rFonts w:ascii="Helvetica" w:hAnsi="Helvetica" w:cs="Arial"/>
          <w:sz w:val="20"/>
        </w:rPr>
        <w:t>Taxonomie.</w:t>
      </w:r>
      <w:r>
        <w:rPr>
          <w:rFonts w:ascii="Helvetica" w:hAnsi="Helvetica" w:cs="Arial"/>
          <w:sz w:val="20"/>
        </w:rPr>
        <w:t xml:space="preserve"> </w:t>
      </w:r>
      <w:r w:rsidRPr="008F328C">
        <w:rPr>
          <w:rFonts w:ascii="Helvetica" w:hAnsi="Helvetica" w:cs="Arial"/>
          <w:sz w:val="20"/>
        </w:rPr>
        <w:t>Neben der allg</w:t>
      </w:r>
      <w:r w:rsidRPr="008F328C">
        <w:rPr>
          <w:rFonts w:ascii="Helvetica" w:hAnsi="Helvetica" w:cs="Arial"/>
          <w:sz w:val="20"/>
        </w:rPr>
        <w:t>e</w:t>
      </w:r>
      <w:r w:rsidRPr="008F328C">
        <w:rPr>
          <w:rFonts w:ascii="Helvetica" w:hAnsi="Helvetica" w:cs="Arial"/>
          <w:sz w:val="20"/>
        </w:rPr>
        <w:t>meinen Taxonomie gibt es</w:t>
      </w:r>
      <w:r>
        <w:rPr>
          <w:rFonts w:ascii="Helvetica" w:hAnsi="Helvetica" w:cs="Arial"/>
          <w:sz w:val="20"/>
        </w:rPr>
        <w:t xml:space="preserve"> aufgrund spezieller Rechnungs</w:t>
      </w:r>
      <w:r w:rsidRPr="008F328C">
        <w:rPr>
          <w:rFonts w:ascii="Helvetica" w:hAnsi="Helvetica" w:cs="Arial"/>
          <w:sz w:val="20"/>
        </w:rPr>
        <w:t>legungsvorschriften Spe</w:t>
      </w:r>
      <w:r>
        <w:rPr>
          <w:rFonts w:ascii="Helvetica" w:hAnsi="Helvetica" w:cs="Arial"/>
          <w:sz w:val="20"/>
        </w:rPr>
        <w:t>zialtaxono</w:t>
      </w:r>
      <w:r w:rsidRPr="008F328C">
        <w:rPr>
          <w:rFonts w:ascii="Helvetica" w:hAnsi="Helvetica" w:cs="Arial"/>
          <w:sz w:val="20"/>
        </w:rPr>
        <w:t>mien für Banken und Versicherungen. Außerdem gibt es Ergä</w:t>
      </w:r>
      <w:r>
        <w:rPr>
          <w:rFonts w:ascii="Helvetica" w:hAnsi="Helvetica" w:cs="Arial"/>
          <w:sz w:val="20"/>
        </w:rPr>
        <w:t>n</w:t>
      </w:r>
      <w:r w:rsidRPr="008F328C">
        <w:rPr>
          <w:rFonts w:ascii="Helvetica" w:hAnsi="Helvetica" w:cs="Arial"/>
          <w:sz w:val="20"/>
        </w:rPr>
        <w:t>zungsta</w:t>
      </w:r>
      <w:r>
        <w:rPr>
          <w:rFonts w:ascii="Helvetica" w:hAnsi="Helvetica" w:cs="Arial"/>
          <w:sz w:val="20"/>
        </w:rPr>
        <w:t>xono</w:t>
      </w:r>
      <w:r w:rsidRPr="008F328C">
        <w:rPr>
          <w:rFonts w:ascii="Helvetica" w:hAnsi="Helvetica" w:cs="Arial"/>
          <w:sz w:val="20"/>
        </w:rPr>
        <w:t>mien für beispielsweise Krankenhäuser, Pfle</w:t>
      </w:r>
      <w:r>
        <w:rPr>
          <w:rFonts w:ascii="Helvetica" w:hAnsi="Helvetica" w:cs="Arial"/>
          <w:sz w:val="20"/>
        </w:rPr>
        <w:t>geeinrichtungen, Verkehrs- und</w:t>
      </w:r>
      <w:r w:rsidRPr="008F328C">
        <w:rPr>
          <w:rFonts w:ascii="Helvetica" w:hAnsi="Helvetica" w:cs="Arial"/>
          <w:sz w:val="20"/>
        </w:rPr>
        <w:t xml:space="preserve"> Wohnungsunternehmen </w:t>
      </w:r>
      <w:r>
        <w:rPr>
          <w:rFonts w:ascii="Helvetica" w:hAnsi="Helvetica" w:cs="Arial"/>
          <w:sz w:val="20"/>
        </w:rPr>
        <w:t>oder</w:t>
      </w:r>
      <w:r w:rsidRPr="008F328C">
        <w:rPr>
          <w:rFonts w:ascii="Helvetica" w:hAnsi="Helvetica" w:cs="Arial"/>
          <w:sz w:val="20"/>
        </w:rPr>
        <w:t xml:space="preserve"> kommunale Eigenbetriebe</w:t>
      </w:r>
      <w:r>
        <w:rPr>
          <w:rFonts w:ascii="Helvetica" w:hAnsi="Helvetica" w:cs="Arial"/>
          <w:sz w:val="20"/>
        </w:rPr>
        <w:t>, die aber noch nicht endgültig vom Gesetzgeber verabschiedet worden sind</w:t>
      </w:r>
      <w:r w:rsidRPr="008F328C">
        <w:rPr>
          <w:rFonts w:ascii="Helvetica" w:hAnsi="Helvetica" w:cs="Arial"/>
          <w:sz w:val="20"/>
        </w:rPr>
        <w:t>.</w:t>
      </w:r>
    </w:p>
    <w:p w14:paraId="7E860BB4" w14:textId="77777777" w:rsidR="000F545D" w:rsidRPr="000F545D" w:rsidRDefault="000F545D" w:rsidP="000F545D">
      <w:pPr>
        <w:spacing w:line="360" w:lineRule="auto"/>
        <w:rPr>
          <w:rFonts w:ascii="Helvetica" w:hAnsi="Helvetica" w:cs="Arial"/>
          <w:sz w:val="20"/>
        </w:rPr>
      </w:pP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Shahin </w:t>
            </w:r>
            <w:proofErr w:type="spellStart"/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>Khazanbeik</w:t>
            </w:r>
            <w:proofErr w:type="spellEnd"/>
          </w:p>
          <w:p w14:paraId="55B57B49" w14:textId="77777777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625750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625750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7032CFF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625750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77777777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400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 einen Umsatz von deutlich über 40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1F3FBE" w:rsidRDefault="001F3FBE">
      <w:r>
        <w:separator/>
      </w:r>
    </w:p>
  </w:endnote>
  <w:endnote w:type="continuationSeparator" w:id="0">
    <w:p w14:paraId="608DCFDF" w14:textId="77777777" w:rsidR="001F3FBE" w:rsidRDefault="001F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1F3FBE" w:rsidRDefault="001F3FBE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1F3FBE" w:rsidRDefault="001F3FBE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1F3FBE" w:rsidRDefault="001F3FBE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1F3FBE" w:rsidRDefault="001F3FBE">
      <w:r>
        <w:separator/>
      </w:r>
    </w:p>
  </w:footnote>
  <w:footnote w:type="continuationSeparator" w:id="0">
    <w:p w14:paraId="35E46B01" w14:textId="77777777" w:rsidR="001F3FBE" w:rsidRDefault="001F3F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1F3FBE" w:rsidRDefault="001F3FBE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1F3FBE" w:rsidRDefault="001F3FBE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1F3FBE" w:rsidRPr="00C63EE6" w:rsidRDefault="001F3FBE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BBC08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3C85"/>
    <w:rsid w:val="00024E18"/>
    <w:rsid w:val="000301B7"/>
    <w:rsid w:val="000529BA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91D"/>
    <w:rsid w:val="00120D39"/>
    <w:rsid w:val="001216FA"/>
    <w:rsid w:val="00125965"/>
    <w:rsid w:val="00126526"/>
    <w:rsid w:val="001329D2"/>
    <w:rsid w:val="00140524"/>
    <w:rsid w:val="00141F7E"/>
    <w:rsid w:val="00143C0D"/>
    <w:rsid w:val="00144A2B"/>
    <w:rsid w:val="001522AE"/>
    <w:rsid w:val="00155118"/>
    <w:rsid w:val="0018024C"/>
    <w:rsid w:val="001827EB"/>
    <w:rsid w:val="0018288A"/>
    <w:rsid w:val="001845B8"/>
    <w:rsid w:val="00195F31"/>
    <w:rsid w:val="001A2220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0524C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B0FCC"/>
    <w:rsid w:val="002B1DA5"/>
    <w:rsid w:val="002C44C0"/>
    <w:rsid w:val="002C5E20"/>
    <w:rsid w:val="002C648F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7716B"/>
    <w:rsid w:val="003A3124"/>
    <w:rsid w:val="003A3A97"/>
    <w:rsid w:val="003B3AB7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445E"/>
    <w:rsid w:val="0048370E"/>
    <w:rsid w:val="004915D4"/>
    <w:rsid w:val="00495786"/>
    <w:rsid w:val="004B2A60"/>
    <w:rsid w:val="004C221E"/>
    <w:rsid w:val="004C37F2"/>
    <w:rsid w:val="004C46B8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3101D"/>
    <w:rsid w:val="00532047"/>
    <w:rsid w:val="0053654D"/>
    <w:rsid w:val="0055673F"/>
    <w:rsid w:val="005676FA"/>
    <w:rsid w:val="00584DA6"/>
    <w:rsid w:val="00585A95"/>
    <w:rsid w:val="00590128"/>
    <w:rsid w:val="00595EC9"/>
    <w:rsid w:val="005B4ABA"/>
    <w:rsid w:val="005B6135"/>
    <w:rsid w:val="005C05E2"/>
    <w:rsid w:val="005C7429"/>
    <w:rsid w:val="005D0F95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25750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90A39"/>
    <w:rsid w:val="00691D31"/>
    <w:rsid w:val="00693B71"/>
    <w:rsid w:val="006965E0"/>
    <w:rsid w:val="006A1E60"/>
    <w:rsid w:val="006A21EC"/>
    <w:rsid w:val="006A663F"/>
    <w:rsid w:val="006B0AAC"/>
    <w:rsid w:val="006B2C3A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F33"/>
    <w:rsid w:val="0075734A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A08E5"/>
    <w:rsid w:val="007A2079"/>
    <w:rsid w:val="007B16A3"/>
    <w:rsid w:val="007B2752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37C8"/>
    <w:rsid w:val="00865FC3"/>
    <w:rsid w:val="00877F57"/>
    <w:rsid w:val="00885212"/>
    <w:rsid w:val="00885405"/>
    <w:rsid w:val="0089063E"/>
    <w:rsid w:val="008911CF"/>
    <w:rsid w:val="00893529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40152"/>
    <w:rsid w:val="0094016F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66AB"/>
    <w:rsid w:val="009D400B"/>
    <w:rsid w:val="009D65CD"/>
    <w:rsid w:val="00A0063F"/>
    <w:rsid w:val="00A01353"/>
    <w:rsid w:val="00A06875"/>
    <w:rsid w:val="00A0711A"/>
    <w:rsid w:val="00A15A0D"/>
    <w:rsid w:val="00A21F11"/>
    <w:rsid w:val="00A2319B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233E2"/>
    <w:rsid w:val="00B23F9B"/>
    <w:rsid w:val="00B26ECD"/>
    <w:rsid w:val="00B27656"/>
    <w:rsid w:val="00B3004C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101C"/>
    <w:rsid w:val="00C77568"/>
    <w:rsid w:val="00C80BDC"/>
    <w:rsid w:val="00C85998"/>
    <w:rsid w:val="00C97219"/>
    <w:rsid w:val="00CB0158"/>
    <w:rsid w:val="00CB689C"/>
    <w:rsid w:val="00CC474C"/>
    <w:rsid w:val="00CC4BEE"/>
    <w:rsid w:val="00CC5857"/>
    <w:rsid w:val="00CC6AB8"/>
    <w:rsid w:val="00CE223A"/>
    <w:rsid w:val="00CE4F29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38FE"/>
    <w:rsid w:val="00E05A3C"/>
    <w:rsid w:val="00E0740C"/>
    <w:rsid w:val="00E108EE"/>
    <w:rsid w:val="00E1415C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958B7"/>
    <w:rsid w:val="00E973B9"/>
    <w:rsid w:val="00EA4272"/>
    <w:rsid w:val="00EB48EC"/>
    <w:rsid w:val="00ED20DC"/>
    <w:rsid w:val="00ED547F"/>
    <w:rsid w:val="00ED5AC9"/>
    <w:rsid w:val="00EF7146"/>
    <w:rsid w:val="00F0401A"/>
    <w:rsid w:val="00F16729"/>
    <w:rsid w:val="00F32DE5"/>
    <w:rsid w:val="00F33257"/>
    <w:rsid w:val="00F35A78"/>
    <w:rsid w:val="00F40A81"/>
    <w:rsid w:val="00F455DE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F0CD8-E196-BE40-9E70-81E026A7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4368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5051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Thomas Seibold</cp:lastModifiedBy>
  <cp:revision>7</cp:revision>
  <cp:lastPrinted>2012-04-25T09:43:00Z</cp:lastPrinted>
  <dcterms:created xsi:type="dcterms:W3CDTF">2012-05-03T07:27:00Z</dcterms:created>
  <dcterms:modified xsi:type="dcterms:W3CDTF">2012-05-03T08:26:00Z</dcterms:modified>
</cp:coreProperties>
</file>