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553D8" w14:textId="77777777" w:rsidR="004914A5" w:rsidRPr="00D87A22" w:rsidRDefault="004914A5" w:rsidP="004914A5">
      <w:pPr>
        <w:spacing w:before="100" w:beforeAutospacing="1" w:after="100" w:afterAutospacing="1"/>
        <w:ind w:right="-709"/>
        <w:outlineLvl w:val="0"/>
        <w:rPr>
          <w:rFonts w:ascii="Helvetica" w:hAnsi="Helvetica"/>
          <w:b/>
        </w:rPr>
      </w:pPr>
      <w:r>
        <w:rPr>
          <w:rFonts w:ascii="Helvetica" w:hAnsi="Helvetica"/>
          <w:b/>
        </w:rPr>
        <w:t xml:space="preserve">PRESSEINFORMATION </w:t>
      </w:r>
    </w:p>
    <w:p w14:paraId="5E2E7483" w14:textId="77777777" w:rsidR="004914A5" w:rsidRPr="00D87A22" w:rsidRDefault="004914A5" w:rsidP="004914A5">
      <w:pPr>
        <w:spacing w:before="100" w:beforeAutospacing="1" w:after="100" w:afterAutospacing="1"/>
        <w:ind w:right="-709"/>
        <w:outlineLvl w:val="0"/>
        <w:rPr>
          <w:rFonts w:ascii="Helvetica" w:hAnsi="Helvetica"/>
          <w:sz w:val="20"/>
        </w:rPr>
      </w:pPr>
      <w:r w:rsidRPr="003D6EC8">
        <w:rPr>
          <w:rFonts w:ascii="Helvetica" w:hAnsi="Helvetica"/>
          <w:sz w:val="20"/>
        </w:rPr>
        <w:t xml:space="preserve">Ulm, </w:t>
      </w:r>
      <w:r>
        <w:rPr>
          <w:rFonts w:ascii="Helvetica" w:hAnsi="Helvetica"/>
          <w:sz w:val="20"/>
        </w:rPr>
        <w:t xml:space="preserve">17. Juni </w:t>
      </w:r>
      <w:r w:rsidRPr="003D6EC8">
        <w:rPr>
          <w:rFonts w:ascii="Helvetica" w:hAnsi="Helvetica"/>
          <w:sz w:val="20"/>
        </w:rPr>
        <w:t>201</w:t>
      </w:r>
      <w:r>
        <w:rPr>
          <w:rFonts w:ascii="Helvetica" w:hAnsi="Helvetica"/>
          <w:sz w:val="20"/>
        </w:rPr>
        <w:t>5</w:t>
      </w:r>
      <w:r>
        <w:rPr>
          <w:rFonts w:ascii="Helvetica" w:hAnsi="Helvetica"/>
          <w:sz w:val="20"/>
        </w:rPr>
        <w:br/>
      </w:r>
    </w:p>
    <w:p w14:paraId="3738A6C6" w14:textId="5B6D785E" w:rsidR="004914A5" w:rsidRPr="000A3F41" w:rsidRDefault="000A3F41" w:rsidP="000A3F41">
      <w:pPr>
        <w:spacing w:before="100" w:beforeAutospacing="1" w:after="100" w:afterAutospacing="1"/>
        <w:ind w:right="-1701"/>
        <w:rPr>
          <w:rFonts w:ascii="Helvetica" w:hAnsi="Helvetica" w:cs="Arial"/>
          <w:b/>
          <w:sz w:val="28"/>
          <w:szCs w:val="28"/>
        </w:rPr>
      </w:pPr>
      <w:r w:rsidRPr="000A3F41">
        <w:rPr>
          <w:rFonts w:ascii="Helvetica" w:hAnsi="Helvetica" w:cs="Arial"/>
          <w:b/>
          <w:sz w:val="28"/>
          <w:szCs w:val="28"/>
        </w:rPr>
        <w:t xml:space="preserve">Wilken setzt Standards im Rechnungswesen </w:t>
      </w:r>
      <w:r>
        <w:rPr>
          <w:rFonts w:ascii="Helvetica" w:hAnsi="Helvetica" w:cs="Arial"/>
          <w:b/>
          <w:sz w:val="28"/>
          <w:szCs w:val="28"/>
        </w:rPr>
        <w:br/>
      </w:r>
      <w:r w:rsidRPr="000A3F41">
        <w:rPr>
          <w:rFonts w:ascii="Helvetica" w:hAnsi="Helvetica" w:cs="Arial"/>
          <w:b/>
          <w:sz w:val="28"/>
          <w:szCs w:val="28"/>
        </w:rPr>
        <w:t>der gesetzlichen Krankenversicherungen</w:t>
      </w:r>
      <w:r w:rsidR="004914A5">
        <w:rPr>
          <w:rFonts w:ascii="Helvetica" w:hAnsi="Helvetica" w:cs="Arial"/>
        </w:rPr>
        <w:br/>
      </w:r>
      <w:r w:rsidRPr="000A3F41">
        <w:rPr>
          <w:rFonts w:ascii="Helvetica" w:hAnsi="Helvetica" w:cs="Arial"/>
          <w:bCs/>
          <w:sz w:val="22"/>
          <w:szCs w:val="22"/>
        </w:rPr>
        <w:t>ERP-Lösung CS/2 jetzt bei 105 Krankenkassen im Einsatz</w:t>
      </w:r>
    </w:p>
    <w:p w14:paraId="4F079DF6" w14:textId="6C8A5A41" w:rsidR="008B4B7D" w:rsidRPr="008B4B7D" w:rsidRDefault="008B4B7D" w:rsidP="008B4B7D">
      <w:pPr>
        <w:spacing w:before="100" w:beforeAutospacing="1" w:after="100" w:afterAutospacing="1" w:line="360" w:lineRule="auto"/>
        <w:rPr>
          <w:rFonts w:ascii="Helvetica" w:hAnsi="Helvetica" w:cs="Helvetica"/>
          <w:b/>
          <w:bCs/>
          <w:sz w:val="20"/>
        </w:rPr>
      </w:pPr>
      <w:r w:rsidRPr="008B4B7D">
        <w:rPr>
          <w:rFonts w:ascii="Helvetica" w:hAnsi="Helvetica" w:cs="Helvetica"/>
          <w:b/>
          <w:bCs/>
          <w:sz w:val="20"/>
        </w:rPr>
        <w:t xml:space="preserve">Mit dem </w:t>
      </w:r>
      <w:r w:rsidR="00322BC2">
        <w:rPr>
          <w:rFonts w:ascii="Helvetica" w:hAnsi="Helvetica" w:cs="Helvetica"/>
          <w:b/>
          <w:bCs/>
          <w:sz w:val="20"/>
        </w:rPr>
        <w:t>erfolgreichen Rollout des CS/2-</w:t>
      </w:r>
      <w:r w:rsidRPr="008B4B7D">
        <w:rPr>
          <w:rFonts w:ascii="Helvetica" w:hAnsi="Helvetica" w:cs="Helvetica"/>
          <w:b/>
          <w:bCs/>
          <w:sz w:val="20"/>
        </w:rPr>
        <w:t>Finanz- und Rechnungswesens von Wilken und der Branchensoftware iskv_21c des Wilken Partners BITMARCK setzen nun 105 der insgesamt 124 gesetzlichen Krankenversicherungen (GKV) in Deutschland auf die ERP-Lösung aus Ulm. Den A</w:t>
      </w:r>
      <w:r w:rsidR="00322BC2">
        <w:rPr>
          <w:rFonts w:ascii="Helvetica" w:hAnsi="Helvetica" w:cs="Helvetica"/>
          <w:b/>
          <w:bCs/>
          <w:sz w:val="20"/>
        </w:rPr>
        <w:t>bschluss des Projekt</w:t>
      </w:r>
      <w:bookmarkStart w:id="0" w:name="_GoBack"/>
      <w:bookmarkEnd w:id="0"/>
      <w:r w:rsidRPr="008B4B7D">
        <w:rPr>
          <w:rFonts w:ascii="Helvetica" w:hAnsi="Helvetica" w:cs="Helvetica"/>
          <w:b/>
          <w:bCs/>
          <w:sz w:val="20"/>
        </w:rPr>
        <w:t>s markierten die BKK Public, die BKK Salzgitter und die TUI BKK, bei denen die beiden Softwarelösungen Anfang Juni in Betrieb genommen wurden.</w:t>
      </w:r>
      <w:r w:rsidR="000A3F41" w:rsidRPr="000A3F41">
        <w:rPr>
          <w:rFonts w:ascii="Helvetica" w:hAnsi="Helvetica" w:cs="Helvetica"/>
          <w:b/>
          <w:bCs/>
          <w:sz w:val="20"/>
        </w:rPr>
        <w:t xml:space="preserve"> </w:t>
      </w:r>
      <w:r w:rsidR="000A3F41">
        <w:rPr>
          <w:rFonts w:ascii="Helvetica" w:hAnsi="Helvetica" w:cs="Helvetica"/>
          <w:b/>
          <w:bCs/>
          <w:sz w:val="20"/>
        </w:rPr>
        <w:t xml:space="preserve">Die Branchenlösung </w:t>
      </w:r>
      <w:r w:rsidR="000A3F41" w:rsidRPr="000A3F41">
        <w:rPr>
          <w:rFonts w:ascii="Helvetica" w:hAnsi="Helvetica" w:cs="Helvetica"/>
          <w:b/>
          <w:bCs/>
          <w:sz w:val="20"/>
        </w:rPr>
        <w:t>iskv_21c</w:t>
      </w:r>
      <w:r w:rsidR="000A3F41">
        <w:rPr>
          <w:rFonts w:ascii="Helvetica" w:hAnsi="Helvetica" w:cs="Helvetica"/>
          <w:b/>
          <w:bCs/>
          <w:sz w:val="20"/>
        </w:rPr>
        <w:t>, über die mehr als 14,2 Millionen Versicherte betreut werden,</w:t>
      </w:r>
      <w:r w:rsidR="000A3F41" w:rsidRPr="000A3F41">
        <w:rPr>
          <w:rFonts w:ascii="Helvetica" w:hAnsi="Helvetica" w:cs="Helvetica"/>
          <w:b/>
          <w:bCs/>
          <w:sz w:val="20"/>
        </w:rPr>
        <w:t xml:space="preserve"> </w:t>
      </w:r>
      <w:r w:rsidR="000A3F41">
        <w:rPr>
          <w:rFonts w:ascii="Helvetica" w:hAnsi="Helvetica" w:cs="Helvetica"/>
          <w:b/>
          <w:bCs/>
          <w:sz w:val="20"/>
        </w:rPr>
        <w:t>sorgt</w:t>
      </w:r>
      <w:r w:rsidR="000A3F41" w:rsidRPr="000A3F41">
        <w:rPr>
          <w:rFonts w:ascii="Helvetica" w:hAnsi="Helvetica" w:cs="Helvetica"/>
          <w:b/>
          <w:bCs/>
          <w:sz w:val="20"/>
        </w:rPr>
        <w:t xml:space="preserve"> für die effiziente Durchführung aller Geschäftsprozesse einer modern organisierten Krankenkasse. </w:t>
      </w:r>
      <w:r w:rsidR="000A3F41">
        <w:rPr>
          <w:rFonts w:ascii="Helvetica" w:hAnsi="Helvetica" w:cs="Helvetica"/>
          <w:b/>
          <w:bCs/>
          <w:sz w:val="20"/>
        </w:rPr>
        <w:t>Das System</w:t>
      </w:r>
      <w:r w:rsidRPr="008B4B7D">
        <w:rPr>
          <w:rFonts w:ascii="Helvetica" w:hAnsi="Helvetica" w:cs="Helvetica"/>
          <w:b/>
          <w:bCs/>
          <w:sz w:val="20"/>
        </w:rPr>
        <w:t xml:space="preserve"> und CS/2 arbeiten eng integriert, so dass durch die Einführung</w:t>
      </w:r>
      <w:r w:rsidR="00441CBE">
        <w:rPr>
          <w:rFonts w:ascii="Helvetica" w:hAnsi="Helvetica" w:cs="Helvetica"/>
          <w:b/>
          <w:bCs/>
          <w:sz w:val="20"/>
        </w:rPr>
        <w:t xml:space="preserve"> der beiden Lösungen</w:t>
      </w:r>
      <w:r w:rsidRPr="008B4B7D">
        <w:rPr>
          <w:rFonts w:ascii="Helvetica" w:hAnsi="Helvetica" w:cs="Helvetica"/>
          <w:b/>
          <w:bCs/>
          <w:sz w:val="20"/>
        </w:rPr>
        <w:t xml:space="preserve"> zahlreiche </w:t>
      </w:r>
      <w:r w:rsidR="00441CBE">
        <w:rPr>
          <w:rFonts w:ascii="Helvetica" w:hAnsi="Helvetica" w:cs="Helvetica"/>
          <w:b/>
          <w:bCs/>
          <w:sz w:val="20"/>
        </w:rPr>
        <w:t xml:space="preserve">weitere </w:t>
      </w:r>
      <w:r w:rsidRPr="008B4B7D">
        <w:rPr>
          <w:rFonts w:ascii="Helvetica" w:hAnsi="Helvetica" w:cs="Helvetica"/>
          <w:b/>
          <w:bCs/>
          <w:sz w:val="20"/>
        </w:rPr>
        <w:t xml:space="preserve">Abläufe deutlich optimiert werden. Neben den zentralen Anwendungen für das Finanzmanagement setzen viele der Krankenkassen inzwischen auch weitere CS/2-Module ein, etwa für den Einkauf. Daneben entwickelt Wilken aber auch weitere Anwendungen für die spezifischen Anforderungen der GKVen. „Mit dem Abschluss des Rollouts arbeiten rund 90 Prozent aller Kassen in Deutschland mit dem Wilken ERP-System. Damit ist CS/2 nachhaltig als Standardlösung für die gesetzlichen </w:t>
      </w:r>
      <w:r w:rsidR="007D5473">
        <w:rPr>
          <w:rFonts w:ascii="Helvetica" w:hAnsi="Helvetica" w:cs="Helvetica"/>
          <w:b/>
          <w:bCs/>
          <w:sz w:val="20"/>
        </w:rPr>
        <w:t>Krankenversicherungen etabliert</w:t>
      </w:r>
      <w:r w:rsidRPr="008B4B7D">
        <w:rPr>
          <w:rFonts w:ascii="Helvetica" w:hAnsi="Helvetica" w:cs="Helvetica"/>
          <w:b/>
          <w:bCs/>
          <w:sz w:val="20"/>
        </w:rPr>
        <w:t>“, freut sich Jochen Endress, verantwortlich für den Bereich Sozialversicherungen bei der Wilken GmbH.</w:t>
      </w:r>
    </w:p>
    <w:p w14:paraId="18F297F6" w14:textId="77777777" w:rsidR="007D5473" w:rsidRDefault="004914A5" w:rsidP="004914A5">
      <w:pPr>
        <w:spacing w:before="100" w:beforeAutospacing="1" w:after="100" w:afterAutospacing="1" w:line="360" w:lineRule="auto"/>
        <w:rPr>
          <w:rFonts w:ascii="Helvetica" w:hAnsi="Helvetica" w:cs="Helvetica"/>
          <w:bCs/>
          <w:sz w:val="20"/>
        </w:rPr>
      </w:pPr>
      <w:r>
        <w:rPr>
          <w:rFonts w:ascii="Helvetica" w:hAnsi="Helvetica" w:cs="Helvetica"/>
          <w:bCs/>
          <w:sz w:val="20"/>
        </w:rPr>
        <w:t>Anlässlich des abgeschlossenen Rollouts traf sich Mitte Juni auch der „GKV-Fachanwenderkreis ERP“ bei Wilken in Ulm, um sich über die künftigen Weiterentwicklungen zu informieren. Im Zentrum stand dabei die kommende CS/2-Version 4.3, die in zahlreichen Details für die Anforderungen der Krankenkassen ausgebaut wurde</w:t>
      </w:r>
      <w:r w:rsidR="007D5473">
        <w:rPr>
          <w:rFonts w:ascii="Helvetica" w:hAnsi="Helvetica" w:cs="Helvetica"/>
          <w:bCs/>
          <w:sz w:val="20"/>
        </w:rPr>
        <w:t>.</w:t>
      </w:r>
    </w:p>
    <w:p w14:paraId="79B6FC9E" w14:textId="16A39573" w:rsidR="004914A5" w:rsidRPr="00D87A22" w:rsidRDefault="007D5473" w:rsidP="004914A5">
      <w:pPr>
        <w:spacing w:before="100" w:beforeAutospacing="1" w:after="100" w:afterAutospacing="1" w:line="360" w:lineRule="auto"/>
        <w:rPr>
          <w:rFonts w:ascii="Helvetica" w:hAnsi="Helvetica" w:cs="Helvetica"/>
          <w:bCs/>
          <w:sz w:val="20"/>
        </w:rPr>
      </w:pPr>
      <w:r w:rsidRPr="007D5473">
        <w:rPr>
          <w:rFonts w:ascii="Helvetica" w:hAnsi="Helvetica" w:cs="Helvetica"/>
          <w:bCs/>
          <w:sz w:val="20"/>
        </w:rPr>
        <w:t xml:space="preserve">Zu den GKV-spezifischen Wilken-Anwendungen gehört beispielsweise das Haushaltsmodul, mit dem die Kassen den erstellten und von der Aufsichtsbehörde genehmigten Haushaltsplan hinterlegen und alle Haushaltspositionen </w:t>
      </w:r>
      <w:r w:rsidRPr="007D5473">
        <w:rPr>
          <w:rFonts w:ascii="Helvetica" w:hAnsi="Helvetica" w:cs="Helvetica"/>
          <w:bCs/>
          <w:sz w:val="20"/>
        </w:rPr>
        <w:lastRenderedPageBreak/>
        <w:t>unterjährig überwachen können. Es stehen aber auch differenzierte Hochrechnungsvarianten zur Verfügung, die neben dem Plan-/Ist-Vergleich auch den Blick in die Zukunft ermöglichen. Eine spezielle GKV-Umbuchungsmaske erlaubt es, alle komplexen Umbuchungsvorgänge zwischen iskv_21c und CS/2 automatisiert abzuwickeln. Etwa bei der Jahresrechnungsabgrenzung, bei den sogenannten ZR9-Buchungen oder bei Buchungen gegen Forderungs- und Verpflichtungskonten. Dazu kommt ein kassenspezifisches Eingangsrechnungsmanagement, über das Belege automatisch im Dokumentenmanagement erfasst und revisionssicher archiviert werden können.</w:t>
      </w:r>
    </w:p>
    <w:tbl>
      <w:tblPr>
        <w:tblW w:w="9180" w:type="dxa"/>
        <w:tblLook w:val="04A0" w:firstRow="1" w:lastRow="0" w:firstColumn="1" w:lastColumn="0" w:noHBand="0" w:noVBand="1"/>
      </w:tblPr>
      <w:tblGrid>
        <w:gridCol w:w="4361"/>
        <w:gridCol w:w="4819"/>
      </w:tblGrid>
      <w:tr w:rsidR="004914A5" w:rsidRPr="00FA1DEE" w14:paraId="2BFE6912" w14:textId="77777777" w:rsidTr="00887602">
        <w:tc>
          <w:tcPr>
            <w:tcW w:w="4361" w:type="dxa"/>
            <w:shd w:val="clear" w:color="auto" w:fill="auto"/>
          </w:tcPr>
          <w:p w14:paraId="7C062BA9" w14:textId="0D90E67F" w:rsidR="004914A5" w:rsidRPr="00D87A22" w:rsidRDefault="004914A5" w:rsidP="00887602">
            <w:pPr>
              <w:widowControl w:val="0"/>
              <w:tabs>
                <w:tab w:val="left" w:pos="3969"/>
              </w:tabs>
              <w:autoSpaceDE w:val="0"/>
              <w:autoSpaceDN w:val="0"/>
              <w:adjustRightInd w:val="0"/>
              <w:spacing w:before="100" w:beforeAutospacing="1" w:after="100" w:afterAutospacing="1"/>
              <w:ind w:right="176"/>
              <w:rPr>
                <w:rFonts w:ascii="Arial" w:hAnsi="Arial" w:cs="Calibri"/>
                <w:sz w:val="16"/>
                <w:szCs w:val="26"/>
                <w:lang w:eastAsia="de-DE"/>
              </w:rPr>
            </w:pPr>
            <w:r w:rsidRPr="00FA1DEE">
              <w:rPr>
                <w:rFonts w:ascii="Arial" w:hAnsi="Arial" w:cs="Calibri"/>
                <w:b/>
                <w:sz w:val="16"/>
                <w:szCs w:val="26"/>
                <w:lang w:eastAsia="de-DE"/>
              </w:rPr>
              <w:t>Kontaktdaten:</w:t>
            </w:r>
            <w:r>
              <w:rPr>
                <w:rFonts w:ascii="Arial" w:hAnsi="Arial" w:cs="Calibri"/>
                <w:b/>
                <w:sz w:val="16"/>
                <w:szCs w:val="26"/>
                <w:lang w:eastAsia="de-DE"/>
              </w:rPr>
              <w:br/>
            </w:r>
            <w:r w:rsidRPr="00FA1DEE">
              <w:rPr>
                <w:rFonts w:ascii="Arial" w:hAnsi="Arial" w:cs="Calibri"/>
                <w:sz w:val="16"/>
                <w:szCs w:val="26"/>
                <w:lang w:eastAsia="de-DE"/>
              </w:rPr>
              <w:t xml:space="preserve">Wilken </w:t>
            </w:r>
            <w:r>
              <w:rPr>
                <w:rFonts w:ascii="Arial" w:hAnsi="Arial" w:cs="Calibri"/>
                <w:sz w:val="16"/>
                <w:szCs w:val="26"/>
                <w:lang w:eastAsia="de-DE"/>
              </w:rPr>
              <w:t>GmbH - Björn Orttmann</w:t>
            </w:r>
            <w:r>
              <w:rPr>
                <w:rFonts w:ascii="Arial" w:hAnsi="Arial" w:cs="Calibri"/>
                <w:sz w:val="16"/>
                <w:szCs w:val="26"/>
                <w:lang w:eastAsia="de-DE"/>
              </w:rPr>
              <w:br/>
              <w:t>Hörvelsinger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r>
              <w:rPr>
                <w:rFonts w:ascii="Arial" w:hAnsi="Arial" w:cs="Calibri"/>
                <w:sz w:val="16"/>
                <w:szCs w:val="26"/>
                <w:lang w:eastAsia="de-DE"/>
              </w:rPr>
              <w:br/>
            </w: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r>
              <w:rPr>
                <w:rFonts w:ascii="Arial" w:hAnsi="Arial" w:cs="Calibri"/>
                <w:sz w:val="16"/>
                <w:szCs w:val="26"/>
                <w:lang w:eastAsia="de-DE"/>
              </w:rPr>
              <w:br/>
            </w:r>
            <w:hyperlink r:id="rId7" w:history="1">
              <w:r w:rsidRPr="00646442">
                <w:rPr>
                  <w:rStyle w:val="Link"/>
                  <w:rFonts w:ascii="Arial" w:hAnsi="Arial" w:cs="Calibri"/>
                  <w:sz w:val="16"/>
                  <w:szCs w:val="26"/>
                  <w:lang w:val="en-US" w:eastAsia="de-DE"/>
                </w:rPr>
                <w:t>presse@wilken.de</w:t>
              </w:r>
            </w:hyperlink>
            <w:r>
              <w:t xml:space="preserve"> </w:t>
            </w:r>
            <w:r>
              <w:br/>
            </w:r>
            <w:hyperlink r:id="rId8" w:history="1">
              <w:r w:rsidR="00FE0661" w:rsidRPr="00503692">
                <w:rPr>
                  <w:rStyle w:val="Link"/>
                  <w:rFonts w:ascii="Arial" w:hAnsi="Arial" w:cs="Calibri"/>
                  <w:sz w:val="16"/>
                  <w:szCs w:val="26"/>
                  <w:lang w:val="en-US" w:eastAsia="de-DE"/>
                </w:rPr>
                <w:t>www.wilken.de</w:t>
              </w:r>
            </w:hyperlink>
          </w:p>
        </w:tc>
        <w:tc>
          <w:tcPr>
            <w:tcW w:w="4819" w:type="dxa"/>
            <w:shd w:val="clear" w:color="auto" w:fill="auto"/>
          </w:tcPr>
          <w:p w14:paraId="13C5F2C0" w14:textId="54EDA1F2" w:rsidR="004914A5" w:rsidRPr="00D87A22" w:rsidRDefault="004914A5" w:rsidP="00FE0661">
            <w:pPr>
              <w:widowControl w:val="0"/>
              <w:autoSpaceDE w:val="0"/>
              <w:autoSpaceDN w:val="0"/>
              <w:adjustRightInd w:val="0"/>
              <w:spacing w:before="100" w:beforeAutospacing="1" w:after="100" w:afterAutospacing="1"/>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r>
              <w:rPr>
                <w:rFonts w:ascii="Arial" w:hAnsi="Arial" w:cs="Calibri"/>
                <w:b/>
                <w:sz w:val="16"/>
                <w:szCs w:val="26"/>
                <w:lang w:eastAsia="de-DE"/>
              </w:rPr>
              <w:br/>
            </w:r>
            <w:r w:rsidR="00FE0661" w:rsidRPr="00FA1DEE">
              <w:rPr>
                <w:rFonts w:ascii="Arial" w:hAnsi="Arial" w:cs="Calibri"/>
                <w:sz w:val="16"/>
                <w:szCs w:val="26"/>
                <w:lang w:eastAsia="de-DE"/>
              </w:rPr>
              <w:t xml:space="preserve">Press’n’Relations GmbH </w:t>
            </w:r>
            <w:r w:rsidR="00FE0661">
              <w:rPr>
                <w:rFonts w:ascii="Arial" w:hAnsi="Arial" w:cs="Calibri"/>
                <w:sz w:val="16"/>
                <w:szCs w:val="26"/>
                <w:lang w:eastAsia="de-DE"/>
              </w:rPr>
              <w:t xml:space="preserve"> – </w:t>
            </w:r>
            <w:r w:rsidRPr="00FA1DEE">
              <w:rPr>
                <w:rFonts w:ascii="Arial" w:hAnsi="Arial" w:cs="Calibri"/>
                <w:sz w:val="16"/>
                <w:szCs w:val="26"/>
                <w:lang w:eastAsia="de-DE"/>
              </w:rPr>
              <w:t>Uwe Pagel</w:t>
            </w:r>
            <w:r>
              <w:rPr>
                <w:rFonts w:ascii="Arial" w:hAnsi="Arial" w:cs="Calibri"/>
                <w:b/>
                <w:sz w:val="16"/>
                <w:szCs w:val="26"/>
                <w:lang w:eastAsia="de-DE"/>
              </w:rPr>
              <w:br/>
            </w:r>
            <w:r w:rsidRPr="00FA1DEE">
              <w:rPr>
                <w:rFonts w:ascii="Arial" w:hAnsi="Arial" w:cs="Calibri"/>
                <w:sz w:val="16"/>
                <w:szCs w:val="26"/>
                <w:lang w:eastAsia="de-DE"/>
              </w:rPr>
              <w:t>Magirusstraße 33 – D-89077 Ulm</w:t>
            </w:r>
            <w:r>
              <w:rPr>
                <w:rFonts w:ascii="Arial" w:hAnsi="Arial" w:cs="Calibri"/>
                <w:b/>
                <w:sz w:val="16"/>
                <w:szCs w:val="26"/>
                <w:lang w:eastAsia="de-DE"/>
              </w:rPr>
              <w:br/>
            </w:r>
            <w:r w:rsidRPr="00FA1DEE">
              <w:rPr>
                <w:rFonts w:ascii="Arial" w:hAnsi="Arial" w:cs="Calibri"/>
                <w:sz w:val="16"/>
                <w:szCs w:val="26"/>
                <w:lang w:eastAsia="de-DE"/>
              </w:rPr>
              <w:t>Tel.: +49 731 962 87-29 – Fax: +49 731 962 87-</w:t>
            </w:r>
            <w:r>
              <w:rPr>
                <w:rFonts w:ascii="Arial" w:hAnsi="Arial" w:cs="Calibri"/>
                <w:sz w:val="16"/>
                <w:szCs w:val="26"/>
                <w:lang w:eastAsia="de-DE"/>
              </w:rPr>
              <w:t>2</w:t>
            </w:r>
            <w:r w:rsidRPr="00FA1DEE">
              <w:rPr>
                <w:rFonts w:ascii="Arial" w:hAnsi="Arial" w:cs="Calibri"/>
                <w:sz w:val="16"/>
                <w:szCs w:val="26"/>
                <w:lang w:eastAsia="de-DE"/>
              </w:rPr>
              <w:t>9</w:t>
            </w:r>
            <w:r>
              <w:rPr>
                <w:rFonts w:ascii="Arial" w:hAnsi="Arial" w:cs="Calibri"/>
                <w:sz w:val="16"/>
                <w:szCs w:val="26"/>
                <w:lang w:eastAsia="de-DE"/>
              </w:rPr>
              <w:br/>
            </w:r>
            <w:hyperlink r:id="rId9" w:history="1">
              <w:r w:rsidRPr="00FA1DEE">
                <w:rPr>
                  <w:rStyle w:val="Link"/>
                  <w:rFonts w:ascii="Arial" w:hAnsi="Arial" w:cs="Calibri"/>
                  <w:sz w:val="16"/>
                  <w:szCs w:val="26"/>
                  <w:lang w:eastAsia="de-DE"/>
                </w:rPr>
                <w:t>upa@press-n-relations.de</w:t>
              </w:r>
            </w:hyperlink>
            <w:r>
              <w:rPr>
                <w:rFonts w:ascii="Arial" w:hAnsi="Arial" w:cs="Calibri"/>
                <w:b/>
                <w:sz w:val="16"/>
                <w:szCs w:val="26"/>
                <w:lang w:eastAsia="de-DE"/>
              </w:rPr>
              <w:br/>
            </w:r>
            <w:r w:rsidRPr="00FA1DEE">
              <w:rPr>
                <w:rFonts w:ascii="Arial" w:hAnsi="Arial" w:cs="Calibri"/>
                <w:sz w:val="16"/>
                <w:szCs w:val="26"/>
                <w:lang w:eastAsia="de-DE"/>
              </w:rPr>
              <w:t>www.press-n-relations.com</w:t>
            </w:r>
          </w:p>
        </w:tc>
      </w:tr>
    </w:tbl>
    <w:p w14:paraId="5A11AFA7" w14:textId="77777777" w:rsidR="004914A5" w:rsidRPr="00EC0341" w:rsidRDefault="004914A5" w:rsidP="004914A5">
      <w:pPr>
        <w:widowControl w:val="0"/>
        <w:autoSpaceDE w:val="0"/>
        <w:autoSpaceDN w:val="0"/>
        <w:adjustRightInd w:val="0"/>
        <w:spacing w:before="100" w:beforeAutospacing="1" w:after="100" w:afterAutospacing="1"/>
        <w:rPr>
          <w:rFonts w:ascii="Lucida Grande" w:eastAsia="Lucida Grande" w:hAnsi="Lucida Grande" w:cs="Lucida Grande"/>
          <w:b/>
          <w:bCs/>
          <w:sz w:val="16"/>
          <w:szCs w:val="26"/>
          <w:lang w:eastAsia="de-DE"/>
        </w:rPr>
      </w:pPr>
      <w:r w:rsidRPr="00D87A22">
        <w:rPr>
          <w:rFonts w:ascii="Arial" w:hAnsi="Arial" w:cs="Calibri"/>
          <w:b/>
          <w:bCs/>
          <w:sz w:val="16"/>
          <w:szCs w:val="26"/>
          <w:lang w:eastAsia="de-DE"/>
        </w:rPr>
        <w:t>Über die Wilken Corporate Group</w:t>
      </w:r>
      <w:r>
        <w:rPr>
          <w:rFonts w:ascii="Lucida Grande" w:eastAsia="Lucida Grande" w:hAnsi="Lucida Grande" w:cs="Lucida Grande"/>
          <w:b/>
          <w:bCs/>
          <w:sz w:val="16"/>
          <w:szCs w:val="26"/>
          <w:lang w:eastAsia="de-DE"/>
        </w:rPr>
        <w:br/>
      </w:r>
      <w:r w:rsidRPr="00D87A22">
        <w:rPr>
          <w:rFonts w:ascii="Arial" w:hAnsi="Arial" w:cs="Calibri"/>
          <w:sz w:val="16"/>
          <w:szCs w:val="26"/>
          <w:lang w:eastAsia="de-DE"/>
        </w:rPr>
        <w:t>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(Arbon, Schweiz), die Wilken Neutrasoft GmbH (Greven), die Wilken Entire GmbH (Ulm), die Wilken Rechenzentrum GmbH (Ulm), die Wilken Akademie GmbH (Ulm), die Wilken Ciwi GmbH (Ulm), die Wilken Informationsmanagement GmbH (München) sowie die Wilken Prozessmanagement GmbH (Ulm, Greven, Sierksdorf). Die Unternehmensgruppe erzielte 2014 einen Umsatz von rund 58 Millionen Euro.</w:t>
      </w:r>
    </w:p>
    <w:p w14:paraId="615863D1" w14:textId="716AD1A5" w:rsidR="00FE48A6" w:rsidRPr="004914A5" w:rsidRDefault="00FE48A6" w:rsidP="004914A5"/>
    <w:sectPr w:rsidR="00FE48A6" w:rsidRPr="004914A5" w:rsidSect="001858F8">
      <w:headerReference w:type="default" r:id="rId10"/>
      <w:footerReference w:type="even" r:id="rId11"/>
      <w:footerReference w:type="default" r:id="rId12"/>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94AA8" w14:textId="77777777" w:rsidR="00676D33" w:rsidRDefault="00676D33">
      <w:r>
        <w:separator/>
      </w:r>
    </w:p>
  </w:endnote>
  <w:endnote w:type="continuationSeparator" w:id="0">
    <w:p w14:paraId="10EB7625" w14:textId="77777777" w:rsidR="00676D33" w:rsidRDefault="0067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D5304C" w:rsidRDefault="00D5304C"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D5304C" w:rsidRDefault="00D5304C"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D8099B5" w:rsidR="00D5304C" w:rsidRDefault="00BD28EA" w:rsidP="00FE48A6">
    <w:pPr>
      <w:pStyle w:val="Fuzeile"/>
      <w:ind w:right="-2269"/>
      <w:jc w:val="right"/>
    </w:pPr>
    <w:r>
      <w:rPr>
        <w:noProof/>
        <w:lang w:eastAsia="de-DE"/>
      </w:rPr>
      <w:drawing>
        <wp:inline distT="0" distB="0" distL="0" distR="0" wp14:anchorId="4BAB415E" wp14:editId="03F79E4D">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6F0F1" w14:textId="77777777" w:rsidR="00676D33" w:rsidRDefault="00676D33">
      <w:r>
        <w:separator/>
      </w:r>
    </w:p>
  </w:footnote>
  <w:footnote w:type="continuationSeparator" w:id="0">
    <w:p w14:paraId="6F6F2FD5" w14:textId="77777777" w:rsidR="00676D33" w:rsidRDefault="00676D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D5304C" w:rsidRDefault="00D5304C"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D5304C" w:rsidRDefault="00D5304C" w:rsidP="00FE48A6">
    <w:pPr>
      <w:pStyle w:val="Kopfzeile"/>
      <w:tabs>
        <w:tab w:val="clear" w:pos="9072"/>
        <w:tab w:val="right" w:pos="9639"/>
      </w:tabs>
      <w:ind w:right="-2"/>
      <w:jc w:val="right"/>
    </w:pPr>
  </w:p>
  <w:p w14:paraId="6A9E6452" w14:textId="77777777" w:rsidR="00D5304C" w:rsidRPr="00C63EE6" w:rsidRDefault="00D5304C"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6"/>
  <w:embedSystemFont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11F67"/>
    <w:rsid w:val="00032F50"/>
    <w:rsid w:val="00097330"/>
    <w:rsid w:val="000A3F41"/>
    <w:rsid w:val="000F6D38"/>
    <w:rsid w:val="00106410"/>
    <w:rsid w:val="00107620"/>
    <w:rsid w:val="00122695"/>
    <w:rsid w:val="0012491E"/>
    <w:rsid w:val="001858F8"/>
    <w:rsid w:val="001B1862"/>
    <w:rsid w:val="001D12AA"/>
    <w:rsid w:val="00210457"/>
    <w:rsid w:val="00272362"/>
    <w:rsid w:val="002B1623"/>
    <w:rsid w:val="002C201B"/>
    <w:rsid w:val="002D28F5"/>
    <w:rsid w:val="00322BC2"/>
    <w:rsid w:val="00324F5C"/>
    <w:rsid w:val="00332415"/>
    <w:rsid w:val="00366E84"/>
    <w:rsid w:val="0037633E"/>
    <w:rsid w:val="003E189B"/>
    <w:rsid w:val="003F55EF"/>
    <w:rsid w:val="004110F6"/>
    <w:rsid w:val="004111DD"/>
    <w:rsid w:val="00425E5F"/>
    <w:rsid w:val="00441CBE"/>
    <w:rsid w:val="00470089"/>
    <w:rsid w:val="004914A5"/>
    <w:rsid w:val="004B6C57"/>
    <w:rsid w:val="00513A25"/>
    <w:rsid w:val="00517604"/>
    <w:rsid w:val="005639AD"/>
    <w:rsid w:val="00575F36"/>
    <w:rsid w:val="00576B32"/>
    <w:rsid w:val="00594B71"/>
    <w:rsid w:val="005E006B"/>
    <w:rsid w:val="005E3D96"/>
    <w:rsid w:val="005F375D"/>
    <w:rsid w:val="0060646D"/>
    <w:rsid w:val="006205F9"/>
    <w:rsid w:val="00632098"/>
    <w:rsid w:val="006329D4"/>
    <w:rsid w:val="00667CBE"/>
    <w:rsid w:val="00676D33"/>
    <w:rsid w:val="006E5937"/>
    <w:rsid w:val="0072467A"/>
    <w:rsid w:val="0073656F"/>
    <w:rsid w:val="00746812"/>
    <w:rsid w:val="00757073"/>
    <w:rsid w:val="00772476"/>
    <w:rsid w:val="00785961"/>
    <w:rsid w:val="007D5473"/>
    <w:rsid w:val="00811D53"/>
    <w:rsid w:val="0081245E"/>
    <w:rsid w:val="008331D8"/>
    <w:rsid w:val="008474DE"/>
    <w:rsid w:val="00876860"/>
    <w:rsid w:val="0088157B"/>
    <w:rsid w:val="00881D5F"/>
    <w:rsid w:val="0088514D"/>
    <w:rsid w:val="00894092"/>
    <w:rsid w:val="00894BE0"/>
    <w:rsid w:val="008A57BB"/>
    <w:rsid w:val="008B4B7D"/>
    <w:rsid w:val="008C31FD"/>
    <w:rsid w:val="008E6C77"/>
    <w:rsid w:val="009043EE"/>
    <w:rsid w:val="00943667"/>
    <w:rsid w:val="009668A5"/>
    <w:rsid w:val="00973837"/>
    <w:rsid w:val="00984EEC"/>
    <w:rsid w:val="009873C5"/>
    <w:rsid w:val="00A73AC3"/>
    <w:rsid w:val="00A77BBC"/>
    <w:rsid w:val="00A85E92"/>
    <w:rsid w:val="00AF1D9E"/>
    <w:rsid w:val="00B9086D"/>
    <w:rsid w:val="00BB7E2F"/>
    <w:rsid w:val="00BD28EA"/>
    <w:rsid w:val="00BE5B4A"/>
    <w:rsid w:val="00C00270"/>
    <w:rsid w:val="00C83E25"/>
    <w:rsid w:val="00CA2704"/>
    <w:rsid w:val="00D5304C"/>
    <w:rsid w:val="00D87A22"/>
    <w:rsid w:val="00DC7643"/>
    <w:rsid w:val="00E4434C"/>
    <w:rsid w:val="00E70AFE"/>
    <w:rsid w:val="00EB7DAB"/>
    <w:rsid w:val="00EC0341"/>
    <w:rsid w:val="00F42BC2"/>
    <w:rsid w:val="00F44C5C"/>
    <w:rsid w:val="00FB3528"/>
    <w:rsid w:val="00FE0661"/>
    <w:rsid w:val="00FE48A6"/>
    <w:rsid w:val="00FF172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75231">
      <w:bodyDiv w:val="1"/>
      <w:marLeft w:val="0"/>
      <w:marRight w:val="0"/>
      <w:marTop w:val="0"/>
      <w:marBottom w:val="0"/>
      <w:divBdr>
        <w:top w:val="none" w:sz="0" w:space="0" w:color="auto"/>
        <w:left w:val="none" w:sz="0" w:space="0" w:color="auto"/>
        <w:bottom w:val="none" w:sz="0" w:space="0" w:color="auto"/>
        <w:right w:val="none" w:sz="0" w:space="0" w:color="auto"/>
      </w:divBdr>
      <w:divsChild>
        <w:div w:id="1448281890">
          <w:marLeft w:val="0"/>
          <w:marRight w:val="0"/>
          <w:marTop w:val="0"/>
          <w:marBottom w:val="0"/>
          <w:divBdr>
            <w:top w:val="none" w:sz="0" w:space="0" w:color="auto"/>
            <w:left w:val="none" w:sz="0" w:space="0" w:color="auto"/>
            <w:bottom w:val="none" w:sz="0" w:space="0" w:color="auto"/>
            <w:right w:val="none" w:sz="0" w:space="0" w:color="auto"/>
          </w:divBdr>
          <w:divsChild>
            <w:div w:id="443427241">
              <w:marLeft w:val="0"/>
              <w:marRight w:val="0"/>
              <w:marTop w:val="0"/>
              <w:marBottom w:val="0"/>
              <w:divBdr>
                <w:top w:val="none" w:sz="0" w:space="0" w:color="auto"/>
                <w:left w:val="none" w:sz="0" w:space="0" w:color="auto"/>
                <w:bottom w:val="none" w:sz="0" w:space="0" w:color="auto"/>
                <w:right w:val="none" w:sz="0" w:space="0" w:color="auto"/>
              </w:divBdr>
              <w:divsChild>
                <w:div w:id="417137738">
                  <w:marLeft w:val="0"/>
                  <w:marRight w:val="0"/>
                  <w:marTop w:val="0"/>
                  <w:marBottom w:val="0"/>
                  <w:divBdr>
                    <w:top w:val="none" w:sz="0" w:space="0" w:color="auto"/>
                    <w:left w:val="none" w:sz="0" w:space="0" w:color="auto"/>
                    <w:bottom w:val="none" w:sz="0" w:space="0" w:color="auto"/>
                    <w:right w:val="none" w:sz="0" w:space="0" w:color="auto"/>
                  </w:divBdr>
                  <w:divsChild>
                    <w:div w:id="38472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3547</Characters>
  <Application>Microsoft Macintosh Word</Application>
  <DocSecurity>0</DocSecurity>
  <Lines>29</Lines>
  <Paragraphs>8</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17. Juni 2015 </vt:lpstr>
    </vt:vector>
  </TitlesOfParts>
  <Company>Press'n'Relations </Company>
  <LinksUpToDate>false</LinksUpToDate>
  <CharactersWithSpaces>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8</cp:revision>
  <cp:lastPrinted>2015-06-09T14:40:00Z</cp:lastPrinted>
  <dcterms:created xsi:type="dcterms:W3CDTF">2015-06-16T11:32:00Z</dcterms:created>
  <dcterms:modified xsi:type="dcterms:W3CDTF">2015-06-16T12:35:00Z</dcterms:modified>
</cp:coreProperties>
</file>