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12DFA" w14:textId="77777777" w:rsidR="00AF2CB9" w:rsidRPr="00EE63B0" w:rsidRDefault="00037D09" w:rsidP="00AF2CB9">
      <w:pPr>
        <w:spacing w:line="288" w:lineRule="auto"/>
        <w:rPr>
          <w:rFonts w:ascii="Helvetica" w:hAnsi="Helvetica"/>
          <w:b/>
        </w:rPr>
      </w:pPr>
      <w:r w:rsidRPr="00EE63B0">
        <w:rPr>
          <w:rFonts w:ascii="Helvetica" w:hAnsi="Helvetica"/>
          <w:b/>
        </w:rPr>
        <w:t>PRESSEINFORMATION</w:t>
      </w:r>
    </w:p>
    <w:p w14:paraId="691DD484" w14:textId="77777777" w:rsidR="00AF2CB9" w:rsidRPr="00EE63B0" w:rsidRDefault="00AF2CB9" w:rsidP="00AF2CB9">
      <w:pPr>
        <w:spacing w:line="288" w:lineRule="auto"/>
        <w:rPr>
          <w:rFonts w:ascii="Helvetica" w:hAnsi="Helvetica"/>
          <w:b/>
        </w:rPr>
      </w:pPr>
    </w:p>
    <w:p w14:paraId="386EC02B" w14:textId="4F6CCF41" w:rsidR="00AF2CB9" w:rsidRPr="00EE63B0" w:rsidRDefault="00037D09" w:rsidP="00AF2CB9">
      <w:pPr>
        <w:spacing w:line="288" w:lineRule="auto"/>
        <w:rPr>
          <w:rFonts w:ascii="Helvetica" w:hAnsi="Helvetica"/>
          <w:sz w:val="20"/>
          <w:szCs w:val="20"/>
        </w:rPr>
      </w:pPr>
      <w:r w:rsidRPr="00EE63B0">
        <w:rPr>
          <w:rFonts w:ascii="Helvetica" w:hAnsi="Helvetica"/>
          <w:sz w:val="20"/>
          <w:szCs w:val="20"/>
        </w:rPr>
        <w:t xml:space="preserve">Hamburg, </w:t>
      </w:r>
      <w:r w:rsidR="005539FB">
        <w:rPr>
          <w:rFonts w:ascii="Helvetica" w:hAnsi="Helvetica"/>
          <w:sz w:val="20"/>
          <w:szCs w:val="20"/>
        </w:rPr>
        <w:t>3</w:t>
      </w:r>
      <w:r w:rsidRPr="00EE63B0">
        <w:rPr>
          <w:rFonts w:ascii="Helvetica" w:hAnsi="Helvetica"/>
          <w:sz w:val="20"/>
          <w:szCs w:val="20"/>
        </w:rPr>
        <w:t xml:space="preserve">. </w:t>
      </w:r>
      <w:r w:rsidR="00204926" w:rsidRPr="00EE63B0">
        <w:rPr>
          <w:rFonts w:ascii="Helvetica" w:hAnsi="Helvetica"/>
          <w:sz w:val="20"/>
          <w:szCs w:val="20"/>
        </w:rPr>
        <w:t>November</w:t>
      </w:r>
      <w:r w:rsidRPr="00EE63B0">
        <w:rPr>
          <w:rFonts w:ascii="Helvetica" w:hAnsi="Helvetica"/>
          <w:sz w:val="20"/>
          <w:szCs w:val="20"/>
        </w:rPr>
        <w:t xml:space="preserve"> 2015</w:t>
      </w:r>
    </w:p>
    <w:p w14:paraId="0BCF00E6" w14:textId="77777777" w:rsidR="00AF2CB9" w:rsidRPr="00EE63B0" w:rsidRDefault="00AF2CB9" w:rsidP="00AF2CB9">
      <w:pPr>
        <w:spacing w:line="288" w:lineRule="auto"/>
        <w:ind w:right="1695"/>
        <w:rPr>
          <w:rFonts w:ascii="Helvetica" w:hAnsi="Helvetica"/>
          <w:b/>
          <w:szCs w:val="20"/>
        </w:rPr>
      </w:pPr>
    </w:p>
    <w:p w14:paraId="1F6231C7" w14:textId="0CCB146F" w:rsidR="00AF2CB9" w:rsidRPr="00EE63B0" w:rsidRDefault="00FD1BC8" w:rsidP="00AF2CB9">
      <w:pPr>
        <w:tabs>
          <w:tab w:val="left" w:pos="6946"/>
          <w:tab w:val="left" w:pos="7088"/>
        </w:tabs>
        <w:spacing w:line="288" w:lineRule="auto"/>
        <w:ind w:right="2127"/>
        <w:rPr>
          <w:rFonts w:ascii="Helvetica" w:hAnsi="Helvetica"/>
          <w:b/>
        </w:rPr>
      </w:pPr>
      <w:r w:rsidRPr="00EE63B0">
        <w:rPr>
          <w:rFonts w:ascii="Helvetica" w:hAnsi="Helvetica"/>
          <w:b/>
        </w:rPr>
        <w:t>WatchGuard</w:t>
      </w:r>
      <w:r w:rsidR="00C17C7B" w:rsidRPr="00EE63B0">
        <w:rPr>
          <w:rFonts w:ascii="Helvetica" w:hAnsi="Helvetica"/>
          <w:b/>
        </w:rPr>
        <w:t xml:space="preserve"> stellt</w:t>
      </w:r>
      <w:r w:rsidR="00642539" w:rsidRPr="00EE63B0">
        <w:rPr>
          <w:rFonts w:ascii="Helvetica" w:hAnsi="Helvetica"/>
          <w:b/>
        </w:rPr>
        <w:t xml:space="preserve"> </w:t>
      </w:r>
      <w:r w:rsidR="0015062F" w:rsidRPr="00EE63B0">
        <w:rPr>
          <w:rFonts w:ascii="Helvetica" w:hAnsi="Helvetica"/>
          <w:b/>
        </w:rPr>
        <w:t>neue Firebox-Modelle T30 und T50 vor</w:t>
      </w:r>
    </w:p>
    <w:p w14:paraId="151C57F1" w14:textId="34908CEA" w:rsidR="00DA01FE" w:rsidRPr="00EE63B0" w:rsidRDefault="000B7FCF" w:rsidP="00DA01FE">
      <w:pPr>
        <w:tabs>
          <w:tab w:val="left" w:pos="7655"/>
        </w:tabs>
        <w:spacing w:line="288" w:lineRule="auto"/>
        <w:ind w:right="1418"/>
        <w:rPr>
          <w:rFonts w:ascii="Helvetica" w:hAnsi="Helvetica"/>
          <w:sz w:val="20"/>
          <w:szCs w:val="20"/>
        </w:rPr>
      </w:pPr>
      <w:r w:rsidRPr="000A103A">
        <w:rPr>
          <w:rFonts w:ascii="Helvetica" w:hAnsi="Helvetica"/>
          <w:sz w:val="20"/>
          <w:szCs w:val="20"/>
        </w:rPr>
        <w:t>Schnell bereitstellbarer</w:t>
      </w:r>
      <w:r w:rsidR="008A7F4B" w:rsidRPr="000A103A">
        <w:rPr>
          <w:rFonts w:ascii="Helvetica" w:hAnsi="Helvetica"/>
          <w:sz w:val="20"/>
          <w:szCs w:val="20"/>
        </w:rPr>
        <w:t xml:space="preserve"> Schutz auf</w:t>
      </w:r>
      <w:r w:rsidR="008D310C" w:rsidRPr="000A103A">
        <w:rPr>
          <w:rFonts w:ascii="Helvetica" w:hAnsi="Helvetica"/>
          <w:sz w:val="20"/>
          <w:szCs w:val="20"/>
        </w:rPr>
        <w:t xml:space="preserve"> </w:t>
      </w:r>
      <w:r w:rsidR="004B3363">
        <w:rPr>
          <w:rFonts w:ascii="Helvetica" w:hAnsi="Helvetica"/>
          <w:sz w:val="20"/>
          <w:szCs w:val="20"/>
        </w:rPr>
        <w:t>Großkunden</w:t>
      </w:r>
      <w:r w:rsidR="007D3782" w:rsidRPr="000A103A">
        <w:rPr>
          <w:rFonts w:ascii="Helvetica" w:hAnsi="Helvetica"/>
          <w:sz w:val="20"/>
          <w:szCs w:val="20"/>
        </w:rPr>
        <w:t>-</w:t>
      </w:r>
      <w:r w:rsidR="008A7F4B" w:rsidRPr="000A103A">
        <w:rPr>
          <w:rFonts w:ascii="Helvetica" w:hAnsi="Helvetica"/>
          <w:sz w:val="20"/>
          <w:szCs w:val="20"/>
        </w:rPr>
        <w:t>Niveau</w:t>
      </w:r>
      <w:r w:rsidR="00721574" w:rsidRPr="000A103A">
        <w:rPr>
          <w:rFonts w:ascii="Helvetica" w:hAnsi="Helvetica"/>
          <w:sz w:val="20"/>
          <w:szCs w:val="20"/>
        </w:rPr>
        <w:t xml:space="preserve"> für</w:t>
      </w:r>
      <w:r w:rsidR="00470AA9" w:rsidRPr="000A103A">
        <w:rPr>
          <w:rFonts w:ascii="Helvetica" w:hAnsi="Helvetica"/>
          <w:sz w:val="20"/>
          <w:szCs w:val="20"/>
        </w:rPr>
        <w:t xml:space="preserve"> kleine und mittlere </w:t>
      </w:r>
      <w:r w:rsidR="00470AA9" w:rsidRPr="000A103A">
        <w:rPr>
          <w:rFonts w:ascii="Helvetica" w:hAnsi="Helvetica"/>
          <w:sz w:val="20"/>
          <w:szCs w:val="20"/>
        </w:rPr>
        <w:br/>
        <w:t>Unternehmen sowie</w:t>
      </w:r>
      <w:r w:rsidR="00721574" w:rsidRPr="000A103A">
        <w:rPr>
          <w:rFonts w:ascii="Helvetica" w:hAnsi="Helvetica"/>
          <w:sz w:val="20"/>
          <w:szCs w:val="20"/>
        </w:rPr>
        <w:t xml:space="preserve"> dezentrale</w:t>
      </w:r>
      <w:r w:rsidR="00721574" w:rsidRPr="00EE63B0">
        <w:rPr>
          <w:rFonts w:ascii="Helvetica" w:hAnsi="Helvetica"/>
          <w:sz w:val="20"/>
          <w:szCs w:val="20"/>
        </w:rPr>
        <w:t xml:space="preserve"> Standorte</w:t>
      </w:r>
    </w:p>
    <w:p w14:paraId="7B667850" w14:textId="77777777" w:rsidR="00AF2CB9" w:rsidRPr="00EE63B0" w:rsidRDefault="00AF2CB9" w:rsidP="00AF2CB9">
      <w:pPr>
        <w:tabs>
          <w:tab w:val="left" w:pos="7655"/>
        </w:tabs>
        <w:spacing w:line="288" w:lineRule="auto"/>
        <w:ind w:right="1418"/>
        <w:rPr>
          <w:rFonts w:ascii="Helvetica" w:hAnsi="Helvetica"/>
          <w:sz w:val="20"/>
          <w:szCs w:val="20"/>
        </w:rPr>
      </w:pPr>
    </w:p>
    <w:p w14:paraId="7C8594CE" w14:textId="77777777" w:rsidR="0075442D" w:rsidRPr="0075442D" w:rsidRDefault="0075442D" w:rsidP="0075442D">
      <w:pPr>
        <w:tabs>
          <w:tab w:val="left" w:pos="7655"/>
        </w:tabs>
        <w:spacing w:line="288" w:lineRule="auto"/>
        <w:ind w:right="1418"/>
        <w:rPr>
          <w:rFonts w:ascii="Helvetica" w:hAnsi="Helvetica"/>
          <w:sz w:val="20"/>
          <w:szCs w:val="20"/>
        </w:rPr>
      </w:pPr>
      <w:r w:rsidRPr="0075442D">
        <w:rPr>
          <w:rFonts w:ascii="Helvetica" w:hAnsi="Helvetica"/>
          <w:b/>
          <w:sz w:val="20"/>
          <w:szCs w:val="20"/>
        </w:rPr>
        <w:t>WatchGuard erweitert sein Portfolio an Unified Threat Management(UTM)-Lösungen um zwei neue Firebox-Modelle. Die Tabletop-Geräte T30 und T50 wurden speziell auf die Bedürfnisse kleiner und mittlerer Unternehmen (KMU) sowie dezentral organisierter Firmen zugeschnitten. Denn die Modelle lassen sich schnell bereitstellen, einfach konfigurieren und erfordern nur einen min</w:t>
      </w:r>
      <w:r w:rsidRPr="0075442D">
        <w:rPr>
          <w:rFonts w:ascii="Helvetica" w:hAnsi="Helvetica"/>
          <w:b/>
          <w:sz w:val="20"/>
          <w:szCs w:val="20"/>
        </w:rPr>
        <w:t>i</w:t>
      </w:r>
      <w:r w:rsidRPr="0075442D">
        <w:rPr>
          <w:rFonts w:ascii="Helvetica" w:hAnsi="Helvetica"/>
          <w:b/>
          <w:sz w:val="20"/>
          <w:szCs w:val="20"/>
        </w:rPr>
        <w:t>mierten Wartungsaufwand. In Zeiten ständig wechselnder Bedrohungen erfü</w:t>
      </w:r>
      <w:r w:rsidRPr="0075442D">
        <w:rPr>
          <w:rFonts w:ascii="Helvetica" w:hAnsi="Helvetica"/>
          <w:b/>
          <w:sz w:val="20"/>
          <w:szCs w:val="20"/>
        </w:rPr>
        <w:t>l</w:t>
      </w:r>
      <w:r w:rsidRPr="0075442D">
        <w:rPr>
          <w:rFonts w:ascii="Helvetica" w:hAnsi="Helvetica"/>
          <w:b/>
          <w:sz w:val="20"/>
          <w:szCs w:val="20"/>
        </w:rPr>
        <w:t>len sie damit genau die Anforderungen von Unternehmen aus dem Einzelha</w:t>
      </w:r>
      <w:r w:rsidRPr="0075442D">
        <w:rPr>
          <w:rFonts w:ascii="Helvetica" w:hAnsi="Helvetica"/>
          <w:b/>
          <w:sz w:val="20"/>
          <w:szCs w:val="20"/>
        </w:rPr>
        <w:t>n</w:t>
      </w:r>
      <w:r w:rsidRPr="0075442D">
        <w:rPr>
          <w:rFonts w:ascii="Helvetica" w:hAnsi="Helvetica"/>
          <w:b/>
          <w:sz w:val="20"/>
          <w:szCs w:val="20"/>
        </w:rPr>
        <w:t>del, Hotel- und Gaststättengewerbe sowie medizinischen Bereich und Finan</w:t>
      </w:r>
      <w:r w:rsidRPr="0075442D">
        <w:rPr>
          <w:rFonts w:ascii="Helvetica" w:hAnsi="Helvetica"/>
          <w:b/>
          <w:sz w:val="20"/>
          <w:szCs w:val="20"/>
        </w:rPr>
        <w:t>z</w:t>
      </w:r>
      <w:r w:rsidRPr="0075442D">
        <w:rPr>
          <w:rFonts w:ascii="Helvetica" w:hAnsi="Helvetica"/>
          <w:b/>
          <w:sz w:val="20"/>
          <w:szCs w:val="20"/>
        </w:rPr>
        <w:t>sektor. Andrew Young, Vice President Product Management bei WatchGuard, dazu: „Dezentralisierte Geschäftsmodelle sind bei vielen Unternehmen auf dem Vormarsch. Wir sehen es als unsere Aufgabe an, die Kommunikation dieser Kunden mit der Zentrale so reibungslos und sicher wie möglich zu gestalten. Deswegen haben wir zahlreiche kritische Netzwerk- und Sicherheitsfunktionen in eine einzige, zentral verwaltbare Plattform integriert. Sie ist einfach zu han</w:t>
      </w:r>
      <w:r w:rsidRPr="0075442D">
        <w:rPr>
          <w:rFonts w:ascii="Helvetica" w:hAnsi="Helvetica"/>
          <w:b/>
          <w:sz w:val="20"/>
          <w:szCs w:val="20"/>
        </w:rPr>
        <w:t>d</w:t>
      </w:r>
      <w:r w:rsidRPr="0075442D">
        <w:rPr>
          <w:rFonts w:ascii="Helvetica" w:hAnsi="Helvetica"/>
          <w:b/>
          <w:sz w:val="20"/>
          <w:szCs w:val="20"/>
        </w:rPr>
        <w:t>haben und bietet KMU-Unternehmen Schutz auf Großkunden-Niveau.“</w:t>
      </w:r>
    </w:p>
    <w:p w14:paraId="2BAA9B52" w14:textId="77777777" w:rsidR="0075442D" w:rsidRPr="0075442D" w:rsidRDefault="0075442D" w:rsidP="0075442D">
      <w:pPr>
        <w:tabs>
          <w:tab w:val="left" w:pos="7655"/>
        </w:tabs>
        <w:spacing w:line="288" w:lineRule="auto"/>
        <w:ind w:right="1418"/>
        <w:rPr>
          <w:rFonts w:ascii="Helvetica" w:hAnsi="Helvetica"/>
          <w:sz w:val="20"/>
          <w:szCs w:val="20"/>
        </w:rPr>
      </w:pPr>
    </w:p>
    <w:p w14:paraId="4B1575A0" w14:textId="77777777" w:rsidR="0075442D" w:rsidRPr="0075442D" w:rsidRDefault="0075442D" w:rsidP="0075442D">
      <w:pPr>
        <w:tabs>
          <w:tab w:val="left" w:pos="7655"/>
        </w:tabs>
        <w:spacing w:line="288" w:lineRule="auto"/>
        <w:ind w:right="1418"/>
        <w:rPr>
          <w:rFonts w:ascii="Helvetica" w:hAnsi="Helvetica"/>
          <w:sz w:val="20"/>
          <w:szCs w:val="20"/>
        </w:rPr>
      </w:pPr>
      <w:r w:rsidRPr="0075442D">
        <w:rPr>
          <w:rFonts w:ascii="Helvetica" w:hAnsi="Helvetica"/>
          <w:sz w:val="20"/>
          <w:szCs w:val="20"/>
        </w:rPr>
        <w:t>Aufgrund der sich immer schnelleren und umfassenderen Kommunikationsmöglichke</w:t>
      </w:r>
      <w:r w:rsidRPr="0075442D">
        <w:rPr>
          <w:rFonts w:ascii="Helvetica" w:hAnsi="Helvetica"/>
          <w:sz w:val="20"/>
          <w:szCs w:val="20"/>
        </w:rPr>
        <w:t>i</w:t>
      </w:r>
      <w:r w:rsidRPr="0075442D">
        <w:rPr>
          <w:rFonts w:ascii="Helvetica" w:hAnsi="Helvetica"/>
          <w:sz w:val="20"/>
          <w:szCs w:val="20"/>
        </w:rPr>
        <w:t>ten präsentieren sich viele Unternehmen zunehmend an verteilten Standorten. Aus sicherheitstechnischer Sicht müssen diese jedoch im selben Maße abgesichert we</w:t>
      </w:r>
      <w:r w:rsidRPr="0075442D">
        <w:rPr>
          <w:rFonts w:ascii="Helvetica" w:hAnsi="Helvetica"/>
          <w:sz w:val="20"/>
          <w:szCs w:val="20"/>
        </w:rPr>
        <w:t>r</w:t>
      </w:r>
      <w:r w:rsidRPr="0075442D">
        <w:rPr>
          <w:rFonts w:ascii="Helvetica" w:hAnsi="Helvetica"/>
          <w:sz w:val="20"/>
          <w:szCs w:val="20"/>
        </w:rPr>
        <w:t>den wie alle anderen extern angebundenen Mitarbeiter im Außendienst oder Home Office. Dies gilt insbesondere für Unternehmen im Einzelhandel</w:t>
      </w:r>
      <w:proofErr w:type="gramStart"/>
      <w:r w:rsidRPr="0075442D">
        <w:rPr>
          <w:rFonts w:ascii="Helvetica" w:hAnsi="Helvetica"/>
          <w:sz w:val="20"/>
          <w:szCs w:val="20"/>
        </w:rPr>
        <w:t>, Hotel</w:t>
      </w:r>
      <w:proofErr w:type="gramEnd"/>
      <w:r w:rsidRPr="0075442D">
        <w:rPr>
          <w:rFonts w:ascii="Helvetica" w:hAnsi="Helvetica"/>
          <w:sz w:val="20"/>
          <w:szCs w:val="20"/>
        </w:rPr>
        <w:t>- und Gaststä</w:t>
      </w:r>
      <w:r w:rsidRPr="0075442D">
        <w:rPr>
          <w:rFonts w:ascii="Helvetica" w:hAnsi="Helvetica"/>
          <w:sz w:val="20"/>
          <w:szCs w:val="20"/>
        </w:rPr>
        <w:t>t</w:t>
      </w:r>
      <w:r w:rsidRPr="0075442D">
        <w:rPr>
          <w:rFonts w:ascii="Helvetica" w:hAnsi="Helvetica"/>
          <w:sz w:val="20"/>
          <w:szCs w:val="20"/>
        </w:rPr>
        <w:t>tengewerbe sowie medizinischen Bereich und Finanzsektor. Denn die dort zentral festgelegten Sicherheitsrichtlinien gelten genauso am Remote-Standort und müssen entsprechend umgesetzt werden – und das auf eine möglichst einfache Weise. B</w:t>
      </w:r>
      <w:r w:rsidRPr="0075442D">
        <w:rPr>
          <w:rFonts w:ascii="Helvetica" w:hAnsi="Helvetica"/>
          <w:sz w:val="20"/>
          <w:szCs w:val="20"/>
        </w:rPr>
        <w:t>e</w:t>
      </w:r>
      <w:r w:rsidRPr="0075442D">
        <w:rPr>
          <w:rFonts w:ascii="Helvetica" w:hAnsi="Helvetica"/>
          <w:sz w:val="20"/>
          <w:szCs w:val="20"/>
        </w:rPr>
        <w:t>sonders wichtig in diesem Zusammenhang ist die Möglichkeit des Überblicks über die komplette Infrastruktur in Bezug auf Compliance-Berichte sowie Monitoring- und Bus</w:t>
      </w:r>
      <w:r w:rsidRPr="0075442D">
        <w:rPr>
          <w:rFonts w:ascii="Helvetica" w:hAnsi="Helvetica"/>
          <w:sz w:val="20"/>
          <w:szCs w:val="20"/>
        </w:rPr>
        <w:t>i</w:t>
      </w:r>
      <w:r w:rsidRPr="0075442D">
        <w:rPr>
          <w:rFonts w:ascii="Helvetica" w:hAnsi="Helvetica"/>
          <w:sz w:val="20"/>
          <w:szCs w:val="20"/>
        </w:rPr>
        <w:t>ness Intelligence-Themen. Über den Zugang zu Value-Add-Services, wie abgesicherte WLAN-Umgebungen, können Unternehmen zusätzliche Mehrwerte für sich und ihre Kunden generieren.</w:t>
      </w:r>
    </w:p>
    <w:p w14:paraId="114E56FE" w14:textId="77777777" w:rsidR="0075442D" w:rsidRPr="0075442D" w:rsidRDefault="0075442D" w:rsidP="0075442D">
      <w:pPr>
        <w:tabs>
          <w:tab w:val="left" w:pos="7655"/>
        </w:tabs>
        <w:spacing w:line="288" w:lineRule="auto"/>
        <w:ind w:right="1418"/>
        <w:rPr>
          <w:rFonts w:ascii="Helvetica" w:hAnsi="Helvetica"/>
          <w:sz w:val="20"/>
          <w:szCs w:val="20"/>
        </w:rPr>
      </w:pPr>
    </w:p>
    <w:p w14:paraId="056BF5EA" w14:textId="77777777" w:rsidR="0075442D" w:rsidRPr="0075442D" w:rsidRDefault="0075442D" w:rsidP="0075442D">
      <w:pPr>
        <w:tabs>
          <w:tab w:val="left" w:pos="7655"/>
        </w:tabs>
        <w:spacing w:line="288" w:lineRule="auto"/>
        <w:ind w:right="1418"/>
        <w:rPr>
          <w:rFonts w:ascii="Helvetica" w:hAnsi="Helvetica"/>
          <w:sz w:val="20"/>
          <w:szCs w:val="20"/>
        </w:rPr>
      </w:pPr>
      <w:r w:rsidRPr="0075442D">
        <w:rPr>
          <w:rFonts w:ascii="Helvetica" w:hAnsi="Helvetica"/>
          <w:sz w:val="20"/>
          <w:szCs w:val="20"/>
        </w:rPr>
        <w:t>Die T-Serie der Tabletop-UTM-Appliances eignet sich ideal für externe Standorte, Filialen sowie kleine und mittlere Unternehmen (KMU). Aufgrund ihrer geringen Größe kann sie problemlos auch in bestehende IT-Umgebungen integriert werden – selbst wenn diese nicht in einem speziellen Rechenzentrum beheimatet ist. Alle Modelle verfügen über einen integrierten Power over Ethernet(PoE)-Anschluss, an den sich Peripheriegeräte, wie ein WLAN Access Point oder eine Sicherheitskamera, proble</w:t>
      </w:r>
      <w:r w:rsidRPr="0075442D">
        <w:rPr>
          <w:rFonts w:ascii="Helvetica" w:hAnsi="Helvetica"/>
          <w:sz w:val="20"/>
          <w:szCs w:val="20"/>
        </w:rPr>
        <w:t>m</w:t>
      </w:r>
      <w:r w:rsidRPr="0075442D">
        <w:rPr>
          <w:rFonts w:ascii="Helvetica" w:hAnsi="Helvetica"/>
          <w:sz w:val="20"/>
          <w:szCs w:val="20"/>
        </w:rPr>
        <w:t>los anschließen lassen.</w:t>
      </w:r>
    </w:p>
    <w:p w14:paraId="19C5C8DC" w14:textId="77777777" w:rsidR="0075442D" w:rsidRPr="0075442D" w:rsidRDefault="0075442D" w:rsidP="0075442D">
      <w:pPr>
        <w:tabs>
          <w:tab w:val="left" w:pos="7655"/>
        </w:tabs>
        <w:spacing w:line="288" w:lineRule="auto"/>
        <w:ind w:right="1418"/>
        <w:rPr>
          <w:rFonts w:ascii="Helvetica" w:hAnsi="Helvetica"/>
          <w:sz w:val="20"/>
          <w:szCs w:val="20"/>
        </w:rPr>
      </w:pPr>
    </w:p>
    <w:p w14:paraId="53B751E6" w14:textId="77777777" w:rsidR="0075442D" w:rsidRPr="0075442D" w:rsidRDefault="0075442D" w:rsidP="0075442D">
      <w:pPr>
        <w:tabs>
          <w:tab w:val="left" w:pos="7655"/>
        </w:tabs>
        <w:spacing w:line="288" w:lineRule="auto"/>
        <w:ind w:right="1418"/>
        <w:rPr>
          <w:rFonts w:ascii="Helvetica" w:hAnsi="Helvetica"/>
          <w:sz w:val="20"/>
          <w:szCs w:val="20"/>
        </w:rPr>
      </w:pPr>
      <w:r w:rsidRPr="0075442D">
        <w:rPr>
          <w:rFonts w:ascii="Helvetica" w:hAnsi="Helvetica"/>
          <w:sz w:val="20"/>
          <w:szCs w:val="20"/>
        </w:rPr>
        <w:lastRenderedPageBreak/>
        <w:t>Dustin McCreight, Product Manager Network and Security Services, NCR Corporation: ergänzt: „Die bei NCR gehosteten Anwendungen werden durch WatchGuard-Lösungen geschützt. Dadurch stellten wir die PCI-Compliance für tausende von Insta</w:t>
      </w:r>
      <w:r w:rsidRPr="0075442D">
        <w:rPr>
          <w:rFonts w:ascii="Helvetica" w:hAnsi="Helvetica"/>
          <w:sz w:val="20"/>
          <w:szCs w:val="20"/>
        </w:rPr>
        <w:t>l</w:t>
      </w:r>
      <w:r w:rsidRPr="0075442D">
        <w:rPr>
          <w:rFonts w:ascii="Helvetica" w:hAnsi="Helvetica"/>
          <w:sz w:val="20"/>
          <w:szCs w:val="20"/>
        </w:rPr>
        <w:t>lationen in Nordamerika sicher. Für uns ist es wichtig, dass wir unsere Kunden aus dem Hotel- und Gaststättengewerbe schnell und sicher online bringen können – ohne dafür großen Aufwand betreiben zu müssen. Bislang dauerte eine Installation rund 60 bis 90 Minuten. Seit wir durchgängig auf WatchGuard setzen, konnten wir die durc</w:t>
      </w:r>
      <w:r w:rsidRPr="0075442D">
        <w:rPr>
          <w:rFonts w:ascii="Helvetica" w:hAnsi="Helvetica"/>
          <w:sz w:val="20"/>
          <w:szCs w:val="20"/>
        </w:rPr>
        <w:t>h</w:t>
      </w:r>
      <w:r w:rsidRPr="0075442D">
        <w:rPr>
          <w:rFonts w:ascii="Helvetica" w:hAnsi="Helvetica"/>
          <w:sz w:val="20"/>
          <w:szCs w:val="20"/>
        </w:rPr>
        <w:t>schnittliche Zeit dafür um mehr als 75 Prozent reduzieren. Aktuell benötigen wir dafür nur noch 15 bis 20 Minuten. Es ist nur noch nötig, die Appliance mit dem Netz zu ve</w:t>
      </w:r>
      <w:r w:rsidRPr="0075442D">
        <w:rPr>
          <w:rFonts w:ascii="Helvetica" w:hAnsi="Helvetica"/>
          <w:sz w:val="20"/>
          <w:szCs w:val="20"/>
        </w:rPr>
        <w:t>r</w:t>
      </w:r>
      <w:r w:rsidRPr="0075442D">
        <w:rPr>
          <w:rFonts w:ascii="Helvetica" w:hAnsi="Helvetica"/>
          <w:sz w:val="20"/>
          <w:szCs w:val="20"/>
        </w:rPr>
        <w:t>binden, woraufhin diese eine Verbindung herstellt und die Konfigurationsdaten heru</w:t>
      </w:r>
      <w:r w:rsidRPr="0075442D">
        <w:rPr>
          <w:rFonts w:ascii="Helvetica" w:hAnsi="Helvetica"/>
          <w:sz w:val="20"/>
          <w:szCs w:val="20"/>
        </w:rPr>
        <w:t>n</w:t>
      </w:r>
      <w:r w:rsidRPr="0075442D">
        <w:rPr>
          <w:rFonts w:ascii="Helvetica" w:hAnsi="Helvetica"/>
          <w:sz w:val="20"/>
          <w:szCs w:val="20"/>
        </w:rPr>
        <w:t>terlädt. Danach können wir uns darauf konzentrieren, die Übertragung von Kreditka</w:t>
      </w:r>
      <w:r w:rsidRPr="0075442D">
        <w:rPr>
          <w:rFonts w:ascii="Helvetica" w:hAnsi="Helvetica"/>
          <w:sz w:val="20"/>
          <w:szCs w:val="20"/>
        </w:rPr>
        <w:t>r</w:t>
      </w:r>
      <w:r w:rsidRPr="0075442D">
        <w:rPr>
          <w:rFonts w:ascii="Helvetica" w:hAnsi="Helvetica"/>
          <w:sz w:val="20"/>
          <w:szCs w:val="20"/>
        </w:rPr>
        <w:t>teninformationen zu optimieren und die Verbindung zu gesicherten Webseiten zu te</w:t>
      </w:r>
      <w:r w:rsidRPr="0075442D">
        <w:rPr>
          <w:rFonts w:ascii="Helvetica" w:hAnsi="Helvetica"/>
          <w:sz w:val="20"/>
          <w:szCs w:val="20"/>
        </w:rPr>
        <w:t>s</w:t>
      </w:r>
      <w:r w:rsidRPr="0075442D">
        <w:rPr>
          <w:rFonts w:ascii="Helvetica" w:hAnsi="Helvetica"/>
          <w:sz w:val="20"/>
          <w:szCs w:val="20"/>
        </w:rPr>
        <w:t>ten.“</w:t>
      </w:r>
    </w:p>
    <w:p w14:paraId="3ACDC450" w14:textId="77777777" w:rsidR="0075442D" w:rsidRPr="0075442D" w:rsidRDefault="0075442D" w:rsidP="0075442D">
      <w:pPr>
        <w:tabs>
          <w:tab w:val="left" w:pos="7655"/>
        </w:tabs>
        <w:spacing w:line="288" w:lineRule="auto"/>
        <w:ind w:right="1418"/>
        <w:rPr>
          <w:rFonts w:ascii="Helvetica" w:hAnsi="Helvetica"/>
          <w:sz w:val="20"/>
          <w:szCs w:val="20"/>
        </w:rPr>
      </w:pPr>
    </w:p>
    <w:p w14:paraId="02F11027" w14:textId="77777777" w:rsidR="0075442D" w:rsidRPr="0075442D" w:rsidRDefault="0075442D" w:rsidP="0075442D">
      <w:pPr>
        <w:tabs>
          <w:tab w:val="left" w:pos="7655"/>
        </w:tabs>
        <w:spacing w:line="288" w:lineRule="auto"/>
        <w:ind w:right="1418"/>
        <w:rPr>
          <w:rFonts w:ascii="Helvetica" w:hAnsi="Helvetica"/>
          <w:sz w:val="20"/>
          <w:szCs w:val="20"/>
        </w:rPr>
      </w:pPr>
      <w:r w:rsidRPr="0075442D">
        <w:rPr>
          <w:rFonts w:ascii="Helvetica" w:hAnsi="Helvetica"/>
          <w:sz w:val="20"/>
          <w:szCs w:val="20"/>
        </w:rPr>
        <w:t>Alle WatchGuard UTM-Appliances verfügen über die Rapid Deploy-Funktionalität. Diese ermöglicht es IT-Verantwortlichen, diese vorkonfiguriert sowie schnell und ei</w:t>
      </w:r>
      <w:r w:rsidRPr="0075442D">
        <w:rPr>
          <w:rFonts w:ascii="Helvetica" w:hAnsi="Helvetica"/>
          <w:sz w:val="20"/>
          <w:szCs w:val="20"/>
        </w:rPr>
        <w:t>n</w:t>
      </w:r>
      <w:r w:rsidRPr="0075442D">
        <w:rPr>
          <w:rFonts w:ascii="Helvetica" w:hAnsi="Helvetica"/>
          <w:sz w:val="20"/>
          <w:szCs w:val="20"/>
        </w:rPr>
        <w:t>fach an Remote-Standorte zu verteilen. Dieses Feature eignet sich daher besonders für Unternehmen mit verteilten Lokationen. Außerdem im Lieferumfang enthalten ist Dimension*</w:t>
      </w:r>
      <w:proofErr w:type="gramStart"/>
      <w:r w:rsidRPr="0075442D">
        <w:rPr>
          <w:rFonts w:ascii="Helvetica" w:hAnsi="Helvetica"/>
          <w:sz w:val="20"/>
          <w:szCs w:val="20"/>
        </w:rPr>
        <w:t>, das</w:t>
      </w:r>
      <w:proofErr w:type="gramEnd"/>
      <w:r w:rsidRPr="0075442D">
        <w:rPr>
          <w:rFonts w:ascii="Helvetica" w:hAnsi="Helvetica"/>
          <w:sz w:val="20"/>
          <w:szCs w:val="20"/>
        </w:rPr>
        <w:t xml:space="preserve"> preisgekrönte Visualisierungs- und Verwaltungswerkzeug für eine umfassende Übersicht zur Netzwerksicherheit in Echtzeit. Das neue Release aggr</w:t>
      </w:r>
      <w:r w:rsidRPr="0075442D">
        <w:rPr>
          <w:rFonts w:ascii="Helvetica" w:hAnsi="Helvetica"/>
          <w:sz w:val="20"/>
          <w:szCs w:val="20"/>
        </w:rPr>
        <w:t>e</w:t>
      </w:r>
      <w:r w:rsidRPr="0075442D">
        <w:rPr>
          <w:rFonts w:ascii="Helvetica" w:hAnsi="Helvetica"/>
          <w:sz w:val="20"/>
          <w:szCs w:val="20"/>
        </w:rPr>
        <w:t>giert sämtliche Netzwerkaktivitäten aller Appliances im Unternehmen in Echtzeit und bereitet die Vorgänge in übersichtlich präsentierten Dashboards auf. IT-Administratoren können aus diesen Ansichten heraus direkt auf Bedrohungen mit den jeweils passenden Maßnahmen reagieren.</w:t>
      </w:r>
    </w:p>
    <w:p w14:paraId="75054889" w14:textId="77777777" w:rsidR="0075442D" w:rsidRPr="0075442D" w:rsidRDefault="0075442D" w:rsidP="0075442D">
      <w:pPr>
        <w:tabs>
          <w:tab w:val="left" w:pos="7655"/>
        </w:tabs>
        <w:spacing w:line="288" w:lineRule="auto"/>
        <w:ind w:right="1418"/>
        <w:rPr>
          <w:rFonts w:ascii="Helvetica" w:hAnsi="Helvetica"/>
          <w:sz w:val="20"/>
          <w:szCs w:val="20"/>
        </w:rPr>
      </w:pPr>
    </w:p>
    <w:p w14:paraId="66BC9B97" w14:textId="77777777" w:rsidR="0075442D" w:rsidRPr="0075442D" w:rsidRDefault="0075442D" w:rsidP="0075442D">
      <w:pPr>
        <w:tabs>
          <w:tab w:val="left" w:pos="7655"/>
        </w:tabs>
        <w:spacing w:line="288" w:lineRule="auto"/>
        <w:ind w:right="1418"/>
        <w:rPr>
          <w:rFonts w:ascii="Helvetica" w:hAnsi="Helvetica"/>
          <w:b/>
          <w:sz w:val="20"/>
          <w:szCs w:val="20"/>
        </w:rPr>
      </w:pPr>
      <w:r w:rsidRPr="0075442D">
        <w:rPr>
          <w:rFonts w:ascii="Helvetica" w:hAnsi="Helvetica"/>
          <w:b/>
          <w:sz w:val="20"/>
          <w:szCs w:val="20"/>
        </w:rPr>
        <w:t>WatchGuard Firebox T30 and T50</w:t>
      </w:r>
    </w:p>
    <w:p w14:paraId="6CA9EF4E" w14:textId="77777777" w:rsidR="0075442D" w:rsidRPr="0075442D" w:rsidRDefault="0075442D" w:rsidP="0075442D">
      <w:pPr>
        <w:tabs>
          <w:tab w:val="left" w:pos="7655"/>
        </w:tabs>
        <w:spacing w:line="288" w:lineRule="auto"/>
        <w:ind w:right="1418"/>
        <w:rPr>
          <w:rFonts w:ascii="Helvetica" w:hAnsi="Helvetica"/>
          <w:sz w:val="20"/>
          <w:szCs w:val="20"/>
        </w:rPr>
      </w:pPr>
      <w:r w:rsidRPr="0075442D">
        <w:rPr>
          <w:rFonts w:ascii="Helvetica" w:hAnsi="Helvetica"/>
          <w:sz w:val="20"/>
          <w:szCs w:val="20"/>
        </w:rPr>
        <w:t>Die neuen WatchGuard Firebox-Modelle T30 und T50 konsolidieren die wichtigsten Netzwerk- und Sicherheitsfunktionen in einer Tabletop-Plattform. Sowohl in einer k</w:t>
      </w:r>
      <w:r w:rsidRPr="0075442D">
        <w:rPr>
          <w:rFonts w:ascii="Helvetica" w:hAnsi="Helvetica"/>
          <w:sz w:val="20"/>
          <w:szCs w:val="20"/>
        </w:rPr>
        <w:t>a</w:t>
      </w:r>
      <w:r w:rsidRPr="0075442D">
        <w:rPr>
          <w:rFonts w:ascii="Helvetica" w:hAnsi="Helvetica"/>
          <w:sz w:val="20"/>
          <w:szCs w:val="20"/>
        </w:rPr>
        <w:t>belgebundenen wie auch WLAN-Version erhältlich, bieten die Produkte schnell berei</w:t>
      </w:r>
      <w:r w:rsidRPr="0075442D">
        <w:rPr>
          <w:rFonts w:ascii="Helvetica" w:hAnsi="Helvetica"/>
          <w:sz w:val="20"/>
          <w:szCs w:val="20"/>
        </w:rPr>
        <w:t>t</w:t>
      </w:r>
      <w:r w:rsidRPr="0075442D">
        <w:rPr>
          <w:rFonts w:ascii="Helvetica" w:hAnsi="Helvetica"/>
          <w:sz w:val="20"/>
          <w:szCs w:val="20"/>
        </w:rPr>
        <w:t>stellbaren Schutz auf Großkunden-Niveau für kleine und mittlere Unternehmen sowie dezentrale Standorte.</w:t>
      </w:r>
    </w:p>
    <w:p w14:paraId="4E4E826A" w14:textId="77777777" w:rsidR="0075442D" w:rsidRPr="0075442D" w:rsidRDefault="0075442D" w:rsidP="0075442D">
      <w:pPr>
        <w:tabs>
          <w:tab w:val="left" w:pos="7655"/>
        </w:tabs>
        <w:spacing w:line="288" w:lineRule="auto"/>
        <w:ind w:right="1418"/>
        <w:rPr>
          <w:rFonts w:ascii="Helvetica" w:hAnsi="Helvetica"/>
          <w:sz w:val="20"/>
          <w:szCs w:val="20"/>
        </w:rPr>
      </w:pPr>
    </w:p>
    <w:p w14:paraId="34EDF8BF" w14:textId="1D22052D" w:rsidR="0075442D" w:rsidRPr="002C0D8F" w:rsidRDefault="0075442D" w:rsidP="002C0D8F">
      <w:pPr>
        <w:pStyle w:val="Listenabsatz"/>
        <w:numPr>
          <w:ilvl w:val="0"/>
          <w:numId w:val="10"/>
        </w:numPr>
        <w:tabs>
          <w:tab w:val="left" w:pos="7655"/>
        </w:tabs>
        <w:spacing w:line="288" w:lineRule="auto"/>
        <w:ind w:right="1418"/>
        <w:rPr>
          <w:rFonts w:ascii="Helvetica" w:hAnsi="Helvetica"/>
          <w:sz w:val="20"/>
          <w:szCs w:val="20"/>
        </w:rPr>
      </w:pPr>
      <w:r w:rsidRPr="002C0D8F">
        <w:rPr>
          <w:rFonts w:ascii="Helvetica" w:hAnsi="Helvetica"/>
          <w:sz w:val="20"/>
          <w:szCs w:val="20"/>
        </w:rPr>
        <w:t>High Performance – mit einer verbesserten Firewall-Geschwindigkeit von bis zu 1.2 GB/s und einem UTM-Durchsatz von bis zu 165 MB/s meistern die M</w:t>
      </w:r>
      <w:r w:rsidRPr="002C0D8F">
        <w:rPr>
          <w:rFonts w:ascii="Helvetica" w:hAnsi="Helvetica"/>
          <w:sz w:val="20"/>
          <w:szCs w:val="20"/>
        </w:rPr>
        <w:t>o</w:t>
      </w:r>
      <w:r w:rsidRPr="002C0D8F">
        <w:rPr>
          <w:rFonts w:ascii="Helvetica" w:hAnsi="Helvetica"/>
          <w:sz w:val="20"/>
          <w:szCs w:val="20"/>
        </w:rPr>
        <w:t>delle alle Anforderungen hinsichtlich der Verschlüsselung und bei Leistung</w:t>
      </w:r>
      <w:r w:rsidRPr="002C0D8F">
        <w:rPr>
          <w:rFonts w:ascii="Helvetica" w:hAnsi="Helvetica"/>
          <w:sz w:val="20"/>
          <w:szCs w:val="20"/>
        </w:rPr>
        <w:t>s</w:t>
      </w:r>
      <w:r w:rsidRPr="002C0D8F">
        <w:rPr>
          <w:rFonts w:ascii="Helvetica" w:hAnsi="Helvetica"/>
          <w:sz w:val="20"/>
          <w:szCs w:val="20"/>
        </w:rPr>
        <w:t>spitzen.</w:t>
      </w:r>
    </w:p>
    <w:p w14:paraId="286C81DE" w14:textId="3D2D5615" w:rsidR="0075442D" w:rsidRPr="002C0D8F" w:rsidRDefault="0075442D" w:rsidP="002C0D8F">
      <w:pPr>
        <w:pStyle w:val="Listenabsatz"/>
        <w:numPr>
          <w:ilvl w:val="0"/>
          <w:numId w:val="10"/>
        </w:numPr>
        <w:tabs>
          <w:tab w:val="left" w:pos="7655"/>
        </w:tabs>
        <w:spacing w:line="288" w:lineRule="auto"/>
        <w:ind w:right="1418"/>
        <w:rPr>
          <w:rFonts w:ascii="Helvetica" w:hAnsi="Helvetica"/>
          <w:sz w:val="20"/>
          <w:szCs w:val="20"/>
        </w:rPr>
      </w:pPr>
      <w:r w:rsidRPr="002C0D8F">
        <w:rPr>
          <w:rFonts w:ascii="Helvetica" w:hAnsi="Helvetica"/>
          <w:sz w:val="20"/>
          <w:szCs w:val="20"/>
        </w:rPr>
        <w:t>Power over Ethernet(PoE)-Anschluss für einfache WLAN-Anbindung – alle Modelle verfügen über einen integrierten Power over Ethernet(PoE)-Anschluss, an den sich Peripheriegeräte wie ein WLAN Access Point oder e</w:t>
      </w:r>
      <w:r w:rsidRPr="002C0D8F">
        <w:rPr>
          <w:rFonts w:ascii="Helvetica" w:hAnsi="Helvetica"/>
          <w:sz w:val="20"/>
          <w:szCs w:val="20"/>
        </w:rPr>
        <w:t>i</w:t>
      </w:r>
      <w:r w:rsidRPr="002C0D8F">
        <w:rPr>
          <w:rFonts w:ascii="Helvetica" w:hAnsi="Helvetica"/>
          <w:sz w:val="20"/>
          <w:szCs w:val="20"/>
        </w:rPr>
        <w:t>ne Sicherheitskamera problemlos anschließen lassen.</w:t>
      </w:r>
    </w:p>
    <w:p w14:paraId="65BEEA41" w14:textId="0F4C2917" w:rsidR="0075442D" w:rsidRPr="002C0D8F" w:rsidRDefault="0075442D" w:rsidP="002C0D8F">
      <w:pPr>
        <w:pStyle w:val="Listenabsatz"/>
        <w:numPr>
          <w:ilvl w:val="0"/>
          <w:numId w:val="10"/>
        </w:numPr>
        <w:tabs>
          <w:tab w:val="left" w:pos="7655"/>
        </w:tabs>
        <w:spacing w:line="288" w:lineRule="auto"/>
        <w:ind w:right="1418"/>
        <w:rPr>
          <w:rFonts w:ascii="Helvetica" w:hAnsi="Helvetica"/>
          <w:sz w:val="20"/>
          <w:szCs w:val="20"/>
        </w:rPr>
      </w:pPr>
      <w:r w:rsidRPr="002C0D8F">
        <w:rPr>
          <w:rFonts w:ascii="Helvetica" w:hAnsi="Helvetica"/>
          <w:sz w:val="20"/>
          <w:szCs w:val="20"/>
        </w:rPr>
        <w:t>WLAN mit 802.11ac-Geschwindigkeit – beide Modelle unterstützen in der WLAN-Version den neuen IEEE 802.11ac-Standard. Dieser sorgt insbesond</w:t>
      </w:r>
      <w:r w:rsidRPr="002C0D8F">
        <w:rPr>
          <w:rFonts w:ascii="Helvetica" w:hAnsi="Helvetica"/>
          <w:sz w:val="20"/>
          <w:szCs w:val="20"/>
        </w:rPr>
        <w:t>e</w:t>
      </w:r>
      <w:r w:rsidRPr="002C0D8F">
        <w:rPr>
          <w:rFonts w:ascii="Helvetica" w:hAnsi="Helvetica"/>
          <w:sz w:val="20"/>
          <w:szCs w:val="20"/>
        </w:rPr>
        <w:t>re im weniger frequentierten 5 GHz-Band für bessere Down- und Upload-Geschwindigkeiten.</w:t>
      </w:r>
    </w:p>
    <w:p w14:paraId="682D99D3" w14:textId="77D11970" w:rsidR="0075442D" w:rsidRPr="002C0D8F" w:rsidRDefault="0075442D" w:rsidP="002C0D8F">
      <w:pPr>
        <w:pStyle w:val="Listenabsatz"/>
        <w:numPr>
          <w:ilvl w:val="0"/>
          <w:numId w:val="10"/>
        </w:numPr>
        <w:tabs>
          <w:tab w:val="left" w:pos="7655"/>
        </w:tabs>
        <w:spacing w:line="288" w:lineRule="auto"/>
        <w:ind w:right="1418"/>
        <w:rPr>
          <w:rFonts w:ascii="Helvetica" w:hAnsi="Helvetica"/>
          <w:sz w:val="20"/>
          <w:szCs w:val="20"/>
        </w:rPr>
      </w:pPr>
      <w:r w:rsidRPr="002C0D8F">
        <w:rPr>
          <w:rFonts w:ascii="Helvetica" w:hAnsi="Helvetica"/>
          <w:sz w:val="20"/>
          <w:szCs w:val="20"/>
        </w:rPr>
        <w:t>Rapid Deploy – vorkonfigurierte Appliances lassen sich problemlos in Filialen und verteilten Standorten installieren, ohne dass dafür technisches Personal benötigt wird.</w:t>
      </w:r>
    </w:p>
    <w:p w14:paraId="3873282B" w14:textId="2BC9E5D5" w:rsidR="0075442D" w:rsidRPr="002C0D8F" w:rsidRDefault="0075442D" w:rsidP="002C0D8F">
      <w:pPr>
        <w:pStyle w:val="Listenabsatz"/>
        <w:numPr>
          <w:ilvl w:val="0"/>
          <w:numId w:val="10"/>
        </w:numPr>
        <w:tabs>
          <w:tab w:val="left" w:pos="7655"/>
        </w:tabs>
        <w:spacing w:line="288" w:lineRule="auto"/>
        <w:ind w:right="1418"/>
        <w:rPr>
          <w:rFonts w:ascii="Helvetica" w:hAnsi="Helvetica"/>
          <w:sz w:val="20"/>
          <w:szCs w:val="20"/>
        </w:rPr>
      </w:pPr>
      <w:r w:rsidRPr="002C0D8F">
        <w:rPr>
          <w:rFonts w:ascii="Helvetica" w:hAnsi="Helvetica"/>
          <w:sz w:val="20"/>
          <w:szCs w:val="20"/>
        </w:rPr>
        <w:lastRenderedPageBreak/>
        <w:t>Advanced Malware Detection – erkennt Malware, die bei Signatur-basierten Lösungen durchs Raster schlüpft. Eine cloudbasierte Next-Generation San</w:t>
      </w:r>
      <w:r w:rsidRPr="002C0D8F">
        <w:rPr>
          <w:rFonts w:ascii="Helvetica" w:hAnsi="Helvetica"/>
          <w:sz w:val="20"/>
          <w:szCs w:val="20"/>
        </w:rPr>
        <w:t>d</w:t>
      </w:r>
      <w:r w:rsidRPr="002C0D8F">
        <w:rPr>
          <w:rFonts w:ascii="Helvetica" w:hAnsi="Helvetica"/>
          <w:sz w:val="20"/>
          <w:szCs w:val="20"/>
        </w:rPr>
        <w:t>box mit kompletter Systememulation (CPU und Speicher) zeigt das Verhalten von Malware während der Ausführung in jeder Phase auf. Über die Calls des Betriebssystems hinaus wird dadurch die Arbeitsweise der Schadsoftware im Vergleich zu anderen Lösungen klarer.</w:t>
      </w:r>
    </w:p>
    <w:p w14:paraId="34D8BE68" w14:textId="7B82F7DD" w:rsidR="0075442D" w:rsidRPr="002C0D8F" w:rsidRDefault="0075442D" w:rsidP="002C0D8F">
      <w:pPr>
        <w:pStyle w:val="Listenabsatz"/>
        <w:numPr>
          <w:ilvl w:val="0"/>
          <w:numId w:val="10"/>
        </w:numPr>
        <w:tabs>
          <w:tab w:val="left" w:pos="7655"/>
        </w:tabs>
        <w:spacing w:line="288" w:lineRule="auto"/>
        <w:ind w:right="1418"/>
        <w:rPr>
          <w:rFonts w:ascii="Helvetica" w:hAnsi="Helvetica"/>
          <w:sz w:val="20"/>
          <w:szCs w:val="20"/>
        </w:rPr>
      </w:pPr>
      <w:r w:rsidRPr="002C0D8F">
        <w:rPr>
          <w:rFonts w:ascii="Helvetica" w:hAnsi="Helvetica"/>
          <w:sz w:val="20"/>
          <w:szCs w:val="20"/>
        </w:rPr>
        <w:t>Actionable Threat Intelligence** – ermöglicht einen zentralisierten Echtzei</w:t>
      </w:r>
      <w:r w:rsidRPr="002C0D8F">
        <w:rPr>
          <w:rFonts w:ascii="Helvetica" w:hAnsi="Helvetica"/>
          <w:sz w:val="20"/>
          <w:szCs w:val="20"/>
        </w:rPr>
        <w:t>t</w:t>
      </w:r>
      <w:r w:rsidRPr="002C0D8F">
        <w:rPr>
          <w:rFonts w:ascii="Helvetica" w:hAnsi="Helvetica"/>
          <w:sz w:val="20"/>
          <w:szCs w:val="20"/>
        </w:rPr>
        <w:t>blick in alle Netzwerkaktivitäten und erlaubt das direkte Eingreifen gegen schädliche Webseiten und den jeweiligen Verursacher auf Anwenderseite.</w:t>
      </w:r>
    </w:p>
    <w:p w14:paraId="2035FE49" w14:textId="6A6BD12B" w:rsidR="000872EF" w:rsidRPr="002C0D8F" w:rsidRDefault="0075442D" w:rsidP="002C0D8F">
      <w:pPr>
        <w:pStyle w:val="Listenabsatz"/>
        <w:numPr>
          <w:ilvl w:val="0"/>
          <w:numId w:val="10"/>
        </w:numPr>
        <w:tabs>
          <w:tab w:val="left" w:pos="7655"/>
        </w:tabs>
        <w:spacing w:line="288" w:lineRule="auto"/>
        <w:ind w:right="1418"/>
        <w:rPr>
          <w:rFonts w:ascii="Helvetica" w:hAnsi="Helvetica"/>
          <w:sz w:val="20"/>
          <w:szCs w:val="20"/>
        </w:rPr>
      </w:pPr>
      <w:r w:rsidRPr="002C0D8F">
        <w:rPr>
          <w:rFonts w:ascii="Helvetica" w:hAnsi="Helvetica"/>
          <w:sz w:val="20"/>
          <w:szCs w:val="20"/>
        </w:rPr>
        <w:t>Crypto Co-Processing für SHA-2 – bietet verbesserte Performance zur Erfü</w:t>
      </w:r>
      <w:r w:rsidRPr="002C0D8F">
        <w:rPr>
          <w:rFonts w:ascii="Helvetica" w:hAnsi="Helvetica"/>
          <w:sz w:val="20"/>
          <w:szCs w:val="20"/>
        </w:rPr>
        <w:t>l</w:t>
      </w:r>
      <w:r w:rsidRPr="002C0D8F">
        <w:rPr>
          <w:rFonts w:ascii="Helvetica" w:hAnsi="Helvetica"/>
          <w:sz w:val="20"/>
          <w:szCs w:val="20"/>
        </w:rPr>
        <w:t>lung neuer Compliance-Standards</w:t>
      </w:r>
      <w:proofErr w:type="gramStart"/>
      <w:r w:rsidRPr="002C0D8F">
        <w:rPr>
          <w:rFonts w:ascii="Helvetica" w:hAnsi="Helvetica"/>
          <w:sz w:val="20"/>
          <w:szCs w:val="20"/>
        </w:rPr>
        <w:t>, die</w:t>
      </w:r>
      <w:proofErr w:type="gramEnd"/>
      <w:r w:rsidRPr="002C0D8F">
        <w:rPr>
          <w:rFonts w:ascii="Helvetica" w:hAnsi="Helvetica"/>
          <w:sz w:val="20"/>
          <w:szCs w:val="20"/>
        </w:rPr>
        <w:t xml:space="preserve"> ein Upgrade von älteren Verschlüss</w:t>
      </w:r>
      <w:r w:rsidRPr="002C0D8F">
        <w:rPr>
          <w:rFonts w:ascii="Helvetica" w:hAnsi="Helvetica"/>
          <w:sz w:val="20"/>
          <w:szCs w:val="20"/>
        </w:rPr>
        <w:t>e</w:t>
      </w:r>
      <w:r w:rsidRPr="002C0D8F">
        <w:rPr>
          <w:rFonts w:ascii="Helvetica" w:hAnsi="Helvetica"/>
          <w:sz w:val="20"/>
          <w:szCs w:val="20"/>
        </w:rPr>
        <w:t>lungsalgorithmen wie SHA-1 benötigen.</w:t>
      </w:r>
    </w:p>
    <w:p w14:paraId="6FF0773E" w14:textId="77777777" w:rsidR="0075442D" w:rsidRDefault="0075442D" w:rsidP="000872EF">
      <w:pPr>
        <w:tabs>
          <w:tab w:val="left" w:pos="7655"/>
        </w:tabs>
        <w:spacing w:line="288" w:lineRule="auto"/>
        <w:ind w:right="1418"/>
        <w:rPr>
          <w:rFonts w:ascii="Helvetica" w:hAnsi="Helvetica"/>
          <w:sz w:val="20"/>
          <w:szCs w:val="20"/>
        </w:rPr>
      </w:pPr>
    </w:p>
    <w:p w14:paraId="5268EAE5" w14:textId="255E400A" w:rsidR="000872EF" w:rsidRPr="000A103A" w:rsidRDefault="00A52E11" w:rsidP="000872EF">
      <w:pPr>
        <w:tabs>
          <w:tab w:val="left" w:pos="7655"/>
        </w:tabs>
        <w:spacing w:line="288" w:lineRule="auto"/>
        <w:ind w:right="1418"/>
        <w:rPr>
          <w:rFonts w:ascii="Helvetica" w:hAnsi="Helvetica"/>
          <w:sz w:val="20"/>
          <w:szCs w:val="20"/>
        </w:rPr>
      </w:pPr>
      <w:r w:rsidRPr="000A103A">
        <w:rPr>
          <w:rFonts w:ascii="Helvetica" w:hAnsi="Helvetica"/>
          <w:sz w:val="20"/>
          <w:szCs w:val="20"/>
        </w:rPr>
        <w:t>Weitere Informationen</w:t>
      </w:r>
      <w:r w:rsidR="00512F10" w:rsidRPr="000A103A">
        <w:rPr>
          <w:rFonts w:ascii="Helvetica" w:hAnsi="Helvetica"/>
          <w:sz w:val="20"/>
          <w:szCs w:val="20"/>
        </w:rPr>
        <w:t xml:space="preserve"> zu den neuen Modellen</w:t>
      </w:r>
      <w:r w:rsidR="00F97CB1" w:rsidRPr="000A103A">
        <w:rPr>
          <w:rFonts w:ascii="Helvetica" w:hAnsi="Helvetica"/>
          <w:sz w:val="20"/>
          <w:szCs w:val="20"/>
        </w:rPr>
        <w:t xml:space="preserve"> finden Sie hier:</w:t>
      </w:r>
    </w:p>
    <w:p w14:paraId="3A837FC7" w14:textId="7F7E780B" w:rsidR="000872EF" w:rsidRPr="000A103A" w:rsidRDefault="00BF7055" w:rsidP="000872EF">
      <w:pPr>
        <w:numPr>
          <w:ilvl w:val="0"/>
          <w:numId w:val="9"/>
        </w:numPr>
        <w:tabs>
          <w:tab w:val="left" w:pos="7655"/>
        </w:tabs>
        <w:spacing w:line="288" w:lineRule="auto"/>
        <w:ind w:right="1418"/>
        <w:rPr>
          <w:rFonts w:ascii="Helvetica" w:hAnsi="Helvetica"/>
          <w:sz w:val="20"/>
          <w:szCs w:val="20"/>
        </w:rPr>
      </w:pPr>
      <w:hyperlink r:id="rId8" w:history="1">
        <w:r>
          <w:rPr>
            <w:rStyle w:val="Link"/>
            <w:rFonts w:ascii="Helvetica" w:hAnsi="Helvetica"/>
            <w:sz w:val="20"/>
            <w:szCs w:val="20"/>
          </w:rPr>
          <w:t>Firebox T30 und T50 Datenblatt</w:t>
        </w:r>
      </w:hyperlink>
      <w:bookmarkStart w:id="0" w:name="_GoBack"/>
      <w:bookmarkEnd w:id="0"/>
    </w:p>
    <w:p w14:paraId="61C9C803" w14:textId="77777777" w:rsidR="000872EF" w:rsidRPr="000A103A" w:rsidRDefault="00BF7055" w:rsidP="000872EF">
      <w:pPr>
        <w:numPr>
          <w:ilvl w:val="0"/>
          <w:numId w:val="9"/>
        </w:numPr>
        <w:tabs>
          <w:tab w:val="left" w:pos="7655"/>
        </w:tabs>
        <w:spacing w:line="288" w:lineRule="auto"/>
        <w:ind w:right="1418"/>
        <w:rPr>
          <w:rFonts w:ascii="Helvetica" w:hAnsi="Helvetica"/>
          <w:sz w:val="20"/>
          <w:szCs w:val="20"/>
        </w:rPr>
      </w:pPr>
      <w:hyperlink r:id="rId9" w:history="1">
        <w:r w:rsidR="000872EF" w:rsidRPr="000A103A">
          <w:rPr>
            <w:rStyle w:val="Link"/>
            <w:rFonts w:ascii="Helvetica" w:hAnsi="Helvetica"/>
            <w:sz w:val="20"/>
            <w:szCs w:val="20"/>
          </w:rPr>
          <w:t>Product Matrix</w:t>
        </w:r>
      </w:hyperlink>
    </w:p>
    <w:p w14:paraId="5BA7CF09" w14:textId="77777777" w:rsidR="00253697" w:rsidRPr="000A103A" w:rsidRDefault="00BF7055" w:rsidP="000872EF">
      <w:pPr>
        <w:numPr>
          <w:ilvl w:val="0"/>
          <w:numId w:val="9"/>
        </w:numPr>
        <w:tabs>
          <w:tab w:val="left" w:pos="7655"/>
        </w:tabs>
        <w:spacing w:line="288" w:lineRule="auto"/>
        <w:ind w:right="1418"/>
        <w:rPr>
          <w:rStyle w:val="Link"/>
          <w:rFonts w:ascii="Helvetica" w:hAnsi="Helvetica"/>
          <w:color w:val="auto"/>
          <w:sz w:val="20"/>
          <w:szCs w:val="20"/>
          <w:u w:val="none"/>
        </w:rPr>
      </w:pPr>
      <w:hyperlink r:id="rId10" w:history="1">
        <w:r w:rsidR="000872EF" w:rsidRPr="000A103A">
          <w:rPr>
            <w:rStyle w:val="Link"/>
            <w:rFonts w:ascii="Helvetica" w:hAnsi="Helvetica"/>
            <w:sz w:val="20"/>
            <w:szCs w:val="20"/>
          </w:rPr>
          <w:t>Webinar</w:t>
        </w:r>
      </w:hyperlink>
    </w:p>
    <w:p w14:paraId="00A51401" w14:textId="1DCDA416" w:rsidR="000872EF" w:rsidRPr="000A103A" w:rsidRDefault="00BF7055" w:rsidP="000872EF">
      <w:pPr>
        <w:numPr>
          <w:ilvl w:val="0"/>
          <w:numId w:val="9"/>
        </w:numPr>
        <w:tabs>
          <w:tab w:val="left" w:pos="7655"/>
        </w:tabs>
        <w:spacing w:line="288" w:lineRule="auto"/>
        <w:ind w:right="1418"/>
        <w:rPr>
          <w:rFonts w:ascii="Helvetica" w:hAnsi="Helvetica"/>
          <w:sz w:val="20"/>
          <w:szCs w:val="20"/>
        </w:rPr>
      </w:pPr>
      <w:hyperlink r:id="rId11" w:history="1">
        <w:r w:rsidR="000872EF" w:rsidRPr="000A103A">
          <w:rPr>
            <w:rStyle w:val="Link"/>
            <w:rFonts w:ascii="Helvetica" w:hAnsi="Helvetica"/>
            <w:sz w:val="20"/>
            <w:szCs w:val="20"/>
          </w:rPr>
          <w:t>WatchGuard Security Center blog</w:t>
        </w:r>
      </w:hyperlink>
    </w:p>
    <w:p w14:paraId="4242E46A" w14:textId="77777777" w:rsidR="000872EF" w:rsidRPr="000A103A" w:rsidRDefault="000872EF" w:rsidP="00827D72">
      <w:pPr>
        <w:tabs>
          <w:tab w:val="left" w:pos="7655"/>
        </w:tabs>
        <w:spacing w:line="288" w:lineRule="auto"/>
        <w:ind w:right="1418"/>
        <w:rPr>
          <w:rFonts w:ascii="Helvetica" w:hAnsi="Helvetica"/>
          <w:sz w:val="20"/>
          <w:szCs w:val="20"/>
        </w:rPr>
      </w:pPr>
    </w:p>
    <w:p w14:paraId="10546FC2" w14:textId="7E7AA3C3" w:rsidR="00777D29" w:rsidRPr="000A103A" w:rsidRDefault="00777D29" w:rsidP="00777D29">
      <w:pPr>
        <w:tabs>
          <w:tab w:val="left" w:pos="7655"/>
        </w:tabs>
        <w:spacing w:line="288" w:lineRule="auto"/>
        <w:ind w:right="1418"/>
        <w:rPr>
          <w:rFonts w:ascii="Helvetica" w:hAnsi="Helvetica"/>
          <w:sz w:val="20"/>
          <w:szCs w:val="20"/>
          <w:lang w:val="en-US"/>
        </w:rPr>
      </w:pPr>
      <w:r w:rsidRPr="000A103A">
        <w:rPr>
          <w:rFonts w:ascii="Helvetica" w:hAnsi="Helvetica"/>
          <w:sz w:val="20"/>
          <w:szCs w:val="20"/>
          <w:lang w:val="en-US"/>
        </w:rPr>
        <w:t xml:space="preserve">* </w:t>
      </w:r>
      <w:r w:rsidR="00111EF6" w:rsidRPr="000A103A">
        <w:rPr>
          <w:rFonts w:ascii="Helvetica" w:hAnsi="Helvetica"/>
          <w:sz w:val="20"/>
          <w:szCs w:val="20"/>
          <w:lang w:val="en-US"/>
        </w:rPr>
        <w:t xml:space="preserve">Die </w:t>
      </w:r>
      <w:r w:rsidR="00B51DE8" w:rsidRPr="000A103A">
        <w:rPr>
          <w:rFonts w:ascii="Helvetica" w:hAnsi="Helvetica"/>
          <w:sz w:val="20"/>
          <w:szCs w:val="20"/>
          <w:lang w:val="en-US"/>
        </w:rPr>
        <w:t>neuen Features in Di</w:t>
      </w:r>
      <w:r w:rsidRPr="000A103A">
        <w:rPr>
          <w:rFonts w:ascii="Helvetica" w:hAnsi="Helvetica"/>
          <w:sz w:val="20"/>
          <w:szCs w:val="20"/>
          <w:lang w:val="en-US"/>
        </w:rPr>
        <w:t>mension 2.0</w:t>
      </w:r>
      <w:r w:rsidR="00B51DE8" w:rsidRPr="000A103A">
        <w:rPr>
          <w:rFonts w:ascii="Helvetica" w:hAnsi="Helvetica"/>
          <w:sz w:val="20"/>
          <w:szCs w:val="20"/>
          <w:lang w:val="en-US"/>
        </w:rPr>
        <w:t xml:space="preserve"> </w:t>
      </w:r>
      <w:r w:rsidR="00B51DE8" w:rsidRPr="000A103A">
        <w:rPr>
          <w:rFonts w:ascii="Helvetica" w:hAnsi="Helvetica"/>
          <w:sz w:val="20"/>
          <w:szCs w:val="20"/>
        </w:rPr>
        <w:t xml:space="preserve">stehen nur Kunden zur Verfügung, die mit Fireware 11.10.1 </w:t>
      </w:r>
      <w:proofErr w:type="gramStart"/>
      <w:r w:rsidR="00B51DE8" w:rsidRPr="000A103A">
        <w:rPr>
          <w:rFonts w:ascii="Helvetica" w:hAnsi="Helvetica"/>
          <w:sz w:val="20"/>
          <w:szCs w:val="20"/>
        </w:rPr>
        <w:t>oder</w:t>
      </w:r>
      <w:proofErr w:type="gramEnd"/>
      <w:r w:rsidR="00B51DE8" w:rsidRPr="000A103A">
        <w:rPr>
          <w:rFonts w:ascii="Helvetica" w:hAnsi="Helvetica"/>
          <w:sz w:val="20"/>
          <w:szCs w:val="20"/>
        </w:rPr>
        <w:t xml:space="preserve"> höher sowie einem aktiven Supportvertrag ausgestattet sind</w:t>
      </w:r>
      <w:r w:rsidRPr="000A103A">
        <w:rPr>
          <w:rFonts w:ascii="Helvetica" w:hAnsi="Helvetica"/>
          <w:sz w:val="20"/>
          <w:szCs w:val="20"/>
          <w:lang w:val="en-US"/>
        </w:rPr>
        <w:t xml:space="preserve">. </w:t>
      </w:r>
    </w:p>
    <w:p w14:paraId="1250168F" w14:textId="2495957F" w:rsidR="00777D29" w:rsidRPr="006C0698" w:rsidRDefault="00777D29" w:rsidP="00777D29">
      <w:pPr>
        <w:tabs>
          <w:tab w:val="left" w:pos="7655"/>
        </w:tabs>
        <w:spacing w:line="288" w:lineRule="auto"/>
        <w:ind w:right="1418"/>
        <w:rPr>
          <w:rFonts w:ascii="Helvetica" w:hAnsi="Helvetica"/>
          <w:sz w:val="20"/>
          <w:szCs w:val="20"/>
          <w:lang w:val="en-US"/>
        </w:rPr>
      </w:pPr>
      <w:r w:rsidRPr="000A103A">
        <w:rPr>
          <w:rFonts w:ascii="Helvetica" w:hAnsi="Helvetica"/>
          <w:sz w:val="20"/>
          <w:szCs w:val="20"/>
          <w:lang w:val="en-US"/>
        </w:rPr>
        <w:t xml:space="preserve">** </w:t>
      </w:r>
      <w:r w:rsidR="000A103A" w:rsidRPr="000A103A">
        <w:rPr>
          <w:rFonts w:ascii="Helvetica" w:hAnsi="Helvetica"/>
          <w:bCs/>
          <w:sz w:val="20"/>
          <w:szCs w:val="20"/>
        </w:rPr>
        <w:t xml:space="preserve">Dimension Command </w:t>
      </w:r>
      <w:proofErr w:type="gramStart"/>
      <w:r w:rsidR="000A103A" w:rsidRPr="000A103A">
        <w:rPr>
          <w:rFonts w:ascii="Helvetica" w:hAnsi="Helvetica"/>
          <w:bCs/>
          <w:sz w:val="20"/>
          <w:szCs w:val="20"/>
        </w:rPr>
        <w:t>ist</w:t>
      </w:r>
      <w:proofErr w:type="gramEnd"/>
      <w:r w:rsidR="000A103A" w:rsidRPr="000A103A">
        <w:rPr>
          <w:rFonts w:ascii="Helvetica" w:hAnsi="Helvetica"/>
          <w:bCs/>
          <w:sz w:val="20"/>
          <w:szCs w:val="20"/>
        </w:rPr>
        <w:t xml:space="preserve"> eine Reihe von zusätzlichen Management-Funktionen für WatchGuard Dimension</w:t>
      </w:r>
      <w:r w:rsidRPr="000A103A">
        <w:rPr>
          <w:rFonts w:ascii="Helvetica" w:hAnsi="Helvetica"/>
          <w:sz w:val="20"/>
          <w:szCs w:val="20"/>
          <w:lang w:val="en-US"/>
        </w:rPr>
        <w:t>.</w:t>
      </w:r>
    </w:p>
    <w:p w14:paraId="5E048041" w14:textId="77777777" w:rsidR="00AF2CB9" w:rsidRDefault="00AF2CB9" w:rsidP="00AF2CB9">
      <w:pPr>
        <w:spacing w:line="288" w:lineRule="auto"/>
        <w:ind w:right="284"/>
        <w:rPr>
          <w:rFonts w:ascii="Arial" w:hAnsi="Arial" w:cs="Arial"/>
          <w:b/>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firstRow="1" w:lastRow="0" w:firstColumn="1" w:lastColumn="0" w:noHBand="0" w:noVBand="0"/>
      </w:tblPr>
      <w:tblGrid>
        <w:gridCol w:w="3794"/>
        <w:gridCol w:w="3827"/>
      </w:tblGrid>
      <w:tr w:rsidR="00BD019E" w:rsidRPr="00D76A46" w14:paraId="30FE643D" w14:textId="77777777" w:rsidTr="00537EF1">
        <w:trPr>
          <w:trHeight w:val="631"/>
        </w:trPr>
        <w:tc>
          <w:tcPr>
            <w:tcW w:w="3794" w:type="dxa"/>
          </w:tcPr>
          <w:p w14:paraId="1B43245B" w14:textId="77777777" w:rsidR="00BD019E" w:rsidRPr="00D76A46" w:rsidRDefault="00BD019E" w:rsidP="00BD019E">
            <w:pPr>
              <w:pStyle w:val="Textkrper"/>
              <w:spacing w:line="288" w:lineRule="auto"/>
              <w:ind w:right="-1"/>
              <w:jc w:val="center"/>
              <w:rPr>
                <w:sz w:val="20"/>
              </w:rPr>
            </w:pPr>
            <w:r>
              <w:rPr>
                <w:noProof/>
                <w:sz w:val="20"/>
                <w:lang w:eastAsia="de-DE"/>
              </w:rPr>
              <w:drawing>
                <wp:inline distT="0" distB="0" distL="0" distR="0" wp14:anchorId="1CA60C9B" wp14:editId="4ECB7919">
                  <wp:extent cx="1757608" cy="881844"/>
                  <wp:effectExtent l="0" t="0" r="0" b="762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757608" cy="881844"/>
                          </a:xfrm>
                          <a:prstGeom prst="rect">
                            <a:avLst/>
                          </a:prstGeom>
                          <a:noFill/>
                          <a:ln w="9525">
                            <a:noFill/>
                            <a:miter lim="800000"/>
                            <a:headEnd/>
                            <a:tailEnd/>
                          </a:ln>
                        </pic:spPr>
                      </pic:pic>
                    </a:graphicData>
                  </a:graphic>
                </wp:inline>
              </w:drawing>
            </w:r>
          </w:p>
        </w:tc>
        <w:tc>
          <w:tcPr>
            <w:tcW w:w="3827" w:type="dxa"/>
          </w:tcPr>
          <w:p w14:paraId="79D66570" w14:textId="77777777" w:rsidR="00BD019E" w:rsidRPr="00832748" w:rsidRDefault="00BD019E" w:rsidP="00BD019E">
            <w:pPr>
              <w:pStyle w:val="Textkrper"/>
              <w:spacing w:line="288" w:lineRule="auto"/>
              <w:ind w:right="-1"/>
              <w:jc w:val="center"/>
              <w:rPr>
                <w:noProof/>
                <w:sz w:val="20"/>
              </w:rPr>
            </w:pPr>
            <w:r>
              <w:rPr>
                <w:noProof/>
                <w:sz w:val="20"/>
                <w:lang w:eastAsia="de-DE"/>
              </w:rPr>
              <w:drawing>
                <wp:inline distT="0" distB="0" distL="0" distR="0" wp14:anchorId="5989C8AF" wp14:editId="4290F768">
                  <wp:extent cx="1594506" cy="797253"/>
                  <wp:effectExtent l="0" t="0" r="5715"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EX TU Graz:klein:Monocoque.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94506" cy="797253"/>
                          </a:xfrm>
                          <a:prstGeom prst="rect">
                            <a:avLst/>
                          </a:prstGeom>
                          <a:noFill/>
                          <a:ln w="9525">
                            <a:noFill/>
                            <a:miter lim="800000"/>
                            <a:headEnd/>
                            <a:tailEnd/>
                          </a:ln>
                        </pic:spPr>
                      </pic:pic>
                    </a:graphicData>
                  </a:graphic>
                </wp:inline>
              </w:drawing>
            </w:r>
          </w:p>
        </w:tc>
      </w:tr>
      <w:tr w:rsidR="00FC7E53" w:rsidRPr="00D76A46" w14:paraId="64B2063C" w14:textId="77777777" w:rsidTr="00537EF1">
        <w:trPr>
          <w:trHeight w:val="318"/>
        </w:trPr>
        <w:tc>
          <w:tcPr>
            <w:tcW w:w="3794" w:type="dxa"/>
          </w:tcPr>
          <w:p w14:paraId="2A583707" w14:textId="55D3C72A" w:rsidR="00FC7E53" w:rsidRPr="001261E1" w:rsidRDefault="00FC7E53" w:rsidP="00BD019E">
            <w:pPr>
              <w:pStyle w:val="Textkrper"/>
              <w:spacing w:line="288" w:lineRule="auto"/>
              <w:ind w:right="-1"/>
              <w:rPr>
                <w:b w:val="0"/>
                <w:sz w:val="16"/>
                <w:lang w:val="en-US"/>
              </w:rPr>
            </w:pPr>
            <w:r>
              <w:rPr>
                <w:b w:val="0"/>
                <w:bCs/>
                <w:sz w:val="16"/>
              </w:rPr>
              <w:t>Die neue Firebox T30</w:t>
            </w:r>
            <w:r w:rsidRPr="008B2448">
              <w:rPr>
                <w:b w:val="0"/>
                <w:bCs/>
                <w:sz w:val="16"/>
              </w:rPr>
              <w:t>.</w:t>
            </w:r>
            <w:r>
              <w:rPr>
                <w:b w:val="0"/>
                <w:sz w:val="16"/>
                <w:lang w:val="en-US"/>
              </w:rPr>
              <w:t xml:space="preserve"> </w:t>
            </w:r>
          </w:p>
        </w:tc>
        <w:tc>
          <w:tcPr>
            <w:tcW w:w="3827" w:type="dxa"/>
          </w:tcPr>
          <w:p w14:paraId="1543CA3B" w14:textId="6A04BA5F" w:rsidR="00FC7E53" w:rsidRPr="001261E1" w:rsidRDefault="00FC7E53" w:rsidP="00BD019E">
            <w:pPr>
              <w:pStyle w:val="Textkrper"/>
              <w:spacing w:line="288" w:lineRule="auto"/>
              <w:ind w:right="-1"/>
              <w:rPr>
                <w:rFonts w:cs="Arial"/>
                <w:b w:val="0"/>
                <w:sz w:val="16"/>
                <w:szCs w:val="24"/>
                <w:lang w:val="en-US"/>
              </w:rPr>
            </w:pPr>
            <w:r>
              <w:rPr>
                <w:b w:val="0"/>
                <w:bCs/>
                <w:sz w:val="16"/>
              </w:rPr>
              <w:t>Die neue Firebox T50</w:t>
            </w:r>
            <w:r w:rsidRPr="008B2448">
              <w:rPr>
                <w:b w:val="0"/>
                <w:bCs/>
                <w:sz w:val="16"/>
              </w:rPr>
              <w:t>.</w:t>
            </w:r>
            <w:r>
              <w:rPr>
                <w:b w:val="0"/>
                <w:sz w:val="16"/>
                <w:lang w:val="en-US"/>
              </w:rPr>
              <w:t xml:space="preserve"> </w:t>
            </w:r>
          </w:p>
        </w:tc>
      </w:tr>
      <w:tr w:rsidR="005075DD" w:rsidRPr="00D76A46" w14:paraId="36CC7EDA" w14:textId="77777777" w:rsidTr="005075DD">
        <w:trPr>
          <w:trHeight w:val="631"/>
        </w:trPr>
        <w:tc>
          <w:tcPr>
            <w:tcW w:w="3794" w:type="dxa"/>
          </w:tcPr>
          <w:p w14:paraId="4B999A79" w14:textId="77777777" w:rsidR="005075DD" w:rsidRPr="00D76A46" w:rsidRDefault="005075DD" w:rsidP="005075DD">
            <w:pPr>
              <w:pStyle w:val="Textkrper"/>
              <w:spacing w:line="288" w:lineRule="auto"/>
              <w:ind w:right="-1"/>
              <w:jc w:val="center"/>
              <w:rPr>
                <w:sz w:val="20"/>
              </w:rPr>
            </w:pPr>
            <w:r>
              <w:rPr>
                <w:noProof/>
                <w:sz w:val="20"/>
                <w:lang w:eastAsia="de-DE"/>
              </w:rPr>
              <w:drawing>
                <wp:inline distT="0" distB="0" distL="0" distR="0" wp14:anchorId="5558BC5C" wp14:editId="02815CA1">
                  <wp:extent cx="1757606" cy="881844"/>
                  <wp:effectExtent l="0" t="0" r="0" b="762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757606" cy="881844"/>
                          </a:xfrm>
                          <a:prstGeom prst="rect">
                            <a:avLst/>
                          </a:prstGeom>
                          <a:noFill/>
                          <a:ln w="9525">
                            <a:noFill/>
                            <a:miter lim="800000"/>
                            <a:headEnd/>
                            <a:tailEnd/>
                          </a:ln>
                        </pic:spPr>
                      </pic:pic>
                    </a:graphicData>
                  </a:graphic>
                </wp:inline>
              </w:drawing>
            </w:r>
          </w:p>
        </w:tc>
        <w:tc>
          <w:tcPr>
            <w:tcW w:w="3827" w:type="dxa"/>
          </w:tcPr>
          <w:p w14:paraId="5EC7EC98" w14:textId="77777777" w:rsidR="005075DD" w:rsidRPr="00832748" w:rsidRDefault="005075DD" w:rsidP="005075DD">
            <w:pPr>
              <w:pStyle w:val="Textkrper"/>
              <w:spacing w:line="288" w:lineRule="auto"/>
              <w:ind w:right="-1"/>
              <w:jc w:val="center"/>
              <w:rPr>
                <w:noProof/>
                <w:sz w:val="20"/>
              </w:rPr>
            </w:pPr>
            <w:r>
              <w:rPr>
                <w:noProof/>
                <w:sz w:val="20"/>
                <w:lang w:eastAsia="de-DE"/>
              </w:rPr>
              <w:drawing>
                <wp:inline distT="0" distB="0" distL="0" distR="0" wp14:anchorId="33BDD45F" wp14:editId="0DB79D82">
                  <wp:extent cx="1594506" cy="797253"/>
                  <wp:effectExtent l="0" t="0" r="571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EX TU Graz:klein:Monocoque.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594506" cy="797253"/>
                          </a:xfrm>
                          <a:prstGeom prst="rect">
                            <a:avLst/>
                          </a:prstGeom>
                          <a:noFill/>
                          <a:ln w="9525">
                            <a:noFill/>
                            <a:miter lim="800000"/>
                            <a:headEnd/>
                            <a:tailEnd/>
                          </a:ln>
                        </pic:spPr>
                      </pic:pic>
                    </a:graphicData>
                  </a:graphic>
                </wp:inline>
              </w:drawing>
            </w:r>
          </w:p>
        </w:tc>
      </w:tr>
      <w:tr w:rsidR="00E0760B" w:rsidRPr="00D76A46" w14:paraId="47AD1057" w14:textId="77777777" w:rsidTr="005075DD">
        <w:trPr>
          <w:trHeight w:val="318"/>
        </w:trPr>
        <w:tc>
          <w:tcPr>
            <w:tcW w:w="3794" w:type="dxa"/>
          </w:tcPr>
          <w:p w14:paraId="5E2B3FCB" w14:textId="5D8BAFEA" w:rsidR="00E0760B" w:rsidRPr="001261E1" w:rsidRDefault="00E0760B" w:rsidP="005075DD">
            <w:pPr>
              <w:pStyle w:val="Textkrper"/>
              <w:spacing w:line="288" w:lineRule="auto"/>
              <w:ind w:right="-1"/>
              <w:rPr>
                <w:b w:val="0"/>
                <w:sz w:val="16"/>
                <w:lang w:val="en-US"/>
              </w:rPr>
            </w:pPr>
            <w:r>
              <w:rPr>
                <w:b w:val="0"/>
                <w:bCs/>
                <w:sz w:val="16"/>
              </w:rPr>
              <w:t>Die neue Firebox T30 (Rückseite)</w:t>
            </w:r>
            <w:r w:rsidRPr="008B2448">
              <w:rPr>
                <w:b w:val="0"/>
                <w:bCs/>
                <w:sz w:val="16"/>
              </w:rPr>
              <w:t>.</w:t>
            </w:r>
            <w:r>
              <w:rPr>
                <w:b w:val="0"/>
                <w:sz w:val="16"/>
                <w:lang w:val="en-US"/>
              </w:rPr>
              <w:t xml:space="preserve"> </w:t>
            </w:r>
          </w:p>
        </w:tc>
        <w:tc>
          <w:tcPr>
            <w:tcW w:w="3827" w:type="dxa"/>
          </w:tcPr>
          <w:p w14:paraId="3C3B3D57" w14:textId="5D5E35C2" w:rsidR="00E0760B" w:rsidRPr="001261E1" w:rsidRDefault="00E0760B" w:rsidP="005075DD">
            <w:pPr>
              <w:pStyle w:val="Textkrper"/>
              <w:spacing w:line="288" w:lineRule="auto"/>
              <w:ind w:right="-1"/>
              <w:rPr>
                <w:rFonts w:cs="Arial"/>
                <w:b w:val="0"/>
                <w:sz w:val="16"/>
                <w:szCs w:val="24"/>
                <w:lang w:val="en-US"/>
              </w:rPr>
            </w:pPr>
            <w:r>
              <w:rPr>
                <w:b w:val="0"/>
                <w:bCs/>
                <w:sz w:val="16"/>
              </w:rPr>
              <w:t>Die neue Firebox T50 (Rückseite)</w:t>
            </w:r>
            <w:r w:rsidRPr="008B2448">
              <w:rPr>
                <w:b w:val="0"/>
                <w:bCs/>
                <w:sz w:val="16"/>
              </w:rPr>
              <w:t>.</w:t>
            </w:r>
            <w:r>
              <w:rPr>
                <w:b w:val="0"/>
                <w:sz w:val="16"/>
                <w:lang w:val="en-US"/>
              </w:rPr>
              <w:t xml:space="preserve"> </w:t>
            </w:r>
          </w:p>
        </w:tc>
      </w:tr>
    </w:tbl>
    <w:p w14:paraId="7074CAEB" w14:textId="77777777" w:rsidR="005075DD" w:rsidRDefault="005075DD" w:rsidP="00AF2CB9">
      <w:pPr>
        <w:spacing w:line="288" w:lineRule="auto"/>
        <w:ind w:right="284"/>
        <w:rPr>
          <w:rFonts w:ascii="Arial" w:hAnsi="Arial" w:cs="Arial"/>
          <w:b/>
          <w:sz w:val="20"/>
          <w:szCs w:val="20"/>
        </w:rPr>
      </w:pPr>
    </w:p>
    <w:p w14:paraId="3BFF71D0" w14:textId="0AA96B63" w:rsidR="00512F10" w:rsidRPr="00127895" w:rsidRDefault="00537EF1" w:rsidP="00AF2CB9">
      <w:pPr>
        <w:spacing w:line="288" w:lineRule="auto"/>
        <w:ind w:right="284"/>
        <w:rPr>
          <w:rFonts w:ascii="Arial" w:hAnsi="Arial" w:cs="Arial"/>
          <w:sz w:val="20"/>
          <w:szCs w:val="20"/>
        </w:rPr>
      </w:pPr>
      <w:r>
        <w:rPr>
          <w:rFonts w:ascii="Arial" w:hAnsi="Arial" w:cs="Arial"/>
          <w:sz w:val="20"/>
          <w:szCs w:val="20"/>
        </w:rPr>
        <w:t xml:space="preserve">Weiteres </w:t>
      </w:r>
      <w:r w:rsidR="00293108" w:rsidRPr="00293108">
        <w:rPr>
          <w:rFonts w:ascii="Arial" w:hAnsi="Arial" w:cs="Arial"/>
          <w:sz w:val="20"/>
          <w:szCs w:val="20"/>
        </w:rPr>
        <w:t>Bildmaterial zum Download finden Sie in unserem Medienportal press-n-relations.amid-pr.com (</w:t>
      </w:r>
      <w:proofErr w:type="gramStart"/>
      <w:r w:rsidR="00293108" w:rsidRPr="00293108">
        <w:rPr>
          <w:rFonts w:ascii="Arial" w:hAnsi="Arial" w:cs="Arial"/>
          <w:sz w:val="20"/>
          <w:szCs w:val="20"/>
        </w:rPr>
        <w:t>Suchbegriff</w:t>
      </w:r>
      <w:r w:rsidR="00FA358C">
        <w:rPr>
          <w:rFonts w:ascii="Arial" w:hAnsi="Arial" w:cs="Arial"/>
          <w:sz w:val="20"/>
          <w:szCs w:val="20"/>
        </w:rPr>
        <w:t xml:space="preserve"> „</w:t>
      </w:r>
      <w:proofErr w:type="gramEnd"/>
      <w:hyperlink r:id="rId16" w:history="1">
        <w:r w:rsidR="00FA358C" w:rsidRPr="00FA358C">
          <w:rPr>
            <w:rStyle w:val="Link"/>
            <w:rFonts w:ascii="Arial" w:hAnsi="Arial" w:cs="Arial"/>
            <w:sz w:val="20"/>
            <w:szCs w:val="20"/>
          </w:rPr>
          <w:t xml:space="preserve">Firebox T30 </w:t>
        </w:r>
        <w:r w:rsidR="00293108" w:rsidRPr="00FA358C">
          <w:rPr>
            <w:rStyle w:val="Link"/>
            <w:rFonts w:ascii="Arial" w:hAnsi="Arial" w:cs="Arial"/>
            <w:sz w:val="20"/>
            <w:szCs w:val="20"/>
          </w:rPr>
          <w:t>T50</w:t>
        </w:r>
      </w:hyperlink>
      <w:r w:rsidR="00293108" w:rsidRPr="00293108">
        <w:rPr>
          <w:rFonts w:ascii="Arial" w:hAnsi="Arial" w:cs="Arial"/>
          <w:sz w:val="20"/>
          <w:szCs w:val="20"/>
        </w:rPr>
        <w:t>“). Selbstverständlich schicke ich Ihnen die Dateien auch gerne per E-Mail zu. Kontakt: ts@press-n-relations.de</w:t>
      </w:r>
    </w:p>
    <w:p w14:paraId="2B4EA27B" w14:textId="77777777" w:rsidR="00293108" w:rsidRPr="00EE63B0" w:rsidRDefault="00293108" w:rsidP="00AF2CB9">
      <w:pPr>
        <w:spacing w:line="288" w:lineRule="auto"/>
        <w:ind w:right="284"/>
        <w:rPr>
          <w:rFonts w:ascii="Arial" w:hAnsi="Arial" w:cs="Arial"/>
          <w:b/>
          <w:sz w:val="20"/>
          <w:szCs w:val="20"/>
        </w:rPr>
      </w:pPr>
    </w:p>
    <w:tbl>
      <w:tblPr>
        <w:tblW w:w="8717" w:type="dxa"/>
        <w:tblCellMar>
          <w:left w:w="70" w:type="dxa"/>
          <w:right w:w="70" w:type="dxa"/>
        </w:tblCellMar>
        <w:tblLook w:val="0000" w:firstRow="0" w:lastRow="0" w:firstColumn="0" w:lastColumn="0" w:noHBand="0" w:noVBand="0"/>
      </w:tblPr>
      <w:tblGrid>
        <w:gridCol w:w="4606"/>
        <w:gridCol w:w="4111"/>
      </w:tblGrid>
      <w:tr w:rsidR="00AF2CB9" w:rsidRPr="00EE63B0" w14:paraId="3811F48A" w14:textId="77777777">
        <w:trPr>
          <w:trHeight w:val="1436"/>
        </w:trPr>
        <w:tc>
          <w:tcPr>
            <w:tcW w:w="4606" w:type="dxa"/>
          </w:tcPr>
          <w:p w14:paraId="3BB6EDA9" w14:textId="77777777" w:rsidR="00AF2CB9" w:rsidRPr="00EE63B0" w:rsidRDefault="00037D09" w:rsidP="00AF2CB9">
            <w:pPr>
              <w:pStyle w:val="Textkrper"/>
              <w:spacing w:line="312" w:lineRule="auto"/>
              <w:ind w:right="426"/>
              <w:rPr>
                <w:bCs/>
                <w:sz w:val="16"/>
              </w:rPr>
            </w:pPr>
            <w:r w:rsidRPr="00EE63B0">
              <w:rPr>
                <w:bCs/>
                <w:sz w:val="16"/>
              </w:rPr>
              <w:lastRenderedPageBreak/>
              <w:t>Weitere Informationen:</w:t>
            </w:r>
          </w:p>
          <w:p w14:paraId="73C84302" w14:textId="77777777" w:rsidR="00AF2CB9" w:rsidRPr="00EE63B0" w:rsidRDefault="00037D09" w:rsidP="00AF2CB9">
            <w:pPr>
              <w:pStyle w:val="Textkrper"/>
              <w:tabs>
                <w:tab w:val="left" w:pos="7513"/>
              </w:tabs>
              <w:spacing w:line="312" w:lineRule="auto"/>
              <w:rPr>
                <w:b w:val="0"/>
                <w:sz w:val="16"/>
              </w:rPr>
            </w:pPr>
            <w:r w:rsidRPr="00EE63B0">
              <w:rPr>
                <w:b w:val="0"/>
                <w:sz w:val="16"/>
              </w:rPr>
              <w:t>WatchGuard Technologies GmbH</w:t>
            </w:r>
          </w:p>
          <w:p w14:paraId="64BFA307" w14:textId="77777777" w:rsidR="00AF2CB9" w:rsidRPr="00EE63B0" w:rsidRDefault="00037D09" w:rsidP="00AF2CB9">
            <w:pPr>
              <w:pStyle w:val="Textkrper"/>
              <w:tabs>
                <w:tab w:val="left" w:pos="7513"/>
              </w:tabs>
              <w:spacing w:line="312" w:lineRule="auto"/>
              <w:rPr>
                <w:b w:val="0"/>
                <w:sz w:val="16"/>
              </w:rPr>
            </w:pPr>
            <w:r w:rsidRPr="00EE63B0">
              <w:rPr>
                <w:b w:val="0"/>
                <w:sz w:val="16"/>
              </w:rPr>
              <w:t>Michael Haas – Area Sales Director Central Europe</w:t>
            </w:r>
          </w:p>
          <w:p w14:paraId="26DE34C3" w14:textId="77777777" w:rsidR="00AF2CB9" w:rsidRPr="00EE63B0" w:rsidRDefault="00037D09" w:rsidP="00AF2CB9">
            <w:pPr>
              <w:pStyle w:val="Textkrper"/>
              <w:tabs>
                <w:tab w:val="left" w:pos="7513"/>
              </w:tabs>
              <w:spacing w:line="312" w:lineRule="auto"/>
              <w:rPr>
                <w:b w:val="0"/>
                <w:sz w:val="16"/>
              </w:rPr>
            </w:pPr>
            <w:r w:rsidRPr="00EE63B0">
              <w:rPr>
                <w:b w:val="0"/>
                <w:sz w:val="16"/>
              </w:rPr>
              <w:t>Wendenstr. 379, 20537 Hamburg</w:t>
            </w:r>
          </w:p>
          <w:p w14:paraId="359AE1ED" w14:textId="77777777" w:rsidR="00AF2CB9" w:rsidRPr="00EE63B0" w:rsidRDefault="00037D09" w:rsidP="00AF2CB9">
            <w:pPr>
              <w:pStyle w:val="Textkrper"/>
              <w:tabs>
                <w:tab w:val="left" w:pos="7513"/>
              </w:tabs>
              <w:spacing w:line="312" w:lineRule="auto"/>
              <w:rPr>
                <w:b w:val="0"/>
                <w:sz w:val="16"/>
              </w:rPr>
            </w:pPr>
            <w:r w:rsidRPr="00EE63B0">
              <w:rPr>
                <w:b w:val="0"/>
                <w:sz w:val="16"/>
              </w:rPr>
              <w:t>Tel.: +49 170 7727415</w:t>
            </w:r>
          </w:p>
          <w:p w14:paraId="11DA06B6" w14:textId="77777777" w:rsidR="00AF2CB9" w:rsidRPr="00EE63B0" w:rsidRDefault="00037D09" w:rsidP="00AF2CB9">
            <w:pPr>
              <w:pStyle w:val="Textkrper"/>
              <w:tabs>
                <w:tab w:val="left" w:pos="7513"/>
              </w:tabs>
              <w:spacing w:line="312" w:lineRule="auto"/>
              <w:rPr>
                <w:b w:val="0"/>
                <w:sz w:val="16"/>
              </w:rPr>
            </w:pPr>
            <w:r w:rsidRPr="00EE63B0">
              <w:rPr>
                <w:b w:val="0"/>
                <w:sz w:val="16"/>
              </w:rPr>
              <w:t>michael.haas@watchguard.com</w:t>
            </w:r>
          </w:p>
          <w:p w14:paraId="74401DC6" w14:textId="77777777" w:rsidR="00AF2CB9" w:rsidRPr="00EE63B0" w:rsidRDefault="00037D09" w:rsidP="00AF2CB9">
            <w:pPr>
              <w:pStyle w:val="Textkrper"/>
              <w:tabs>
                <w:tab w:val="left" w:pos="7513"/>
              </w:tabs>
              <w:spacing w:line="312" w:lineRule="auto"/>
              <w:rPr>
                <w:b w:val="0"/>
                <w:sz w:val="16"/>
              </w:rPr>
            </w:pPr>
            <w:r w:rsidRPr="00EE63B0">
              <w:rPr>
                <w:b w:val="0"/>
                <w:sz w:val="16"/>
              </w:rPr>
              <w:t>www.watchguard.de</w:t>
            </w:r>
          </w:p>
        </w:tc>
        <w:tc>
          <w:tcPr>
            <w:tcW w:w="4111" w:type="dxa"/>
          </w:tcPr>
          <w:p w14:paraId="5AC334D5" w14:textId="77777777" w:rsidR="00AF2CB9" w:rsidRPr="00EE63B0" w:rsidRDefault="00037D09" w:rsidP="00AF2CB9">
            <w:pPr>
              <w:pStyle w:val="Textkrper"/>
              <w:tabs>
                <w:tab w:val="left" w:pos="7513"/>
              </w:tabs>
              <w:spacing w:line="312" w:lineRule="auto"/>
              <w:ind w:right="426"/>
              <w:rPr>
                <w:bCs/>
                <w:sz w:val="16"/>
              </w:rPr>
            </w:pPr>
            <w:r w:rsidRPr="00EE63B0">
              <w:rPr>
                <w:bCs/>
                <w:sz w:val="16"/>
              </w:rPr>
              <w:t>Presse- und Öffentlichkeitsarbeit:</w:t>
            </w:r>
          </w:p>
          <w:p w14:paraId="0DCEAB9E" w14:textId="77777777" w:rsidR="00AF2CB9" w:rsidRPr="00EE63B0" w:rsidRDefault="00037D09" w:rsidP="00AF2CB9">
            <w:pPr>
              <w:pStyle w:val="Textkrper"/>
              <w:tabs>
                <w:tab w:val="left" w:pos="7513"/>
              </w:tabs>
              <w:spacing w:line="312" w:lineRule="auto"/>
              <w:ind w:right="426"/>
              <w:rPr>
                <w:b w:val="0"/>
                <w:bCs/>
                <w:sz w:val="16"/>
              </w:rPr>
            </w:pPr>
            <w:r w:rsidRPr="00EE63B0">
              <w:rPr>
                <w:b w:val="0"/>
                <w:bCs/>
                <w:sz w:val="16"/>
              </w:rPr>
              <w:t>Press'n'Relations GmbH</w:t>
            </w:r>
          </w:p>
          <w:p w14:paraId="4C9A96E0" w14:textId="77777777" w:rsidR="00AF2CB9" w:rsidRPr="00EE63B0" w:rsidRDefault="00037D09" w:rsidP="00AF2CB9">
            <w:pPr>
              <w:pStyle w:val="Textkrper"/>
              <w:tabs>
                <w:tab w:val="left" w:pos="7513"/>
              </w:tabs>
              <w:spacing w:line="312" w:lineRule="auto"/>
              <w:ind w:right="426"/>
              <w:rPr>
                <w:b w:val="0"/>
                <w:bCs/>
                <w:sz w:val="16"/>
              </w:rPr>
            </w:pPr>
            <w:r w:rsidRPr="00EE63B0">
              <w:rPr>
                <w:b w:val="0"/>
                <w:bCs/>
                <w:sz w:val="16"/>
              </w:rPr>
              <w:t>Thomas Seibold</w:t>
            </w:r>
          </w:p>
          <w:p w14:paraId="619AFE58" w14:textId="77777777" w:rsidR="00AF2CB9" w:rsidRPr="00EE63B0" w:rsidRDefault="00037D09" w:rsidP="00AF2CB9">
            <w:pPr>
              <w:pStyle w:val="Textkrper"/>
              <w:tabs>
                <w:tab w:val="left" w:pos="7513"/>
              </w:tabs>
              <w:spacing w:line="312" w:lineRule="auto"/>
              <w:ind w:right="426"/>
              <w:rPr>
                <w:b w:val="0"/>
                <w:bCs/>
                <w:sz w:val="16"/>
              </w:rPr>
            </w:pPr>
            <w:r w:rsidRPr="00EE63B0">
              <w:rPr>
                <w:b w:val="0"/>
                <w:bCs/>
                <w:sz w:val="16"/>
              </w:rPr>
              <w:t>Magirusstr. 33, 89077 Ulm</w:t>
            </w:r>
          </w:p>
          <w:p w14:paraId="121C502F" w14:textId="77777777" w:rsidR="00AF2CB9" w:rsidRPr="00EE63B0" w:rsidRDefault="00037D09" w:rsidP="00AF2CB9">
            <w:pPr>
              <w:pStyle w:val="Textkrper"/>
              <w:tabs>
                <w:tab w:val="left" w:pos="7513"/>
              </w:tabs>
              <w:spacing w:line="312" w:lineRule="auto"/>
              <w:ind w:right="426"/>
              <w:rPr>
                <w:b w:val="0"/>
                <w:bCs/>
                <w:sz w:val="16"/>
              </w:rPr>
            </w:pPr>
            <w:r w:rsidRPr="00EE63B0">
              <w:rPr>
                <w:b w:val="0"/>
                <w:bCs/>
                <w:sz w:val="16"/>
              </w:rPr>
              <w:t xml:space="preserve">Tel.: +49 731 962 87 19 </w:t>
            </w:r>
          </w:p>
          <w:p w14:paraId="32CC1ADB" w14:textId="77777777" w:rsidR="00AF2CB9" w:rsidRPr="00EE63B0" w:rsidRDefault="00037D09" w:rsidP="00AF2CB9">
            <w:pPr>
              <w:pStyle w:val="Textkrper"/>
              <w:tabs>
                <w:tab w:val="left" w:pos="7513"/>
              </w:tabs>
              <w:spacing w:line="312" w:lineRule="auto"/>
              <w:ind w:right="426"/>
              <w:rPr>
                <w:b w:val="0"/>
                <w:bCs/>
                <w:sz w:val="16"/>
              </w:rPr>
            </w:pPr>
            <w:r w:rsidRPr="00EE63B0">
              <w:rPr>
                <w:b w:val="0"/>
                <w:bCs/>
                <w:sz w:val="16"/>
              </w:rPr>
              <w:t>ts@press-n-relations.de</w:t>
            </w:r>
          </w:p>
          <w:p w14:paraId="5B2F13A8" w14:textId="77777777" w:rsidR="00AF2CB9" w:rsidRPr="00EE63B0" w:rsidRDefault="00037D09" w:rsidP="00AF2CB9">
            <w:pPr>
              <w:pStyle w:val="Textkrper"/>
              <w:tabs>
                <w:tab w:val="left" w:pos="7513"/>
              </w:tabs>
              <w:spacing w:line="312" w:lineRule="auto"/>
              <w:ind w:right="426"/>
              <w:rPr>
                <w:b w:val="0"/>
                <w:bCs/>
                <w:sz w:val="16"/>
              </w:rPr>
            </w:pPr>
            <w:r w:rsidRPr="00EE63B0">
              <w:rPr>
                <w:b w:val="0"/>
                <w:bCs/>
                <w:sz w:val="16"/>
              </w:rPr>
              <w:t>www.press-n-relations.de</w:t>
            </w:r>
          </w:p>
        </w:tc>
      </w:tr>
    </w:tbl>
    <w:p w14:paraId="00BCF405" w14:textId="77777777" w:rsidR="002977A5" w:rsidRPr="00EE63B0" w:rsidRDefault="002977A5" w:rsidP="00AF2CB9">
      <w:pPr>
        <w:tabs>
          <w:tab w:val="left" w:pos="8647"/>
        </w:tabs>
        <w:ind w:right="419"/>
        <w:rPr>
          <w:rFonts w:ascii="Helvetica" w:hAnsi="Helvetica"/>
          <w:sz w:val="18"/>
          <w:szCs w:val="20"/>
        </w:rPr>
      </w:pPr>
    </w:p>
    <w:p w14:paraId="4361C43C" w14:textId="77777777" w:rsidR="00AF2CB9" w:rsidRPr="00EE63B0" w:rsidRDefault="00037D09" w:rsidP="00AF2CB9">
      <w:pPr>
        <w:tabs>
          <w:tab w:val="left" w:pos="8647"/>
        </w:tabs>
        <w:ind w:right="419"/>
        <w:rPr>
          <w:rFonts w:ascii="Helvetica" w:hAnsi="Helvetica"/>
          <w:sz w:val="18"/>
          <w:szCs w:val="20"/>
        </w:rPr>
      </w:pPr>
      <w:r w:rsidRPr="00EE63B0">
        <w:rPr>
          <w:rFonts w:ascii="Helvetica" w:hAnsi="Helvetica"/>
          <w:b/>
          <w:sz w:val="18"/>
          <w:szCs w:val="20"/>
        </w:rPr>
        <w:t>Über WatchGuard Technologies</w:t>
      </w:r>
    </w:p>
    <w:p w14:paraId="18B1FB01" w14:textId="77777777" w:rsidR="00AF2CB9" w:rsidRPr="00EE63B0" w:rsidRDefault="00037D09" w:rsidP="00AF2CB9">
      <w:pPr>
        <w:tabs>
          <w:tab w:val="left" w:pos="8364"/>
          <w:tab w:val="left" w:pos="8505"/>
        </w:tabs>
        <w:ind w:right="561"/>
        <w:rPr>
          <w:rFonts w:ascii="Helvetica" w:hAnsi="Helvetica"/>
          <w:sz w:val="18"/>
          <w:szCs w:val="20"/>
        </w:rPr>
      </w:pPr>
      <w:r w:rsidRPr="00EE63B0">
        <w:rPr>
          <w:rFonts w:ascii="Helvetica" w:hAnsi="Helvetica"/>
          <w:sz w:val="18"/>
          <w:szCs w:val="20"/>
        </w:rPr>
        <w:t>WatchGuard Technologies bietet integrierte und multifunktionale Threat-Management-Lösungen, die Sta</w:t>
      </w:r>
      <w:r w:rsidRPr="00EE63B0">
        <w:rPr>
          <w:rFonts w:ascii="Helvetica" w:hAnsi="Helvetica"/>
          <w:sz w:val="18"/>
          <w:szCs w:val="20"/>
        </w:rPr>
        <w:t>n</w:t>
      </w:r>
      <w:r w:rsidRPr="00EE63B0">
        <w:rPr>
          <w:rFonts w:ascii="Helvetica" w:hAnsi="Helvetica"/>
          <w:sz w:val="18"/>
          <w:szCs w:val="20"/>
        </w:rPr>
        <w:t>dard-Hardware auf Basis von Intel- und Freescale-Prozessoren mit erstklassigen Sicherheitsfunktionen sowie intuitiven Management-Werkzeugen gezielt miteinander vereinen. Die modulare Architektur mit dem eigenen Betriebssystem Fireware ermöglicht in Verbindung mit Vollversionen marktführender Scanmodule von Drittanbietern Sicherheit der Spitzenklasse – in jeder Preiskategorie, bei maximaler Flexibilität und geringen Kosten.</w:t>
      </w:r>
    </w:p>
    <w:p w14:paraId="7EF71A98" w14:textId="77777777" w:rsidR="00AF2CB9" w:rsidRPr="00EE63B0" w:rsidRDefault="00AF2CB9" w:rsidP="00AF2CB9">
      <w:pPr>
        <w:tabs>
          <w:tab w:val="left" w:pos="8364"/>
          <w:tab w:val="left" w:pos="8505"/>
        </w:tabs>
        <w:ind w:right="561"/>
        <w:rPr>
          <w:rFonts w:ascii="Helvetica" w:hAnsi="Helvetica"/>
          <w:sz w:val="18"/>
          <w:szCs w:val="20"/>
        </w:rPr>
      </w:pPr>
    </w:p>
    <w:p w14:paraId="3716DDEC" w14:textId="516B9E1F" w:rsidR="00AF2CB9" w:rsidRPr="00EE63B0" w:rsidRDefault="00037D09" w:rsidP="00F97CB1">
      <w:pPr>
        <w:tabs>
          <w:tab w:val="left" w:pos="8364"/>
          <w:tab w:val="left" w:pos="8505"/>
        </w:tabs>
        <w:ind w:right="561"/>
        <w:rPr>
          <w:rFonts w:ascii="Helvetica" w:hAnsi="Helvetica"/>
          <w:sz w:val="20"/>
          <w:szCs w:val="20"/>
        </w:rPr>
      </w:pPr>
      <w:r w:rsidRPr="00EE63B0">
        <w:rPr>
          <w:rFonts w:ascii="Helvetica" w:hAnsi="Helvetica"/>
          <w:sz w:val="18"/>
          <w:szCs w:val="20"/>
        </w:rPr>
        <w:t>Neben der Zentrale in Seattle im US-Bundesstaat Washington verfügt WatchGuard über Niederlassungen in ganz Nordamerika, Lateinamerika und Europa sowie im asiatisch-pazifischen Raum. Die gesamte Pr</w:t>
      </w:r>
      <w:r w:rsidRPr="00EE63B0">
        <w:rPr>
          <w:rFonts w:ascii="Helvetica" w:hAnsi="Helvetica"/>
          <w:sz w:val="18"/>
          <w:szCs w:val="20"/>
        </w:rPr>
        <w:t>o</w:t>
      </w:r>
      <w:r w:rsidRPr="00EE63B0">
        <w:rPr>
          <w:rFonts w:ascii="Helvetica" w:hAnsi="Helvetica"/>
          <w:sz w:val="18"/>
          <w:szCs w:val="20"/>
        </w:rPr>
        <w:t>duktlinie der Network Security Appliances von WatchGuard stützt sich auf ein Netz von mehr als 10.000 speziellen Vertriebspartnern – davon über 2.300 mit einer erweiterten Zertifizierung – in 120 Ländern. Insgesamt wurden bislang nahezu eine Million integrierter multifunktionaler Threat Management Appl</w:t>
      </w:r>
      <w:r w:rsidRPr="00EE63B0">
        <w:rPr>
          <w:rFonts w:ascii="Helvetica" w:hAnsi="Helvetica"/>
          <w:sz w:val="18"/>
          <w:szCs w:val="20"/>
        </w:rPr>
        <w:t>i</w:t>
      </w:r>
      <w:r w:rsidRPr="00EE63B0">
        <w:rPr>
          <w:rFonts w:ascii="Helvetica" w:hAnsi="Helvetica"/>
          <w:sz w:val="18"/>
          <w:szCs w:val="20"/>
        </w:rPr>
        <w:t xml:space="preserve">ances an Firmen aller Größen bereitgestellt – von KMU bis zu Konzernen mit weit verteilten Standorten. Weitere Informationen unter </w:t>
      </w:r>
      <w:hyperlink r:id="rId17" w:history="1">
        <w:r w:rsidRPr="00EE63B0">
          <w:rPr>
            <w:rStyle w:val="Link"/>
            <w:rFonts w:ascii="Helvetica" w:hAnsi="Helvetica"/>
            <w:sz w:val="18"/>
            <w:szCs w:val="20"/>
          </w:rPr>
          <w:t>www.watchguard.com</w:t>
        </w:r>
      </w:hyperlink>
      <w:r w:rsidRPr="00EE63B0">
        <w:rPr>
          <w:rFonts w:ascii="Helvetica" w:hAnsi="Helvetica"/>
          <w:sz w:val="18"/>
          <w:szCs w:val="20"/>
        </w:rPr>
        <w:t>.</w:t>
      </w:r>
    </w:p>
    <w:sectPr w:rsidR="00AF2CB9" w:rsidRPr="00EE63B0" w:rsidSect="00AF2CB9">
      <w:headerReference w:type="default" r:id="rId18"/>
      <w:footerReference w:type="even" r:id="rId19"/>
      <w:footerReference w:type="default" r:id="rId20"/>
      <w:pgSz w:w="11900" w:h="16840"/>
      <w:pgMar w:top="1417" w:right="1410"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3C4AE" w14:textId="77777777" w:rsidR="004B3363" w:rsidRDefault="004B3363">
      <w:r>
        <w:separator/>
      </w:r>
    </w:p>
  </w:endnote>
  <w:endnote w:type="continuationSeparator" w:id="0">
    <w:p w14:paraId="5464FC4F" w14:textId="77777777" w:rsidR="004B3363" w:rsidRDefault="004B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A6C89" w14:textId="77777777" w:rsidR="004B3363" w:rsidRDefault="004B3363" w:rsidP="00AF2CB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F2B37C" w14:textId="77777777" w:rsidR="004B3363" w:rsidRDefault="004B3363" w:rsidP="00AF2CB9">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3406F" w14:textId="77777777" w:rsidR="004B3363" w:rsidRDefault="004B3363" w:rsidP="00AF2CB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F7055">
      <w:rPr>
        <w:rStyle w:val="Seitenzahl"/>
        <w:noProof/>
      </w:rPr>
      <w:t>3</w:t>
    </w:r>
    <w:r>
      <w:rPr>
        <w:rStyle w:val="Seitenzahl"/>
      </w:rPr>
      <w:fldChar w:fldCharType="end"/>
    </w:r>
  </w:p>
  <w:p w14:paraId="6DABAADA" w14:textId="77777777" w:rsidR="004B3363" w:rsidRDefault="004B3363" w:rsidP="00AF2CB9">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68404" w14:textId="77777777" w:rsidR="004B3363" w:rsidRDefault="004B3363">
      <w:r>
        <w:separator/>
      </w:r>
    </w:p>
  </w:footnote>
  <w:footnote w:type="continuationSeparator" w:id="0">
    <w:p w14:paraId="6EAA8655" w14:textId="77777777" w:rsidR="004B3363" w:rsidRDefault="004B336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5CC00" w14:textId="77777777" w:rsidR="004B3363" w:rsidRPr="00B674DF" w:rsidRDefault="004B3363">
    <w:pPr>
      <w:pStyle w:val="Kopfzeile"/>
      <w:rPr>
        <w:sz w:val="32"/>
        <w:szCs w:val="32"/>
      </w:rPr>
    </w:pPr>
    <w:r>
      <w:rPr>
        <w:noProof/>
        <w:sz w:val="32"/>
        <w:szCs w:val="32"/>
        <w:lang w:eastAsia="de-DE"/>
      </w:rPr>
      <w:drawing>
        <wp:anchor distT="0" distB="0" distL="114300" distR="114300" simplePos="0" relativeHeight="251659264" behindDoc="0" locked="0" layoutInCell="1" allowOverlap="1" wp14:anchorId="3A4D3987" wp14:editId="3FA4C696">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1"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14:paraId="2740031A" w14:textId="77777777" w:rsidR="004B3363" w:rsidRPr="00B674DF" w:rsidRDefault="004B3363">
    <w:pPr>
      <w:pStyle w:val="Kopfzeile"/>
      <w:rPr>
        <w:sz w:val="32"/>
        <w:szCs w:val="32"/>
      </w:rPr>
    </w:pPr>
  </w:p>
  <w:p w14:paraId="5DC3D3E3" w14:textId="77777777" w:rsidR="004B3363" w:rsidRPr="00B674DF" w:rsidRDefault="004B3363">
    <w:pPr>
      <w:pStyle w:val="Kopfzeile"/>
      <w:rPr>
        <w:sz w:val="32"/>
        <w:szCs w:val="32"/>
      </w:rPr>
    </w:pPr>
  </w:p>
  <w:p w14:paraId="3CA48455" w14:textId="77777777" w:rsidR="004B3363" w:rsidRPr="00B674DF" w:rsidRDefault="004B3363">
    <w:pPr>
      <w:pStyle w:val="Kopfzeile"/>
      <w:rPr>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628E"/>
    <w:multiLevelType w:val="hybridMultilevel"/>
    <w:tmpl w:val="7AB4C4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25F86006"/>
    <w:multiLevelType w:val="hybridMultilevel"/>
    <w:tmpl w:val="3662D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90D5BFD"/>
    <w:multiLevelType w:val="hybridMultilevel"/>
    <w:tmpl w:val="746A7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4E32922"/>
    <w:multiLevelType w:val="hybridMultilevel"/>
    <w:tmpl w:val="711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6">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E486A07"/>
    <w:multiLevelType w:val="hybridMultilevel"/>
    <w:tmpl w:val="BC3A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7"/>
  </w:num>
  <w:num w:numId="5">
    <w:abstractNumId w:val="2"/>
  </w:num>
  <w:num w:numId="6">
    <w:abstractNumId w:val="5"/>
  </w:num>
  <w:num w:numId="7">
    <w:abstractNumId w:val="0"/>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8F6"/>
    <w:rsid w:val="000004B4"/>
    <w:rsid w:val="000016F8"/>
    <w:rsid w:val="00037D09"/>
    <w:rsid w:val="00057421"/>
    <w:rsid w:val="0006627E"/>
    <w:rsid w:val="000872EF"/>
    <w:rsid w:val="00090FDC"/>
    <w:rsid w:val="000A103A"/>
    <w:rsid w:val="000A4675"/>
    <w:rsid w:val="000B7FCF"/>
    <w:rsid w:val="000C615A"/>
    <w:rsid w:val="000C7B00"/>
    <w:rsid w:val="000E3765"/>
    <w:rsid w:val="000F0C50"/>
    <w:rsid w:val="000F1CDA"/>
    <w:rsid w:val="000F5CA1"/>
    <w:rsid w:val="00105492"/>
    <w:rsid w:val="00107AD5"/>
    <w:rsid w:val="00111EF6"/>
    <w:rsid w:val="00124680"/>
    <w:rsid w:val="00127895"/>
    <w:rsid w:val="00133454"/>
    <w:rsid w:val="001343AB"/>
    <w:rsid w:val="001477CF"/>
    <w:rsid w:val="0015062F"/>
    <w:rsid w:val="00151DE9"/>
    <w:rsid w:val="00153A33"/>
    <w:rsid w:val="0016151B"/>
    <w:rsid w:val="001B79BE"/>
    <w:rsid w:val="001D0CA4"/>
    <w:rsid w:val="001D3DF4"/>
    <w:rsid w:val="001D5791"/>
    <w:rsid w:val="00204926"/>
    <w:rsid w:val="00212D44"/>
    <w:rsid w:val="00251D28"/>
    <w:rsid w:val="00253255"/>
    <w:rsid w:val="00253697"/>
    <w:rsid w:val="00256716"/>
    <w:rsid w:val="00262026"/>
    <w:rsid w:val="00271584"/>
    <w:rsid w:val="002731F0"/>
    <w:rsid w:val="00280ED2"/>
    <w:rsid w:val="00293108"/>
    <w:rsid w:val="002977A5"/>
    <w:rsid w:val="002A286A"/>
    <w:rsid w:val="002A61ED"/>
    <w:rsid w:val="002B37EB"/>
    <w:rsid w:val="002B405D"/>
    <w:rsid w:val="002C0D8F"/>
    <w:rsid w:val="002C0E09"/>
    <w:rsid w:val="002C7326"/>
    <w:rsid w:val="002D02ED"/>
    <w:rsid w:val="002E6448"/>
    <w:rsid w:val="002F4ABB"/>
    <w:rsid w:val="00312AC4"/>
    <w:rsid w:val="00320D9A"/>
    <w:rsid w:val="00324DA3"/>
    <w:rsid w:val="003326AA"/>
    <w:rsid w:val="0033647D"/>
    <w:rsid w:val="003371C6"/>
    <w:rsid w:val="0038027F"/>
    <w:rsid w:val="00386BA0"/>
    <w:rsid w:val="0038708C"/>
    <w:rsid w:val="003B5D45"/>
    <w:rsid w:val="003B6A63"/>
    <w:rsid w:val="003D3FAD"/>
    <w:rsid w:val="003E1A1F"/>
    <w:rsid w:val="00444D52"/>
    <w:rsid w:val="00447FDE"/>
    <w:rsid w:val="0046572F"/>
    <w:rsid w:val="004678A4"/>
    <w:rsid w:val="00470AA9"/>
    <w:rsid w:val="004B2F06"/>
    <w:rsid w:val="004B3363"/>
    <w:rsid w:val="004D02EA"/>
    <w:rsid w:val="004E2BCF"/>
    <w:rsid w:val="004E6AE4"/>
    <w:rsid w:val="00505CCA"/>
    <w:rsid w:val="005075DD"/>
    <w:rsid w:val="00507C38"/>
    <w:rsid w:val="00512F10"/>
    <w:rsid w:val="00513E6B"/>
    <w:rsid w:val="005178DE"/>
    <w:rsid w:val="00521B66"/>
    <w:rsid w:val="0052661C"/>
    <w:rsid w:val="00535330"/>
    <w:rsid w:val="00537EF1"/>
    <w:rsid w:val="00541804"/>
    <w:rsid w:val="00552DB2"/>
    <w:rsid w:val="005539FB"/>
    <w:rsid w:val="0056628B"/>
    <w:rsid w:val="0057258C"/>
    <w:rsid w:val="00572C2C"/>
    <w:rsid w:val="00573C80"/>
    <w:rsid w:val="00573CFF"/>
    <w:rsid w:val="005826CA"/>
    <w:rsid w:val="005909D2"/>
    <w:rsid w:val="005A53DA"/>
    <w:rsid w:val="005C7BC9"/>
    <w:rsid w:val="005D290A"/>
    <w:rsid w:val="005D7C51"/>
    <w:rsid w:val="005F0BF6"/>
    <w:rsid w:val="006024B8"/>
    <w:rsid w:val="00607F75"/>
    <w:rsid w:val="00636DAD"/>
    <w:rsid w:val="00642539"/>
    <w:rsid w:val="006772C5"/>
    <w:rsid w:val="006826F8"/>
    <w:rsid w:val="00691592"/>
    <w:rsid w:val="006976BC"/>
    <w:rsid w:val="006A0717"/>
    <w:rsid w:val="006C0698"/>
    <w:rsid w:val="006C1394"/>
    <w:rsid w:val="006C415F"/>
    <w:rsid w:val="006D7DBD"/>
    <w:rsid w:val="006E2047"/>
    <w:rsid w:val="006E3C1B"/>
    <w:rsid w:val="007024E9"/>
    <w:rsid w:val="00704EA4"/>
    <w:rsid w:val="00710110"/>
    <w:rsid w:val="00721574"/>
    <w:rsid w:val="00723D90"/>
    <w:rsid w:val="007359D0"/>
    <w:rsid w:val="007378E9"/>
    <w:rsid w:val="0075442D"/>
    <w:rsid w:val="00777D29"/>
    <w:rsid w:val="0078103F"/>
    <w:rsid w:val="00790012"/>
    <w:rsid w:val="00792540"/>
    <w:rsid w:val="007968EE"/>
    <w:rsid w:val="007D3782"/>
    <w:rsid w:val="007E6161"/>
    <w:rsid w:val="007E66AD"/>
    <w:rsid w:val="007F3FFB"/>
    <w:rsid w:val="00811A74"/>
    <w:rsid w:val="00823944"/>
    <w:rsid w:val="00827D72"/>
    <w:rsid w:val="0084093C"/>
    <w:rsid w:val="0084199A"/>
    <w:rsid w:val="00846B62"/>
    <w:rsid w:val="00852811"/>
    <w:rsid w:val="0087191B"/>
    <w:rsid w:val="00883B49"/>
    <w:rsid w:val="0088467F"/>
    <w:rsid w:val="00893382"/>
    <w:rsid w:val="008A7F4B"/>
    <w:rsid w:val="008B2DF0"/>
    <w:rsid w:val="008B77EB"/>
    <w:rsid w:val="008C10FF"/>
    <w:rsid w:val="008C2850"/>
    <w:rsid w:val="008C738E"/>
    <w:rsid w:val="008C796E"/>
    <w:rsid w:val="008C7F87"/>
    <w:rsid w:val="008D0C69"/>
    <w:rsid w:val="008D0E18"/>
    <w:rsid w:val="008D310C"/>
    <w:rsid w:val="008F70ED"/>
    <w:rsid w:val="0091482E"/>
    <w:rsid w:val="00944413"/>
    <w:rsid w:val="00952FD7"/>
    <w:rsid w:val="009852C5"/>
    <w:rsid w:val="009A6D44"/>
    <w:rsid w:val="009C1822"/>
    <w:rsid w:val="009C456F"/>
    <w:rsid w:val="009D2127"/>
    <w:rsid w:val="009D40E2"/>
    <w:rsid w:val="009D4E83"/>
    <w:rsid w:val="009E0D27"/>
    <w:rsid w:val="00A11BC9"/>
    <w:rsid w:val="00A12C39"/>
    <w:rsid w:val="00A361DD"/>
    <w:rsid w:val="00A52E11"/>
    <w:rsid w:val="00A61559"/>
    <w:rsid w:val="00AA285C"/>
    <w:rsid w:val="00AC0252"/>
    <w:rsid w:val="00AC1C82"/>
    <w:rsid w:val="00AC7F4B"/>
    <w:rsid w:val="00AD7EB8"/>
    <w:rsid w:val="00AE2CF2"/>
    <w:rsid w:val="00AF2CB9"/>
    <w:rsid w:val="00B1469D"/>
    <w:rsid w:val="00B16AA3"/>
    <w:rsid w:val="00B33B0C"/>
    <w:rsid w:val="00B35C5C"/>
    <w:rsid w:val="00B51DE8"/>
    <w:rsid w:val="00B64D03"/>
    <w:rsid w:val="00B65346"/>
    <w:rsid w:val="00B752B7"/>
    <w:rsid w:val="00B85E23"/>
    <w:rsid w:val="00BA2933"/>
    <w:rsid w:val="00BB1FC4"/>
    <w:rsid w:val="00BB367F"/>
    <w:rsid w:val="00BB5FD7"/>
    <w:rsid w:val="00BC0515"/>
    <w:rsid w:val="00BC1C07"/>
    <w:rsid w:val="00BC6854"/>
    <w:rsid w:val="00BD019E"/>
    <w:rsid w:val="00BE05D4"/>
    <w:rsid w:val="00BE2E11"/>
    <w:rsid w:val="00BF2B8F"/>
    <w:rsid w:val="00BF7055"/>
    <w:rsid w:val="00C17C7B"/>
    <w:rsid w:val="00C225DC"/>
    <w:rsid w:val="00C32CB7"/>
    <w:rsid w:val="00C4279D"/>
    <w:rsid w:val="00C428F6"/>
    <w:rsid w:val="00C50315"/>
    <w:rsid w:val="00C541E8"/>
    <w:rsid w:val="00C55886"/>
    <w:rsid w:val="00C64E28"/>
    <w:rsid w:val="00C675AE"/>
    <w:rsid w:val="00C734B0"/>
    <w:rsid w:val="00CA4E4B"/>
    <w:rsid w:val="00CB39C2"/>
    <w:rsid w:val="00CD7227"/>
    <w:rsid w:val="00CE11DF"/>
    <w:rsid w:val="00CF2F2D"/>
    <w:rsid w:val="00D01E46"/>
    <w:rsid w:val="00D16039"/>
    <w:rsid w:val="00D24623"/>
    <w:rsid w:val="00D25B84"/>
    <w:rsid w:val="00D4061C"/>
    <w:rsid w:val="00D520FF"/>
    <w:rsid w:val="00D570CE"/>
    <w:rsid w:val="00D72107"/>
    <w:rsid w:val="00D7326A"/>
    <w:rsid w:val="00D863BD"/>
    <w:rsid w:val="00D95642"/>
    <w:rsid w:val="00DA01FE"/>
    <w:rsid w:val="00DA3A8D"/>
    <w:rsid w:val="00DB34C2"/>
    <w:rsid w:val="00DC4827"/>
    <w:rsid w:val="00DC6F07"/>
    <w:rsid w:val="00DC7237"/>
    <w:rsid w:val="00DE3BEF"/>
    <w:rsid w:val="00E00A19"/>
    <w:rsid w:val="00E02B4A"/>
    <w:rsid w:val="00E0760B"/>
    <w:rsid w:val="00E27CB2"/>
    <w:rsid w:val="00E27D86"/>
    <w:rsid w:val="00E40209"/>
    <w:rsid w:val="00E429E4"/>
    <w:rsid w:val="00E42D31"/>
    <w:rsid w:val="00E447E2"/>
    <w:rsid w:val="00E46B38"/>
    <w:rsid w:val="00E8341B"/>
    <w:rsid w:val="00E94E1C"/>
    <w:rsid w:val="00E974E4"/>
    <w:rsid w:val="00EA0DCF"/>
    <w:rsid w:val="00EA2FBE"/>
    <w:rsid w:val="00EE63B0"/>
    <w:rsid w:val="00EF1F3D"/>
    <w:rsid w:val="00F130BF"/>
    <w:rsid w:val="00F20939"/>
    <w:rsid w:val="00F20C2D"/>
    <w:rsid w:val="00F342F4"/>
    <w:rsid w:val="00F36093"/>
    <w:rsid w:val="00F369E1"/>
    <w:rsid w:val="00F713D2"/>
    <w:rsid w:val="00F97CB1"/>
    <w:rsid w:val="00FA358C"/>
    <w:rsid w:val="00FA5F9B"/>
    <w:rsid w:val="00FB509F"/>
    <w:rsid w:val="00FB5A8D"/>
    <w:rsid w:val="00FC6D06"/>
    <w:rsid w:val="00FC7E53"/>
    <w:rsid w:val="00FD1BC8"/>
    <w:rsid w:val="00FE2F37"/>
    <w:rsid w:val="00FF37DA"/>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B2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Standard">
    <w:name w:val="Normal"/>
    <w:qFormat/>
    <w:rsid w:val="00C428F6"/>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Standard">
    <w:name w:val="Normal"/>
    <w:qFormat/>
    <w:rsid w:val="00C428F6"/>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C428F6"/>
    <w:rPr>
      <w:rFonts w:ascii="Cambria" w:eastAsia="MS Mincho" w:hAnsi="Cambria" w:cs="Times New Roman"/>
      <w:sz w:val="20"/>
      <w:szCs w:val="20"/>
    </w:rPr>
  </w:style>
  <w:style w:type="paragraph" w:styleId="Kopfzeile">
    <w:name w:val="header"/>
    <w:basedOn w:val="Standard"/>
    <w:link w:val="KopfzeileZeichen"/>
    <w:unhideWhenUsed/>
    <w:rsid w:val="00C428F6"/>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C428F6"/>
    <w:rPr>
      <w:rFonts w:ascii="Cambria" w:eastAsia="MS Mincho" w:hAnsi="Cambria" w:cs="Times New Roman"/>
      <w:lang w:eastAsia="de-DE"/>
    </w:rPr>
  </w:style>
  <w:style w:type="character" w:customStyle="1" w:styleId="TextkrperZeichen">
    <w:name w:val="Textkörper Zeichen"/>
    <w:link w:val="Textkrper"/>
    <w:rsid w:val="00C428F6"/>
    <w:rPr>
      <w:rFonts w:ascii="Helvetica" w:eastAsia="SimSun" w:hAnsi="Helvetica" w:cs="Times New Roman"/>
      <w:b/>
      <w:sz w:val="22"/>
      <w:szCs w:val="22"/>
    </w:rPr>
  </w:style>
  <w:style w:type="paragraph" w:styleId="Textkrper">
    <w:name w:val="Body Text"/>
    <w:basedOn w:val="Standard"/>
    <w:link w:val="TextkrperZeichen"/>
    <w:rsid w:val="00C428F6"/>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C428F6"/>
    <w:rPr>
      <w:rFonts w:ascii="Cambria" w:eastAsia="MS Mincho" w:hAnsi="Cambria" w:cs="Times New Roman"/>
      <w:lang w:eastAsia="de-DE"/>
    </w:rPr>
  </w:style>
  <w:style w:type="character" w:styleId="Link">
    <w:name w:val="Hyperlink"/>
    <w:basedOn w:val="Absatzstandardschriftart"/>
    <w:uiPriority w:val="99"/>
    <w:unhideWhenUsed/>
    <w:rsid w:val="00C428F6"/>
    <w:rPr>
      <w:color w:val="0000FF" w:themeColor="hyperlink"/>
      <w:u w:val="single"/>
    </w:rPr>
  </w:style>
  <w:style w:type="paragraph" w:styleId="Kommentartext">
    <w:name w:val="annotation text"/>
    <w:basedOn w:val="Standard"/>
    <w:link w:val="KommentartextZeichen"/>
    <w:uiPriority w:val="99"/>
    <w:semiHidden/>
    <w:unhideWhenUsed/>
    <w:rsid w:val="00C428F6"/>
  </w:style>
  <w:style w:type="character" w:customStyle="1" w:styleId="KommentartextZeichen">
    <w:name w:val="Kommentartext Zeichen"/>
    <w:basedOn w:val="Absatzstandardschriftart"/>
    <w:link w:val="Kommentartext"/>
    <w:uiPriority w:val="99"/>
    <w:semiHidden/>
    <w:rsid w:val="00C428F6"/>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C428F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C428F6"/>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C428F6"/>
    <w:rPr>
      <w:b/>
      <w:bCs/>
      <w:sz w:val="20"/>
      <w:szCs w:val="20"/>
    </w:rPr>
  </w:style>
  <w:style w:type="character" w:customStyle="1" w:styleId="KommentarthemaZeichen">
    <w:name w:val="Kommentarthema Zeichen"/>
    <w:basedOn w:val="KommentartextZeichen"/>
    <w:link w:val="Kommentarthema"/>
    <w:rsid w:val="00C428F6"/>
    <w:rPr>
      <w:rFonts w:ascii="Cambria" w:eastAsia="MS Mincho" w:hAnsi="Cambria" w:cs="Times New Roman"/>
      <w:b/>
      <w:bCs/>
      <w:sz w:val="20"/>
      <w:szCs w:val="20"/>
      <w:lang w:eastAsia="de-DE"/>
    </w:rPr>
  </w:style>
  <w:style w:type="paragraph" w:styleId="Listenabsatz">
    <w:name w:val="List Paragraph"/>
    <w:basedOn w:val="Standard"/>
    <w:uiPriority w:val="34"/>
    <w:qFormat/>
    <w:rsid w:val="00C428F6"/>
    <w:pPr>
      <w:ind w:left="720"/>
      <w:contextualSpacing/>
    </w:pPr>
  </w:style>
  <w:style w:type="paragraph" w:styleId="Endnotentext">
    <w:name w:val="endnote text"/>
    <w:basedOn w:val="Standard"/>
    <w:link w:val="EndnotentextZeichen"/>
    <w:uiPriority w:val="99"/>
    <w:unhideWhenUsed/>
    <w:rsid w:val="00C428F6"/>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C428F6"/>
    <w:rPr>
      <w:rFonts w:eastAsiaTheme="minorEastAsia"/>
      <w:lang w:val="en-US"/>
    </w:rPr>
  </w:style>
  <w:style w:type="character" w:styleId="Endnotenzeichen">
    <w:name w:val="endnote reference"/>
    <w:basedOn w:val="Absatzstandardschriftart"/>
    <w:uiPriority w:val="99"/>
    <w:unhideWhenUsed/>
    <w:rsid w:val="00C428F6"/>
    <w:rPr>
      <w:vertAlign w:val="superscript"/>
    </w:rPr>
  </w:style>
  <w:style w:type="character" w:styleId="GesichteterLink">
    <w:name w:val="FollowedHyperlink"/>
    <w:basedOn w:val="Absatzstandardschriftart"/>
    <w:uiPriority w:val="99"/>
    <w:unhideWhenUsed/>
    <w:rsid w:val="00C428F6"/>
    <w:rPr>
      <w:color w:val="800080" w:themeColor="followedHyperlink"/>
      <w:u w:val="single"/>
    </w:rPr>
  </w:style>
  <w:style w:type="paragraph" w:styleId="Fuzeile">
    <w:name w:val="footer"/>
    <w:basedOn w:val="Standard"/>
    <w:link w:val="FuzeileZeichen"/>
    <w:uiPriority w:val="99"/>
    <w:unhideWhenUsed/>
    <w:rsid w:val="00C428F6"/>
    <w:pPr>
      <w:tabs>
        <w:tab w:val="center" w:pos="4536"/>
        <w:tab w:val="right" w:pos="9072"/>
      </w:tabs>
    </w:pPr>
  </w:style>
  <w:style w:type="character" w:customStyle="1" w:styleId="FuzeileZeichen">
    <w:name w:val="Fußzeile Zeichen"/>
    <w:basedOn w:val="Absatzstandardschriftart"/>
    <w:link w:val="Fuzeile"/>
    <w:uiPriority w:val="99"/>
    <w:rsid w:val="00C428F6"/>
    <w:rPr>
      <w:rFonts w:ascii="Cambria" w:eastAsia="MS Mincho" w:hAnsi="Cambria" w:cs="Times New Roman"/>
      <w:lang w:eastAsia="de-DE"/>
    </w:rPr>
  </w:style>
  <w:style w:type="paragraph" w:styleId="Funotentext">
    <w:name w:val="footnote text"/>
    <w:basedOn w:val="Standard"/>
    <w:link w:val="FunotentextZeichen"/>
    <w:rsid w:val="00C428F6"/>
  </w:style>
  <w:style w:type="character" w:customStyle="1" w:styleId="FunotentextZeichen">
    <w:name w:val="Fußnotentext Zeichen"/>
    <w:basedOn w:val="Absatzstandardschriftart"/>
    <w:link w:val="Funotentext"/>
    <w:rsid w:val="00C428F6"/>
    <w:rPr>
      <w:rFonts w:ascii="Cambria" w:eastAsia="MS Mincho" w:hAnsi="Cambria" w:cs="Times New Roman"/>
      <w:lang w:eastAsia="de-DE"/>
    </w:rPr>
  </w:style>
  <w:style w:type="character" w:styleId="Funotenzeichen">
    <w:name w:val="footnote reference"/>
    <w:basedOn w:val="Absatzstandardschriftart"/>
    <w:rsid w:val="00C428F6"/>
    <w:rPr>
      <w:vertAlign w:val="superscript"/>
    </w:rPr>
  </w:style>
  <w:style w:type="paragraph" w:styleId="KeinLeerraum">
    <w:name w:val="No Spacing"/>
    <w:uiPriority w:val="1"/>
    <w:qFormat/>
    <w:rsid w:val="00C428F6"/>
    <w:rPr>
      <w:rFonts w:ascii="Calibri" w:hAnsi="Calibri" w:cs="Times New Roman"/>
      <w:sz w:val="22"/>
      <w:szCs w:val="22"/>
      <w:lang w:val="en-US"/>
    </w:rPr>
  </w:style>
  <w:style w:type="character" w:styleId="Seitenzahl">
    <w:name w:val="page number"/>
    <w:basedOn w:val="Absatzstandardschriftart"/>
    <w:rsid w:val="00C42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watchguard.com/docs/datasheet/wg_product_matrix_a4.pdf" TargetMode="Externa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ecure.watchguard.com/DistributedEnterprise_LIVE.html" TargetMode="External"/><Relationship Id="rId11" Type="http://schemas.openxmlformats.org/officeDocument/2006/relationships/hyperlink" Target="http://watchguardsecuritycenter.com/"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http://press-n-relations.mediamid.com/AMID-PR/open.jsp?action=search&amp;query=Firebox+T30+T50" TargetMode="External"/><Relationship Id="rId17" Type="http://schemas.openxmlformats.org/officeDocument/2006/relationships/hyperlink" Target="http://www.watchguard.com"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watchguard.com/docs/datasheet/wg_firebox-t10-t30-t50_ds_d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1296</Words>
  <Characters>8169</Characters>
  <Application>Microsoft Macintosh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Manager/>
  <Company>Press'n'Relations</Company>
  <LinksUpToDate>false</LinksUpToDate>
  <CharactersWithSpaces>9447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de Groot</dc:creator>
  <cp:keywords/>
  <dc:description/>
  <cp:lastModifiedBy>Thomas Seibold</cp:lastModifiedBy>
  <cp:revision>19</cp:revision>
  <cp:lastPrinted>2015-11-02T08:23:00Z</cp:lastPrinted>
  <dcterms:created xsi:type="dcterms:W3CDTF">2015-11-03T07:32:00Z</dcterms:created>
  <dcterms:modified xsi:type="dcterms:W3CDTF">2015-11-03T14:35:00Z</dcterms:modified>
  <cp:category/>
</cp:coreProperties>
</file>